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ahoma" w:hAnsi="Tahoma"/>
          <w:b/>
          <w:b/>
          <w:bCs/>
          <w:sz w:val="32"/>
        </w:rPr>
      </w:pPr>
      <w:r>
        <w:rPr>
          <w:rFonts w:ascii="Tahoma" w:hAnsi="Tahoma"/>
          <w:b/>
          <w:bCs/>
          <w:sz w:val="32"/>
        </w:rPr>
        <w:t>Book Review</w:t>
      </w:r>
    </w:p>
    <w:p>
      <w:pPr>
        <w:pStyle w:val="Normal"/>
        <w:spacing w:lineRule="auto" w:line="360"/>
        <w:rPr>
          <w:rFonts w:ascii="Tahoma" w:hAnsi="Tahoma"/>
          <w:b/>
          <w:b/>
          <w:bCs/>
          <w:sz w:val="32"/>
        </w:rPr>
      </w:pPr>
      <w:r>
        <w:rPr>
          <w:rFonts w:ascii="Tahoma" w:hAnsi="Tahoma"/>
          <w:b/>
          <w:bCs/>
          <w:sz w:val="32"/>
        </w:rPr>
        <w:t xml:space="preserve">McDougall, J. (2021). </w:t>
      </w:r>
      <w:r>
        <w:rPr>
          <w:rFonts w:ascii="Tahoma" w:hAnsi="Tahoma"/>
          <w:b/>
          <w:bCs/>
          <w:i/>
          <w:iCs/>
          <w:sz w:val="32"/>
        </w:rPr>
        <w:t>Critical Approaches to Online Learning.</w:t>
      </w:r>
      <w:r>
        <w:rPr>
          <w:rFonts w:ascii="Tahoma" w:hAnsi="Tahoma"/>
          <w:b/>
          <w:bCs/>
          <w:sz w:val="32"/>
        </w:rPr>
        <w:t xml:space="preserve"> St Albans: Critical Publishing Ltd.</w:t>
      </w:r>
    </w:p>
    <w:p>
      <w:pPr>
        <w:pStyle w:val="Normal"/>
        <w:spacing w:lineRule="auto" w:line="360"/>
        <w:rPr>
          <w:rFonts w:ascii="Tahoma" w:hAnsi="Tahoma"/>
          <w:b/>
          <w:b/>
          <w:bCs/>
          <w:sz w:val="28"/>
        </w:rPr>
      </w:pPr>
      <w:r>
        <w:rPr>
          <w:rFonts w:ascii="Tahoma" w:hAnsi="Tahoma"/>
          <w:b/>
          <w:bCs/>
          <w:sz w:val="28"/>
        </w:rPr>
        <w:t>Kathryn McFarlane</w:t>
      </w:r>
    </w:p>
    <w:p>
      <w:pPr>
        <w:pStyle w:val="Standard"/>
        <w:spacing w:lineRule="auto" w:line="360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Independent Consultant</w:t>
      </w:r>
    </w:p>
    <w:p>
      <w:pPr>
        <w:pStyle w:val="Standard"/>
        <w:spacing w:lineRule="auto" w:line="360" w:before="0" w:after="0"/>
        <w:rPr/>
      </w:pPr>
      <w:r>
        <w:rPr>
          <w:rFonts w:cs="Tahoma" w:ascii="Tahoma" w:hAnsi="Tahoma"/>
          <w:sz w:val="24"/>
          <w:szCs w:val="24"/>
        </w:rPr>
        <w:t xml:space="preserve">Corresponding author: </w:t>
      </w:r>
      <w:hyperlink r:id="rId2">
        <w:r>
          <w:rPr>
            <w:rStyle w:val="InternetLink"/>
            <w:rFonts w:cs="Tahoma" w:ascii="Tahoma" w:hAnsi="Tahoma"/>
            <w:sz w:val="24"/>
            <w:szCs w:val="24"/>
          </w:rPr>
          <w:t>kathryn.mcfarlane4@btinternet.com</w:t>
        </w:r>
      </w:hyperlink>
      <w:r>
        <w:rPr>
          <w:rFonts w:cs="Tahoma" w:ascii="Tahoma" w:hAnsi="Tahoma"/>
          <w:sz w:val="24"/>
          <w:szCs w:val="24"/>
        </w:rPr>
        <w:t xml:space="preserve"> </w:t>
      </w:r>
    </w:p>
    <w:p>
      <w:pPr>
        <w:pStyle w:val="Standard"/>
        <w:spacing w:lineRule="auto" w:line="360" w:before="0" w:after="0"/>
        <w:rPr>
          <w:rFonts w:ascii="Tahoma" w:hAnsi="Tahoma" w:cs="Tahoma"/>
          <w:b/>
          <w:b/>
          <w:bCs/>
          <w:color w:val="333333"/>
          <w:sz w:val="24"/>
          <w:szCs w:val="24"/>
          <w:highlight w:val="yellow"/>
        </w:rPr>
      </w:pPr>
      <w:r>
        <w:rPr>
          <w:rFonts w:cs="Tahoma" w:ascii="Tahoma" w:hAnsi="Tahoma"/>
          <w:b/>
          <w:bCs/>
          <w:color w:val="333333"/>
          <w:sz w:val="24"/>
          <w:szCs w:val="24"/>
          <w:highlight w:val="yellow"/>
        </w:rPr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ab/>
        <w:t xml:space="preserve">“How can you use the online space to positively move away from and beyond the </w:t>
        <w:tab/>
        <w:t>‘habitus clash’ which students often experience on campus?”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ab/>
        <w:t>(p.17)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McDougall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uses questions like this to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challenge the reader to rethink their approach to learning and teaching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and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to critique existing norms.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His stated aim is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 xml:space="preserve"> t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>o draw together “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 xml:space="preserve">a range of research, practice and arguments around online learning in higher education” 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 xml:space="preserve">(p.1) with a view to providing a synthesis for critical discussion. Despite the “pivot” to online learning and teaching during the pandemic, the intention is not to focus on “emergency remote” online learning, but rather to take a critical look at online learning as a way of doing higher education. 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>The a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>uthor’s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 xml:space="preserve"> standpoint 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>is a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 xml:space="preserve">bout 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>promoting social justice, decolonising higher education, and co-creating learning, with a view to students imaginin</w:t>
      </w: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  <w:t xml:space="preserve">g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how they will “change the world through the redistribution of power”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(p.12).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 deep distrust of neoliberal approaches is apparent throughout, in particular in relation to educational technology solutions.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The book is split into five chapters, which follow a similar structure.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As illustrated above, 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ach chapter i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ncludes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“critical questions for practice”, which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could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in principle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encourage the reader to construct their own learning, arguably aligning with the principles expounded in the book. This may have been more effective had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many of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the questions been less leading,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less wordy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and more applied to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the readers’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practice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S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ome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chapters include examples of 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eaching, learning and assessment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which are drawn from different disciplines,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institutions,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and indeed different countries. 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hese examples help to illuminate the theories outlined, as well as providing potential avenues for a reader to explore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Each chapter end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s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with a u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seful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concise summary, followed by an annotated reading list. Indeed, a particular strength of the book i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s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the summary of vast amounts of research into online learning,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including extensive quotations,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and it could be particularly p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ertinent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as a starting point for research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ers.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The book probably works best for a “cover-to-cover” reader, but the “dipper” might find it helpful to look at the clearly signposted examples and follow the recommended links, which are much easier to follow v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ia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the e-book.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he opening chapter focuses on the relationship between space and time in different configurations of learning design.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There is a discussion about the online environment as a “third space” (home is first space, campus is second space), which concludes that at the end of the day, there is just space.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Likewise, rather than blended, synchronous, asynchronous learning, there is just learning.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he author advocates that the learning space should be use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d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to challenge hierarchies and oppression,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and the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re should be </w:t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ab/>
        <w:t xml:space="preserve">“the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possibility at least of transforming the space so that its occupants can work </w:t>
        <w:tab/>
        <w:t xml:space="preserve">(from within) as allies in decentring learning.” </w:t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ab/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(p.13)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Chapter two moves on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to problematise various aspects of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structure and practice, including equating the notion of employability with neoliberalism,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apparently suggesting that promoting student employability is somehow at odds with the partnership approaches to learning proposed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 h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ave to pause to get on my employability soap box at this stage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he learning strategies suggested in this book, where students are active participants c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o-creating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their own learning, are likely to enable them to take control of their own development in their future roles within and outside the workplace – which sounds very much like employability to me.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Echoing chapter one, this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chapter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concludes that the notion of “virtual”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learning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should become obsolete; there is a false binary between virtual and “real”; at the end of the day, it is just learning. 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In chapter 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hree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the author focuses on assessment in the context of inclusion and social justice, starting with the need to transform assessment to align with dynamic learning design.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moves on to critique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some of the affordances of educational technology, including the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use of learner analytics by teaching staff –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another form of assessment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– and online proctoring of examinations.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A final section explores feedback methods and alternative assessments,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including an interesting example of a video essay.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In the following chapter, 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he author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goes on to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explore ways in which the online environment might be used to disrupt the status quo, with some v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aluable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examples which readers might use to challenge their own approaches, moving from good intentions to practice. 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The final chapter focuses on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how we might move forward, in particular highlighting that the online space is not neutral and we need to think critically about it, just as we would in a face-to-face environment – maybe more so as the identity of the university is at stake. Three approaches to considering the future are used in this chapter, but perhaps the greatest emphasis i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s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on a conversation between a group of academics in March 2021. The conversation seems to be reported verbatim, and focuses on the future of the university in an online environment.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Although unconventional,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I felt that this was an innovative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and thought provoking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approach to sharing broader perspectives.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To align with the principles of this book in terms of diversity and co-creation, it might also have been relevant to include a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similar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conversation with students –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and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indeed,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with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people who missed out on being students because of the exclusive nature of HE.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The book concludes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with an argument that each university should create its own educational technology, and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with a critique of the JISC 2030 Digital Framework.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If you a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pproach this relatively short (80 pages) book expecting a light read and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a “quick fix”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of online teaching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methods,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you will b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e disappointed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. However, you might find something you were not looking for and did not know you needed. If you put time aside and truly engage with 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content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, you may well find you have moved through a paradigm shift, not just in relation to your views on online learning, but also in relation to learning and teaching in general.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Y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ou may or may not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b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e comfortable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with the author’s views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and style of writing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, n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onetheless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t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here is great value in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stepping back and critically examining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y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our practice,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your learning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 xml:space="preserve"> philosophy </w:t>
      </w: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  <w:t>and indeed, the future definition and role of a university.</w:t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</w:rPr>
      </w:pPr>
      <w:r>
        <w:rPr>
          <w:rFonts w:cs="Tahoma" w:ascii="Tahoma" w:hAnsi="Tahoma"/>
          <w:b w:val="false"/>
          <w:bCs w:val="false"/>
          <w:i w:val="false"/>
          <w:iCs w:val="false"/>
          <w:color w:val="333333"/>
          <w:sz w:val="24"/>
          <w:szCs w:val="24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877" w:footer="1134" w:bottom="214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0" w:after="0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 xml:space="preserve">Innovative Practice in Higher Education </w:t>
    </w:r>
  </w:p>
  <w:p>
    <w:pPr>
      <w:pStyle w:val="NormalWeb"/>
      <w:spacing w:before="0" w:after="0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>©IPiHE 202</w:t>
    </w:r>
    <w:r>
      <w:rPr>
        <w:rFonts w:cs="Tahoma" w:ascii="Tahoma" w:hAnsi="Tahoma"/>
        <w:sz w:val="20"/>
        <w:szCs w:val="20"/>
      </w:rPr>
      <w:t>2</w:t>
    </w:r>
  </w:p>
  <w:p>
    <w:pPr>
      <w:pStyle w:val="NormalWeb"/>
      <w:spacing w:before="0" w:after="0"/>
      <w:rPr>
        <w:rFonts w:ascii="Tahoma" w:hAnsi="Tahoma" w:cs="Tahoma"/>
        <w:sz w:val="20"/>
        <w:szCs w:val="20"/>
      </w:rPr>
    </w:pPr>
    <w:r>
      <w:rPr>
        <w:rFonts w:cs="Tahoma" w:ascii="Tahoma" w:hAnsi="Tahoma"/>
        <w:sz w:val="20"/>
        <w:szCs w:val="20"/>
      </w:rPr>
      <w:t>ISSN: 2044-3315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0" w:after="0"/>
      <w:rPr/>
    </w:pPr>
    <w:r>
      <w:rPr>
        <w:rFonts w:cs="Arial" w:ascii="Arial" w:hAnsi="Arial"/>
        <w:sz w:val="20"/>
        <w:szCs w:val="20"/>
      </w:rPr>
      <w:t>Innovative Practice in Higher Education</w:t>
    </w:r>
    <w:r>
      <w:rPr>
        <w:rFonts w:cs="Arial" w:ascii="Arial" w:hAnsi="Arial"/>
        <w:b/>
        <w:bCs/>
        <w:sz w:val="20"/>
        <w:szCs w:val="20"/>
      </w:rPr>
      <w:t xml:space="preserve"> </w:t>
      <w:tab/>
      <w:tab/>
      <w:tab/>
      <w:tab/>
      <w:tab/>
      <w:tab/>
      <w:tab/>
    </w:r>
    <w:r>
      <w:rPr>
        <w:rFonts w:cs="Arial" w:ascii="Arial" w:hAnsi="Arial"/>
        <w:sz w:val="20"/>
        <w:szCs w:val="20"/>
      </w:rPr>
      <w:t>McFarlane</w:t>
    </w:r>
  </w:p>
  <w:p>
    <w:pPr>
      <w:pStyle w:val="NormalWeb"/>
      <w:spacing w:before="0" w:after="0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Vol.4 (</w:t>
    </w:r>
    <w:r>
      <w:rPr>
        <w:rFonts w:cs="Arial" w:ascii="Arial" w:hAnsi="Arial"/>
        <w:sz w:val="20"/>
        <w:szCs w:val="20"/>
      </w:rPr>
      <w:t>3</w:t>
    </w:r>
    <w:r>
      <w:rPr>
        <w:rFonts w:cs="Arial" w:ascii="Arial" w:hAnsi="Arial"/>
        <w:sz w:val="20"/>
        <w:szCs w:val="20"/>
      </w:rPr>
      <w:t>) April 202</w:t>
    </w:r>
    <w:r>
      <w:rPr>
        <w:rFonts w:cs="Arial" w:ascii="Arial" w:hAnsi="Arial"/>
        <w:sz w:val="20"/>
        <w:szCs w:val="20"/>
      </w:rPr>
      <w:t>2</w:t>
    </w:r>
    <w:r>
      <w:rPr>
        <w:rFonts w:cs="Arial" w:ascii="Arial" w:hAnsi="Arial"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thryn.mcfarlane4@btinternet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1005</TotalTime>
  <Application>LibreOffice/6.3.1.2$Windows_X86_64 LibreOffice_project/b79626edf0065ac373bd1df5c28bd630b4424273</Application>
  <Pages>4</Pages>
  <Words>1052</Words>
  <CharactersWithSpaces>6728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2021-12-28T17:16:18Z</dcterms:created>
  <dc:creator/>
  <dc:description/>
  <dc:language>en-GB</dc:language>
  <cp:lastModifiedBy/>
  <dcterms:modified xsi:type="dcterms:W3CDTF">2022-01-23T20:24:41Z</dcterms:modified>
  <cp:revision>218</cp:revision>
  <dc:subject/>
  <dc:title/>
</cp:coreProperties>
</file>