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2686" w14:textId="172C2386" w:rsidR="00D50397" w:rsidRPr="007E34A1" w:rsidRDefault="00D50397" w:rsidP="007E34A1">
      <w:pPr>
        <w:spacing w:line="360" w:lineRule="auto"/>
        <w:rPr>
          <w:rFonts w:ascii="Tahoma" w:eastAsia="Calibri" w:hAnsi="Tahoma" w:cs="Tahoma"/>
          <w:b/>
          <w:sz w:val="32"/>
          <w:szCs w:val="32"/>
        </w:rPr>
      </w:pPr>
      <w:r w:rsidRPr="007E34A1">
        <w:rPr>
          <w:rFonts w:ascii="Tahoma" w:eastAsia="Calibri" w:hAnsi="Tahoma" w:cs="Tahoma"/>
          <w:b/>
          <w:sz w:val="32"/>
          <w:szCs w:val="32"/>
        </w:rPr>
        <w:t xml:space="preserve">Using </w:t>
      </w:r>
      <w:r w:rsidR="00757D28" w:rsidRPr="007E34A1">
        <w:rPr>
          <w:rFonts w:ascii="Tahoma" w:eastAsia="Calibri" w:hAnsi="Tahoma" w:cs="Tahoma"/>
          <w:b/>
          <w:sz w:val="32"/>
          <w:szCs w:val="32"/>
        </w:rPr>
        <w:t xml:space="preserve">the </w:t>
      </w:r>
      <w:r w:rsidR="00207674" w:rsidRPr="007E34A1">
        <w:rPr>
          <w:rFonts w:ascii="Tahoma" w:eastAsia="Calibri" w:hAnsi="Tahoma" w:cs="Tahoma"/>
          <w:b/>
          <w:sz w:val="32"/>
          <w:szCs w:val="32"/>
        </w:rPr>
        <w:t>Business Model Canvas</w:t>
      </w:r>
      <w:r w:rsidRPr="007E34A1">
        <w:rPr>
          <w:rFonts w:ascii="Tahoma" w:eastAsia="Calibri" w:hAnsi="Tahoma" w:cs="Tahoma"/>
          <w:b/>
          <w:sz w:val="32"/>
          <w:szCs w:val="32"/>
        </w:rPr>
        <w:t xml:space="preserve"> to conceptualise the value proposition of heutagogical executive education</w:t>
      </w:r>
      <w:r w:rsidR="001B0C3B" w:rsidRPr="007E34A1">
        <w:rPr>
          <w:rFonts w:ascii="Tahoma" w:eastAsia="Calibri" w:hAnsi="Tahoma" w:cs="Tahoma"/>
          <w:b/>
          <w:sz w:val="32"/>
          <w:szCs w:val="32"/>
        </w:rPr>
        <w:t>.</w:t>
      </w:r>
    </w:p>
    <w:p w14:paraId="10D2E847" w14:textId="77777777" w:rsidR="00D22A5F" w:rsidRDefault="00D22A5F" w:rsidP="00D22A5F">
      <w:pPr>
        <w:spacing w:line="360" w:lineRule="auto"/>
        <w:rPr>
          <w:rFonts w:ascii="Tahoma" w:hAnsi="Tahoma" w:cs="Tahoma"/>
          <w:b/>
          <w:sz w:val="24"/>
          <w:szCs w:val="24"/>
        </w:rPr>
      </w:pPr>
    </w:p>
    <w:p w14:paraId="79965962" w14:textId="65C9FBEF" w:rsidR="00D22A5F" w:rsidRDefault="00D22A5F" w:rsidP="00D22A5F">
      <w:pPr>
        <w:spacing w:line="360" w:lineRule="auto"/>
        <w:rPr>
          <w:rFonts w:ascii="Tahoma" w:hAnsi="Tahoma" w:cs="Tahoma"/>
          <w:b/>
          <w:sz w:val="24"/>
          <w:szCs w:val="24"/>
        </w:rPr>
      </w:pPr>
      <w:r>
        <w:rPr>
          <w:rFonts w:ascii="Tahoma" w:hAnsi="Tahoma" w:cs="Tahoma"/>
          <w:b/>
          <w:sz w:val="24"/>
          <w:szCs w:val="24"/>
        </w:rPr>
        <w:t>David William Stoten</w:t>
      </w:r>
    </w:p>
    <w:p w14:paraId="17EFEE1A" w14:textId="77777777" w:rsidR="00D22A5F" w:rsidRPr="00422B7D" w:rsidRDefault="00D22A5F" w:rsidP="00D22A5F">
      <w:pPr>
        <w:spacing w:line="360" w:lineRule="auto"/>
        <w:rPr>
          <w:rFonts w:ascii="Tahoma" w:hAnsi="Tahoma" w:cs="Tahoma"/>
          <w:bCs/>
          <w:sz w:val="24"/>
          <w:szCs w:val="24"/>
        </w:rPr>
      </w:pPr>
      <w:r w:rsidRPr="00422B7D">
        <w:rPr>
          <w:rFonts w:ascii="Tahoma" w:hAnsi="Tahoma" w:cs="Tahoma"/>
          <w:bCs/>
          <w:sz w:val="24"/>
          <w:szCs w:val="24"/>
        </w:rPr>
        <w:t>Northumbria University</w:t>
      </w:r>
    </w:p>
    <w:p w14:paraId="4564F7C0" w14:textId="6A8E2BB1" w:rsidR="00C35BD2" w:rsidRPr="007E34A1" w:rsidRDefault="00D22A5F" w:rsidP="00D22A5F">
      <w:pPr>
        <w:spacing w:line="360" w:lineRule="auto"/>
        <w:rPr>
          <w:rFonts w:ascii="Tahoma" w:eastAsia="Calibri" w:hAnsi="Tahoma" w:cs="Tahoma"/>
          <w:sz w:val="24"/>
          <w:szCs w:val="24"/>
        </w:rPr>
      </w:pPr>
      <w:r>
        <w:rPr>
          <w:rFonts w:ascii="Tahoma" w:hAnsi="Tahoma" w:cs="Tahoma"/>
          <w:bCs/>
          <w:sz w:val="24"/>
          <w:szCs w:val="24"/>
        </w:rPr>
        <w:t xml:space="preserve">Corresponding author: </w:t>
      </w:r>
      <w:hyperlink r:id="rId7" w:history="1">
        <w:r w:rsidRPr="002B29F6">
          <w:rPr>
            <w:rStyle w:val="Hyperlink"/>
            <w:rFonts w:ascii="Tahoma" w:hAnsi="Tahoma" w:cs="Tahoma"/>
            <w:bCs/>
            <w:sz w:val="24"/>
            <w:szCs w:val="24"/>
          </w:rPr>
          <w:t>david.stoten@northumbria.ac.uk</w:t>
        </w:r>
      </w:hyperlink>
    </w:p>
    <w:p w14:paraId="6D8C9E07" w14:textId="77777777" w:rsidR="00D22A5F" w:rsidRDefault="00D22A5F" w:rsidP="007E34A1">
      <w:pPr>
        <w:spacing w:line="360" w:lineRule="auto"/>
        <w:rPr>
          <w:rFonts w:ascii="Tahoma" w:eastAsia="Calibri" w:hAnsi="Tahoma" w:cs="Tahoma"/>
          <w:b/>
          <w:bCs/>
          <w:sz w:val="28"/>
          <w:szCs w:val="28"/>
        </w:rPr>
      </w:pPr>
    </w:p>
    <w:p w14:paraId="0543F730" w14:textId="0625A737" w:rsidR="00D50397" w:rsidRPr="007E34A1" w:rsidRDefault="00D50397" w:rsidP="007E34A1">
      <w:pPr>
        <w:spacing w:line="360" w:lineRule="auto"/>
        <w:rPr>
          <w:rFonts w:ascii="Tahoma" w:eastAsia="Calibri" w:hAnsi="Tahoma" w:cs="Tahoma"/>
          <w:b/>
          <w:bCs/>
          <w:sz w:val="28"/>
          <w:szCs w:val="28"/>
        </w:rPr>
      </w:pPr>
      <w:r w:rsidRPr="007E34A1">
        <w:rPr>
          <w:rFonts w:ascii="Tahoma" w:eastAsia="Calibri" w:hAnsi="Tahoma" w:cs="Tahoma"/>
          <w:b/>
          <w:bCs/>
          <w:sz w:val="28"/>
          <w:szCs w:val="28"/>
        </w:rPr>
        <w:t>Abstract</w:t>
      </w:r>
    </w:p>
    <w:p w14:paraId="1B6E9AD2" w14:textId="4A05E78F" w:rsidR="00D50397" w:rsidRPr="007E34A1" w:rsidRDefault="00F05D0D" w:rsidP="007E34A1">
      <w:pPr>
        <w:spacing w:line="360" w:lineRule="auto"/>
        <w:rPr>
          <w:rFonts w:ascii="Tahoma" w:eastAsia="Calibri" w:hAnsi="Tahoma" w:cs="Tahoma"/>
          <w:color w:val="7030A0"/>
          <w:sz w:val="24"/>
          <w:szCs w:val="24"/>
        </w:rPr>
      </w:pPr>
      <w:bookmarkStart w:id="0" w:name="_Hlk109137545"/>
      <w:r w:rsidRPr="007E34A1">
        <w:rPr>
          <w:rFonts w:ascii="Tahoma" w:eastAsia="Calibri" w:hAnsi="Tahoma" w:cs="Tahoma"/>
          <w:sz w:val="24"/>
          <w:szCs w:val="24"/>
        </w:rPr>
        <w:t xml:space="preserve">Executive education </w:t>
      </w:r>
      <w:r w:rsidR="007C2F4B" w:rsidRPr="007E34A1">
        <w:rPr>
          <w:rFonts w:ascii="Tahoma" w:eastAsia="Calibri" w:hAnsi="Tahoma" w:cs="Tahoma"/>
          <w:sz w:val="24"/>
          <w:szCs w:val="24"/>
        </w:rPr>
        <w:t xml:space="preserve">(EE) </w:t>
      </w:r>
      <w:r w:rsidRPr="007E34A1">
        <w:rPr>
          <w:rFonts w:ascii="Tahoma" w:eastAsia="Calibri" w:hAnsi="Tahoma" w:cs="Tahoma"/>
          <w:sz w:val="24"/>
          <w:szCs w:val="24"/>
        </w:rPr>
        <w:t xml:space="preserve">is being transformed but what direction will it take in the future? One possible trajectory is that to a personalised curriculum. In a world that is increasingly characterised by uncertainty and volatility, there is a need to </w:t>
      </w:r>
      <w:r w:rsidR="004C15FD" w:rsidRPr="007E34A1">
        <w:rPr>
          <w:rFonts w:ascii="Tahoma" w:eastAsia="Calibri" w:hAnsi="Tahoma" w:cs="Tahoma"/>
          <w:sz w:val="24"/>
          <w:szCs w:val="24"/>
        </w:rPr>
        <w:t xml:space="preserve">develop adaptive capability in organisational decision-makers. Heutagogy offers a view of personalised learning that is centred on authentic learning in an occupational context. How Business Schools make the transition to heutagogy remains uncertain and problematic. </w:t>
      </w:r>
      <w:r w:rsidR="00557A19" w:rsidRPr="007E34A1">
        <w:rPr>
          <w:rFonts w:ascii="Tahoma" w:eastAsia="Calibri" w:hAnsi="Tahoma" w:cs="Tahoma"/>
          <w:sz w:val="24"/>
          <w:szCs w:val="24"/>
        </w:rPr>
        <w:t xml:space="preserve">Many Business Schools are wedded to traditional forms of curriculum design that centre on the transmission of knowledge to large cohorts of students rather than the promotion of individualised learning opportunities. How then can Business Schools think of ways in which to re-conceptualise a future that advocates personalised learning? </w:t>
      </w:r>
      <w:r w:rsidR="004C15FD" w:rsidRPr="007E34A1">
        <w:rPr>
          <w:rFonts w:ascii="Tahoma" w:eastAsia="Calibri" w:hAnsi="Tahoma" w:cs="Tahoma"/>
          <w:sz w:val="24"/>
          <w:szCs w:val="24"/>
        </w:rPr>
        <w:t xml:space="preserve">The </w:t>
      </w:r>
      <w:r w:rsidR="00207674" w:rsidRPr="007E34A1">
        <w:rPr>
          <w:rFonts w:ascii="Tahoma" w:eastAsia="Calibri" w:hAnsi="Tahoma" w:cs="Tahoma"/>
          <w:sz w:val="24"/>
          <w:szCs w:val="24"/>
        </w:rPr>
        <w:t>Business Model Canvas</w:t>
      </w:r>
      <w:r w:rsidR="004C15FD" w:rsidRPr="007E34A1">
        <w:rPr>
          <w:rFonts w:ascii="Tahoma" w:eastAsia="Calibri" w:hAnsi="Tahoma" w:cs="Tahoma"/>
          <w:sz w:val="24"/>
          <w:szCs w:val="24"/>
        </w:rPr>
        <w:t xml:space="preserve"> provides one way of conceptualising the </w:t>
      </w:r>
      <w:r w:rsidR="00557A19" w:rsidRPr="007E34A1">
        <w:rPr>
          <w:rFonts w:ascii="Tahoma" w:eastAsia="Calibri" w:hAnsi="Tahoma" w:cs="Tahoma"/>
          <w:sz w:val="24"/>
          <w:szCs w:val="24"/>
        </w:rPr>
        <w:t xml:space="preserve">heutagogic </w:t>
      </w:r>
      <w:r w:rsidR="004C15FD" w:rsidRPr="007E34A1">
        <w:rPr>
          <w:rFonts w:ascii="Tahoma" w:eastAsia="Calibri" w:hAnsi="Tahoma" w:cs="Tahoma"/>
          <w:sz w:val="24"/>
          <w:szCs w:val="24"/>
        </w:rPr>
        <w:t>curriculum in an accessible manner. This paper provides an exemplar of how it could be applied.</w:t>
      </w:r>
      <w:r w:rsidR="007C2F4B" w:rsidRPr="007E34A1">
        <w:rPr>
          <w:rFonts w:ascii="Tahoma" w:eastAsia="Calibri" w:hAnsi="Tahoma" w:cs="Tahoma"/>
          <w:sz w:val="24"/>
          <w:szCs w:val="24"/>
        </w:rPr>
        <w:t xml:space="preserve"> </w:t>
      </w:r>
      <w:r w:rsidR="007C2F4B" w:rsidRPr="009F166D">
        <w:rPr>
          <w:rFonts w:ascii="Tahoma" w:eastAsia="Calibri" w:hAnsi="Tahoma" w:cs="Tahoma"/>
          <w:sz w:val="24"/>
          <w:szCs w:val="24"/>
        </w:rPr>
        <w:t xml:space="preserve">The conclusions proffered infer that the future of EE will be characterised by greater responsiveness to market demands that centre on accessibility, relevance and increased learner autonomy. </w:t>
      </w:r>
    </w:p>
    <w:bookmarkEnd w:id="0"/>
    <w:p w14:paraId="7D362E78" w14:textId="296A1B2A" w:rsidR="00D50397" w:rsidRPr="007E34A1" w:rsidRDefault="00D50397" w:rsidP="007E34A1">
      <w:pPr>
        <w:spacing w:line="360" w:lineRule="auto"/>
        <w:rPr>
          <w:rFonts w:ascii="Tahoma" w:eastAsia="Calibri" w:hAnsi="Tahoma" w:cs="Tahoma"/>
          <w:b/>
          <w:bCs/>
          <w:sz w:val="24"/>
          <w:szCs w:val="24"/>
        </w:rPr>
      </w:pPr>
      <w:r w:rsidRPr="007E34A1">
        <w:rPr>
          <w:rFonts w:ascii="Tahoma" w:eastAsia="Calibri" w:hAnsi="Tahoma" w:cs="Tahoma"/>
          <w:b/>
          <w:bCs/>
          <w:sz w:val="28"/>
          <w:szCs w:val="28"/>
        </w:rPr>
        <w:t>Keywords</w:t>
      </w:r>
      <w:r w:rsidR="00F05D0D" w:rsidRPr="007E34A1">
        <w:rPr>
          <w:rFonts w:ascii="Tahoma" w:eastAsia="Calibri" w:hAnsi="Tahoma" w:cs="Tahoma"/>
          <w:b/>
          <w:bCs/>
          <w:sz w:val="28"/>
          <w:szCs w:val="28"/>
        </w:rPr>
        <w:t>:</w:t>
      </w:r>
      <w:r w:rsidRPr="007E34A1">
        <w:rPr>
          <w:rFonts w:ascii="Tahoma" w:eastAsia="Calibri" w:hAnsi="Tahoma" w:cs="Tahoma"/>
          <w:b/>
          <w:bCs/>
          <w:sz w:val="24"/>
          <w:szCs w:val="24"/>
        </w:rPr>
        <w:t xml:space="preserve"> </w:t>
      </w:r>
      <w:r w:rsidRPr="007E34A1">
        <w:rPr>
          <w:rFonts w:ascii="Tahoma" w:eastAsia="Calibri" w:hAnsi="Tahoma" w:cs="Tahoma"/>
          <w:bCs/>
          <w:sz w:val="24"/>
          <w:szCs w:val="24"/>
        </w:rPr>
        <w:t xml:space="preserve">Heutagogy; </w:t>
      </w:r>
      <w:r w:rsidR="00207674" w:rsidRPr="007E34A1">
        <w:rPr>
          <w:rFonts w:ascii="Tahoma" w:eastAsia="Calibri" w:hAnsi="Tahoma" w:cs="Tahoma"/>
          <w:bCs/>
          <w:sz w:val="24"/>
          <w:szCs w:val="24"/>
        </w:rPr>
        <w:t>Business Model Canvas</w:t>
      </w:r>
      <w:r w:rsidR="00666B1A" w:rsidRPr="007E34A1">
        <w:rPr>
          <w:rFonts w:ascii="Tahoma" w:eastAsia="Calibri" w:hAnsi="Tahoma" w:cs="Tahoma"/>
          <w:bCs/>
          <w:sz w:val="24"/>
          <w:szCs w:val="24"/>
        </w:rPr>
        <w:t xml:space="preserve">; Executive </w:t>
      </w:r>
      <w:r w:rsidR="00F05D0D" w:rsidRPr="007E34A1">
        <w:rPr>
          <w:rFonts w:ascii="Tahoma" w:eastAsia="Calibri" w:hAnsi="Tahoma" w:cs="Tahoma"/>
          <w:bCs/>
          <w:sz w:val="24"/>
          <w:szCs w:val="24"/>
        </w:rPr>
        <w:t>E</w:t>
      </w:r>
      <w:r w:rsidR="00666B1A" w:rsidRPr="007E34A1">
        <w:rPr>
          <w:rFonts w:ascii="Tahoma" w:eastAsia="Calibri" w:hAnsi="Tahoma" w:cs="Tahoma"/>
          <w:bCs/>
          <w:sz w:val="24"/>
          <w:szCs w:val="24"/>
        </w:rPr>
        <w:t>ducation</w:t>
      </w:r>
      <w:r w:rsidR="00F05D0D" w:rsidRPr="007E34A1">
        <w:rPr>
          <w:rFonts w:ascii="Tahoma" w:eastAsia="Calibri" w:hAnsi="Tahoma" w:cs="Tahoma"/>
          <w:bCs/>
          <w:sz w:val="24"/>
          <w:szCs w:val="24"/>
        </w:rPr>
        <w:t>; Business School</w:t>
      </w:r>
    </w:p>
    <w:p w14:paraId="1325F413" w14:textId="77777777" w:rsidR="00C35BD2" w:rsidRPr="007E34A1" w:rsidRDefault="00C35BD2" w:rsidP="007E34A1">
      <w:pPr>
        <w:spacing w:line="360" w:lineRule="auto"/>
        <w:rPr>
          <w:rFonts w:ascii="Tahoma" w:eastAsia="Calibri" w:hAnsi="Tahoma" w:cs="Tahoma"/>
          <w:b/>
          <w:bCs/>
          <w:sz w:val="28"/>
          <w:szCs w:val="28"/>
        </w:rPr>
      </w:pPr>
      <w:r w:rsidRPr="007E34A1">
        <w:rPr>
          <w:rFonts w:ascii="Tahoma" w:eastAsia="Calibri" w:hAnsi="Tahoma" w:cs="Tahoma"/>
          <w:b/>
          <w:bCs/>
          <w:sz w:val="28"/>
          <w:szCs w:val="28"/>
        </w:rPr>
        <w:lastRenderedPageBreak/>
        <w:t>Introduction</w:t>
      </w:r>
    </w:p>
    <w:p w14:paraId="321129B6" w14:textId="3B07D26D"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Executive education (EE) is changing but how can Business Schools conceptualise its future value proposition? The post-pandemic literature highlights the changing environment within which Business Schools operate, with alternative providers entering this global market and employers more conscious of the costs as well as the benefits of EE (Birkenshaw, 2022; Hammergren, 2021; Jack, 2021; Roos, 2022). It is within this changing market environment that alternative conceptions of EE are being explored. This re-evaluation of EE extends beyond what is included in the future curriculum to how it is offered to potential students, and its wider societal purpose (Stoten, 2022). Learning about how to model an organisation’s value proposition is a fundamental part of management education and professional development- so perhaps we should expect Business Schools to practice what they teach? </w:t>
      </w:r>
      <w:r w:rsidR="0045469C" w:rsidRPr="009F166D">
        <w:rPr>
          <w:rFonts w:ascii="Tahoma" w:eastAsia="Calibri" w:hAnsi="Tahoma" w:cs="Tahoma"/>
          <w:sz w:val="24"/>
          <w:szCs w:val="24"/>
        </w:rPr>
        <w:t>U</w:t>
      </w:r>
      <w:r w:rsidRPr="009F166D">
        <w:rPr>
          <w:rFonts w:ascii="Tahoma" w:eastAsia="Calibri" w:hAnsi="Tahoma" w:cs="Tahoma"/>
          <w:sz w:val="24"/>
          <w:szCs w:val="24"/>
        </w:rPr>
        <w:t xml:space="preserve">nderstanding </w:t>
      </w:r>
      <w:r w:rsidR="0045469C" w:rsidRPr="009F166D">
        <w:rPr>
          <w:rFonts w:ascii="Tahoma" w:eastAsia="Calibri" w:hAnsi="Tahoma" w:cs="Tahoma"/>
          <w:sz w:val="24"/>
          <w:szCs w:val="24"/>
        </w:rPr>
        <w:t xml:space="preserve">the nature of </w:t>
      </w:r>
      <w:r w:rsidRPr="009F166D">
        <w:rPr>
          <w:rFonts w:ascii="Tahoma" w:eastAsia="Calibri" w:hAnsi="Tahoma" w:cs="Tahoma"/>
          <w:sz w:val="24"/>
          <w:szCs w:val="24"/>
        </w:rPr>
        <w:t>an organisation, its assets and potential to deliver o</w:t>
      </w:r>
      <w:r w:rsidR="0045469C" w:rsidRPr="009F166D">
        <w:rPr>
          <w:rFonts w:ascii="Tahoma" w:eastAsia="Calibri" w:hAnsi="Tahoma" w:cs="Tahoma"/>
          <w:sz w:val="24"/>
          <w:szCs w:val="24"/>
        </w:rPr>
        <w:t>n</w:t>
      </w:r>
      <w:r w:rsidRPr="009F166D">
        <w:rPr>
          <w:rFonts w:ascii="Tahoma" w:eastAsia="Calibri" w:hAnsi="Tahoma" w:cs="Tahoma"/>
          <w:sz w:val="24"/>
          <w:szCs w:val="24"/>
        </w:rPr>
        <w:t xml:space="preserve"> its mission </w:t>
      </w:r>
      <w:r w:rsidR="0045469C" w:rsidRPr="009F166D">
        <w:rPr>
          <w:rFonts w:ascii="Tahoma" w:eastAsia="Calibri" w:hAnsi="Tahoma" w:cs="Tahoma"/>
          <w:sz w:val="24"/>
          <w:szCs w:val="24"/>
        </w:rPr>
        <w:t xml:space="preserve">through conceptual modelling is important in strategic planning and policy formulation </w:t>
      </w:r>
      <w:r w:rsidRPr="007E34A1">
        <w:rPr>
          <w:rFonts w:ascii="Tahoma" w:eastAsia="Calibri" w:hAnsi="Tahoma" w:cs="Tahoma"/>
          <w:sz w:val="24"/>
          <w:szCs w:val="24"/>
        </w:rPr>
        <w:t>(Cosenz and Noto, 2018; Cosenz and Bivona, 2021). This paper explores the relevance of the business canvas model to the development of management education, with a particular focus on the design of a heutagogic EE curriculum. The research question that informs this discussion is: how can the Business Model Canvas (BMC) encapsulate a heutagogic framework for EE? The findings are presented in the form of a canvas model for heutagogic executive education. This approach may also serve to inform other strategic choices in other educational contexts.</w:t>
      </w:r>
    </w:p>
    <w:p w14:paraId="7CEF55C3" w14:textId="77777777" w:rsidR="00C35BD2" w:rsidRPr="007E34A1" w:rsidRDefault="00C35BD2" w:rsidP="007E34A1">
      <w:pPr>
        <w:spacing w:line="360" w:lineRule="auto"/>
        <w:rPr>
          <w:rFonts w:ascii="Tahoma" w:eastAsia="Calibri" w:hAnsi="Tahoma" w:cs="Tahoma"/>
          <w:b/>
          <w:bCs/>
          <w:sz w:val="28"/>
          <w:szCs w:val="28"/>
        </w:rPr>
      </w:pPr>
      <w:r w:rsidRPr="007E34A1">
        <w:rPr>
          <w:rFonts w:ascii="Tahoma" w:eastAsia="Calibri" w:hAnsi="Tahoma" w:cs="Tahoma"/>
          <w:b/>
          <w:bCs/>
          <w:sz w:val="28"/>
          <w:szCs w:val="28"/>
        </w:rPr>
        <w:t>Literature Review</w:t>
      </w:r>
    </w:p>
    <w:p w14:paraId="04BA1374" w14:textId="77777777" w:rsidR="00C35BD2" w:rsidRPr="009F166D" w:rsidRDefault="00C35BD2" w:rsidP="007E34A1">
      <w:pPr>
        <w:spacing w:line="360" w:lineRule="auto"/>
        <w:rPr>
          <w:rFonts w:ascii="Tahoma" w:eastAsia="Calibri" w:hAnsi="Tahoma" w:cs="Tahoma"/>
          <w:b/>
          <w:bCs/>
          <w:sz w:val="24"/>
          <w:szCs w:val="24"/>
        </w:rPr>
      </w:pPr>
      <w:r w:rsidRPr="009F166D">
        <w:rPr>
          <w:rFonts w:ascii="Tahoma" w:eastAsia="Calibri" w:hAnsi="Tahoma" w:cs="Tahoma"/>
          <w:b/>
          <w:bCs/>
          <w:sz w:val="24"/>
          <w:szCs w:val="24"/>
        </w:rPr>
        <w:t>The changing environment of EE</w:t>
      </w:r>
    </w:p>
    <w:p w14:paraId="7188F51F" w14:textId="60F05DF5" w:rsidR="00C35BD2" w:rsidRPr="009F166D" w:rsidRDefault="00CB2C66" w:rsidP="007E34A1">
      <w:pPr>
        <w:spacing w:line="360" w:lineRule="auto"/>
        <w:rPr>
          <w:rFonts w:ascii="Tahoma" w:eastAsia="Calibri" w:hAnsi="Tahoma" w:cs="Tahoma"/>
          <w:sz w:val="24"/>
          <w:szCs w:val="24"/>
        </w:rPr>
      </w:pPr>
      <w:r w:rsidRPr="009F166D">
        <w:rPr>
          <w:rFonts w:ascii="Tahoma" w:eastAsia="Calibri" w:hAnsi="Tahoma" w:cs="Tahoma"/>
          <w:sz w:val="24"/>
          <w:szCs w:val="24"/>
        </w:rPr>
        <w:t xml:space="preserve">Whereas undergraduate Business School education is generally delivered on a full-time basis and focusses on the acquisition of foundational knowledge and functional skills for future employment, EE is concerned with upskilling the management cadre to meet the challenges of an increasingly volatile environment and is usually provided through part-time </w:t>
      </w:r>
      <w:r w:rsidR="00291824" w:rsidRPr="009F166D">
        <w:rPr>
          <w:rFonts w:ascii="Tahoma" w:eastAsia="Calibri" w:hAnsi="Tahoma" w:cs="Tahoma"/>
          <w:sz w:val="24"/>
          <w:szCs w:val="24"/>
        </w:rPr>
        <w:t xml:space="preserve">postgraduate </w:t>
      </w:r>
      <w:r w:rsidRPr="009F166D">
        <w:rPr>
          <w:rFonts w:ascii="Tahoma" w:eastAsia="Calibri" w:hAnsi="Tahoma" w:cs="Tahoma"/>
          <w:sz w:val="24"/>
          <w:szCs w:val="24"/>
        </w:rPr>
        <w:t xml:space="preserve">provision. </w:t>
      </w:r>
      <w:r w:rsidR="00C35BD2" w:rsidRPr="009F166D">
        <w:rPr>
          <w:rFonts w:ascii="Tahoma" w:eastAsia="Calibri" w:hAnsi="Tahoma" w:cs="Tahoma"/>
          <w:sz w:val="24"/>
          <w:szCs w:val="24"/>
        </w:rPr>
        <w:t xml:space="preserve">The literature on EE has </w:t>
      </w:r>
      <w:r w:rsidR="00C35BD2" w:rsidRPr="009F166D">
        <w:rPr>
          <w:rFonts w:ascii="Tahoma" w:eastAsia="Calibri" w:hAnsi="Tahoma" w:cs="Tahoma"/>
          <w:sz w:val="24"/>
          <w:szCs w:val="24"/>
        </w:rPr>
        <w:lastRenderedPageBreak/>
        <w:t>identified the need for change in the ways Business Schools conceive, design and deliver the curriculum for decades (Conger and Xin, 2000; Dover</w:t>
      </w:r>
      <w:r w:rsidR="000170E8" w:rsidRPr="009F166D">
        <w:rPr>
          <w:rFonts w:ascii="Tahoma" w:eastAsia="Calibri" w:hAnsi="Tahoma" w:cs="Tahoma"/>
          <w:sz w:val="24"/>
          <w:szCs w:val="24"/>
        </w:rPr>
        <w:t xml:space="preserve"> et al. </w:t>
      </w:r>
      <w:r w:rsidR="00C35BD2" w:rsidRPr="009F166D">
        <w:rPr>
          <w:rFonts w:ascii="Tahoma" w:eastAsia="Calibri" w:hAnsi="Tahoma" w:cs="Tahoma"/>
          <w:sz w:val="24"/>
          <w:szCs w:val="24"/>
        </w:rPr>
        <w:t xml:space="preserve">2018; Kets de Vries, and Korotov, 2007; Mintzberg, 2004; Pfeffer and Fong, 2002; Spender, 2017). However, the critique of EE has gathered pace in recent years because of a number of disruptors that have impacted on the market that has historically been dominated by the traditional Business School model (Wind, 2022). This model of EE was centred on the delivery of research-led and menu-like approaches to problem-solving on campus to executives through the MBA or bespoke short learning experiences. One criticism of this approach was that it was overly concerned with abstract theoretical discourse rather than engaging students in practical, work-based problem-solving (Mintzberg, 2004; Stoten, 2019). It also inferred that although students were the consumer, EE was characterised by producer sovereignty. However, the critique of EE extends beyond what is taught to wider issues such as value for money (Jack, 2021) and the broader development of people-management skills. The need to reappraise EE has accelerated because of the Covid-19 pandemic and the shift to online and blended forms of learning, which have disrupted the traditional business curriculum (Kearney </w:t>
      </w:r>
      <w:r w:rsidR="000170E8" w:rsidRPr="009F166D">
        <w:rPr>
          <w:rFonts w:ascii="Tahoma" w:eastAsia="Calibri" w:hAnsi="Tahoma" w:cs="Tahoma"/>
          <w:sz w:val="24"/>
          <w:szCs w:val="24"/>
        </w:rPr>
        <w:t>et al.</w:t>
      </w:r>
      <w:r w:rsidR="00C35BD2" w:rsidRPr="009F166D">
        <w:rPr>
          <w:rFonts w:ascii="Tahoma" w:eastAsia="Calibri" w:hAnsi="Tahoma" w:cs="Tahoma"/>
          <w:sz w:val="24"/>
          <w:szCs w:val="24"/>
        </w:rPr>
        <w:t xml:space="preserve"> 2021). In this sense, the established idea of a value proposition that was limited to learning about what academics perceived to be important, and their world view of EE, is increasingly moribund.</w:t>
      </w:r>
    </w:p>
    <w:p w14:paraId="2E309801" w14:textId="383C61A2" w:rsidR="00C35BD2" w:rsidRPr="007E34A1" w:rsidRDefault="00C35BD2" w:rsidP="007E34A1">
      <w:pPr>
        <w:spacing w:line="360" w:lineRule="auto"/>
        <w:rPr>
          <w:rFonts w:ascii="Tahoma" w:eastAsia="Calibri" w:hAnsi="Tahoma" w:cs="Tahoma"/>
          <w:sz w:val="24"/>
          <w:szCs w:val="24"/>
        </w:rPr>
      </w:pPr>
      <w:r w:rsidRPr="009F166D">
        <w:rPr>
          <w:rFonts w:ascii="Tahoma" w:eastAsia="Calibri" w:hAnsi="Tahoma" w:cs="Tahoma"/>
          <w:sz w:val="24"/>
          <w:szCs w:val="24"/>
        </w:rPr>
        <w:t xml:space="preserve">The emergence of new forms of digital technology affords the development of innovative approaches to EE (Dakduk </w:t>
      </w:r>
      <w:r w:rsidR="000170E8" w:rsidRPr="009F166D">
        <w:rPr>
          <w:rFonts w:ascii="Tahoma" w:eastAsia="Calibri" w:hAnsi="Tahoma" w:cs="Tahoma"/>
          <w:sz w:val="24"/>
          <w:szCs w:val="24"/>
        </w:rPr>
        <w:t>et al.</w:t>
      </w:r>
      <w:r w:rsidRPr="009F166D">
        <w:rPr>
          <w:rFonts w:ascii="Tahoma" w:eastAsia="Calibri" w:hAnsi="Tahoma" w:cs="Tahoma"/>
          <w:sz w:val="24"/>
          <w:szCs w:val="24"/>
        </w:rPr>
        <w:t xml:space="preserve"> 2018). The use of virtual learning environments (VLEs), such as Blackboard, and smartphones in m-learning is recognised in the literature (Cochrane </w:t>
      </w:r>
      <w:r w:rsidR="006D4E34" w:rsidRPr="009F166D">
        <w:rPr>
          <w:rFonts w:ascii="Tahoma" w:eastAsia="Calibri" w:hAnsi="Tahoma" w:cs="Tahoma"/>
          <w:sz w:val="24"/>
          <w:szCs w:val="24"/>
        </w:rPr>
        <w:t xml:space="preserve">et al. </w:t>
      </w:r>
      <w:r w:rsidRPr="009F166D">
        <w:rPr>
          <w:rFonts w:ascii="Tahoma" w:eastAsia="Calibri" w:hAnsi="Tahoma" w:cs="Tahoma"/>
          <w:sz w:val="24"/>
          <w:szCs w:val="24"/>
        </w:rPr>
        <w:t xml:space="preserve">2014) but we are now entering a new stage in the ways in which learning can be facilitated through digital technology (Del Alcazar-Benjumea and Iniguez, 2022). Digital technology serves to redefine the spatial and temporal context for learning and the means through which information can be accessed and organised. Hammergren (2021) reports on a transformational shift in the market towards synchronous online delivery of the curriculum and away from traditional campus-based delivery. Importantly, Jack (2021) reported that 25% of companies intended to invest more in employee development. Although the shift </w:t>
      </w:r>
      <w:r w:rsidRPr="007E34A1">
        <w:rPr>
          <w:rFonts w:ascii="Tahoma" w:eastAsia="Calibri" w:hAnsi="Tahoma" w:cs="Tahoma"/>
          <w:sz w:val="24"/>
          <w:szCs w:val="24"/>
        </w:rPr>
        <w:lastRenderedPageBreak/>
        <w:t>to digital platforms may encounter staff resistance as new expectations are put in place (Hammergren, 2021), the delivery of the curriculum through digital technology represents a significant area for the creation of new income streams that extend beyond national boundaries.</w:t>
      </w:r>
    </w:p>
    <w:p w14:paraId="19442E04" w14:textId="6A9B9847"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The entry of new provider relationships and of new forms of qualification model and accreditation (Birkenshaw, 2022) is transforming the market environment for EE (Roos, 2022). The future EE market will be characterised by changing relationships between organisations, including partnerships between universities and private technology firms and niche providers. For example, Ryan (2021) reports on Duke University’s EE provision that is characterised by a differentiated model of the curriculum that is attuned to volatile market expectations. In addition to the movement towards greater differentiation within institutional curricula is the development of inter-institutional collaboration and the integration of differing skills sets and resource assets. Agarwal (2022) refers to the example of edX that was established jointly by Harvard University and Massachusetts Institute of Technology as a new form of collaborative online platform. </w:t>
      </w:r>
      <w:r w:rsidR="00EA729D" w:rsidRPr="009F166D">
        <w:rPr>
          <w:rFonts w:ascii="Tahoma" w:eastAsia="Calibri" w:hAnsi="Tahoma" w:cs="Tahoma"/>
          <w:sz w:val="24"/>
          <w:szCs w:val="24"/>
        </w:rPr>
        <w:t xml:space="preserve">These </w:t>
      </w:r>
      <w:r w:rsidRPr="009F166D">
        <w:rPr>
          <w:rFonts w:ascii="Tahoma" w:eastAsia="Calibri" w:hAnsi="Tahoma" w:cs="Tahoma"/>
          <w:sz w:val="24"/>
          <w:szCs w:val="24"/>
        </w:rPr>
        <w:t xml:space="preserve">changing </w:t>
      </w:r>
      <w:r w:rsidR="00EA729D" w:rsidRPr="009F166D">
        <w:rPr>
          <w:rFonts w:ascii="Tahoma" w:eastAsia="Calibri" w:hAnsi="Tahoma" w:cs="Tahoma"/>
          <w:sz w:val="24"/>
          <w:szCs w:val="24"/>
        </w:rPr>
        <w:t xml:space="preserve">behaviours and </w:t>
      </w:r>
      <w:r w:rsidRPr="009F166D">
        <w:rPr>
          <w:rFonts w:ascii="Tahoma" w:eastAsia="Calibri" w:hAnsi="Tahoma" w:cs="Tahoma"/>
          <w:sz w:val="24"/>
          <w:szCs w:val="24"/>
        </w:rPr>
        <w:t>relationships between providers is indicative of t</w:t>
      </w:r>
      <w:r w:rsidRPr="007E34A1">
        <w:rPr>
          <w:rFonts w:ascii="Tahoma" w:eastAsia="Calibri" w:hAnsi="Tahoma" w:cs="Tahoma"/>
          <w:sz w:val="24"/>
          <w:szCs w:val="24"/>
        </w:rPr>
        <w:t>he drive to remodel the Business School curriculum in new ways in order to provide students with alternative opportunities to learn. It also infers a fundamental change in the nature of the EE market, albeit initiated in the United States but with ramifications for wider global provision, organisational collaboration and competition.</w:t>
      </w:r>
    </w:p>
    <w:p w14:paraId="67A60626" w14:textId="246601FB"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The offer of small ‘taster’ experiences, such as massive open online courses (MOOCs) and customised EE, together with new forms of credentialism such as badges and non-credit bearing certificates are redefining the nature of learning and accreditation. This shift to micro-credentialing (Birkenshaw, 2022) presents significant challenges to the traditional Business School model that has centred upon the professorial lecture and case-study seminar. As such, the disruption to the traditional Business School model of EE represents an existential threat as described by Haanaes and Brown (2022, p. 237):</w:t>
      </w:r>
    </w:p>
    <w:p w14:paraId="6746D092" w14:textId="78BC990B" w:rsidR="00C35BD2" w:rsidRPr="007E34A1" w:rsidRDefault="00C35BD2" w:rsidP="007E34A1">
      <w:pPr>
        <w:spacing w:line="360" w:lineRule="auto"/>
        <w:ind w:left="720"/>
        <w:rPr>
          <w:rFonts w:ascii="Tahoma" w:eastAsia="Calibri" w:hAnsi="Tahoma" w:cs="Tahoma"/>
          <w:sz w:val="24"/>
          <w:szCs w:val="24"/>
        </w:rPr>
      </w:pPr>
      <w:r w:rsidRPr="007E34A1">
        <w:rPr>
          <w:rFonts w:ascii="Tahoma" w:eastAsia="Calibri" w:hAnsi="Tahoma" w:cs="Tahoma"/>
          <w:sz w:val="24"/>
          <w:szCs w:val="24"/>
        </w:rPr>
        <w:lastRenderedPageBreak/>
        <w:t>Many EE providers still cater to the needs of the past, built on business</w:t>
      </w:r>
      <w:r w:rsidR="003920DF">
        <w:rPr>
          <w:rFonts w:ascii="Tahoma" w:eastAsia="Calibri" w:hAnsi="Tahoma" w:cs="Tahoma"/>
          <w:sz w:val="24"/>
          <w:szCs w:val="24"/>
        </w:rPr>
        <w:t xml:space="preserve"> </w:t>
      </w:r>
      <w:r w:rsidRPr="007E34A1">
        <w:rPr>
          <w:rFonts w:ascii="Tahoma" w:eastAsia="Calibri" w:hAnsi="Tahoma" w:cs="Tahoma"/>
          <w:sz w:val="24"/>
          <w:szCs w:val="24"/>
        </w:rPr>
        <w:t>models that are no longer viable. Many of these players will disappear</w:t>
      </w:r>
      <w:r w:rsidR="003920DF">
        <w:rPr>
          <w:rFonts w:ascii="Tahoma" w:eastAsia="Calibri" w:hAnsi="Tahoma" w:cs="Tahoma"/>
          <w:sz w:val="24"/>
          <w:szCs w:val="24"/>
        </w:rPr>
        <w:t xml:space="preserve">    </w:t>
      </w:r>
      <w:r w:rsidRPr="007E34A1">
        <w:rPr>
          <w:rFonts w:ascii="Tahoma" w:eastAsia="Calibri" w:hAnsi="Tahoma" w:cs="Tahoma"/>
          <w:sz w:val="24"/>
          <w:szCs w:val="24"/>
        </w:rPr>
        <w:t>if they are not redesigned to deliver the skills required for the changes</w:t>
      </w:r>
      <w:r w:rsidR="003920DF">
        <w:rPr>
          <w:rFonts w:ascii="Tahoma" w:eastAsia="Calibri" w:hAnsi="Tahoma" w:cs="Tahoma"/>
          <w:sz w:val="24"/>
          <w:szCs w:val="24"/>
        </w:rPr>
        <w:t xml:space="preserve"> </w:t>
      </w:r>
      <w:r w:rsidRPr="007E34A1">
        <w:rPr>
          <w:rFonts w:ascii="Tahoma" w:eastAsia="Calibri" w:hAnsi="Tahoma" w:cs="Tahoma"/>
          <w:sz w:val="24"/>
          <w:szCs w:val="24"/>
        </w:rPr>
        <w:t>ahead.</w:t>
      </w:r>
    </w:p>
    <w:p w14:paraId="22BC590B" w14:textId="77777777"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In an increasingly volatile and uncertain world, how can Business Schools respond effectively to their changing context and an evolving understanding of executive responsibility in the twenty-first century? </w:t>
      </w:r>
    </w:p>
    <w:p w14:paraId="2EB0B2F8" w14:textId="0655BBE5"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In order to respond to a changing business environment, Business Schools must recognise how the role of the senior executive and those who aspire to leadership positions has changed and will continue to evolve. In responding to change, the curriculum must shift its focus on competency and functional skills towards capability, creativity and compassion. Moreover, Business Schools are expected to champion broader societal agendas such as sustainability (Ruggerio, 2021) and responsible management practice (PRME, 2022). In doing so, Business Schools must look beyond traditional reductionist approaches to problem-solving that have drawn ideas from abstract theory and more to Aristotelian practical wisdom. It is in this sense that we see the limitations of digital technology as a solution to the changing demands placed on EE. For Nicolaides and McCallum (2013, p. 248), future EE should promote ‘the kind of inquiry that helps us unlearn the old assumptions and biases that obstruct our discovery… and to learn the means to enact new collective visions’. If as Iniguez and Lorange (2022) suggest, EE should focus less on traditional principles of management how should Business Schools evolve and what should their value proposition be? As Anderson</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(2017, p. 304) acknowledge, ‘future developments in educational processes, content and curricula that respond to the pressures and uncertainties of turbulence might build on… existing approaches or take quite new directions’.</w:t>
      </w:r>
    </w:p>
    <w:p w14:paraId="70E5233C" w14:textId="2505CF82" w:rsidR="00CE3B73"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Although the design and delivery of EE is being transformed in many contexts for various reasons, not least the shift to blended learning during the Covid-19 pandemic, we should also recognise the ways in which emerging theories of learning influence our approach to teaching and learning. One such example is heutagogy. </w:t>
      </w:r>
      <w:r w:rsidRPr="007E34A1">
        <w:rPr>
          <w:rFonts w:ascii="Tahoma" w:eastAsia="Calibri" w:hAnsi="Tahoma" w:cs="Tahoma"/>
          <w:sz w:val="24"/>
          <w:szCs w:val="24"/>
        </w:rPr>
        <w:lastRenderedPageBreak/>
        <w:t>Hase and Kenyon (2000) developed heutagogy as a theory of learning from their analysis of the Australian military and the ways on which they tackled problem-solving. In contrast to pedagogy that is centred on the schools system, and andragogy (Knowles, 1968), which is concerned with adult education, heutagogy originated in vocational education and training and is ideally suited to work-based conceptions of authentic learning (Hase</w:t>
      </w:r>
      <w:r w:rsidR="006D4E34" w:rsidRPr="007E34A1">
        <w:rPr>
          <w:rFonts w:ascii="Tahoma" w:eastAsia="Calibri" w:hAnsi="Tahoma" w:cs="Tahoma"/>
          <w:sz w:val="24"/>
          <w:szCs w:val="24"/>
        </w:rPr>
        <w:t xml:space="preserve"> et al.</w:t>
      </w:r>
      <w:r w:rsidRPr="007E34A1">
        <w:rPr>
          <w:rFonts w:ascii="Tahoma" w:eastAsia="Calibri" w:hAnsi="Tahoma" w:cs="Tahoma"/>
          <w:sz w:val="24"/>
          <w:szCs w:val="24"/>
        </w:rPr>
        <w:t xml:space="preserve"> 2006). Stoten (2019; 2022) considered that adopting heutagogic ideas facilitated the development of adaptive capacity within the managerial cadre and this is appropriate for EE where the curriculum is often centred on the developmental needs of an individual. A comparison of pedagogy, andragogy and heutagogy (Stoten, 2022) is presented in Table 1.</w:t>
      </w:r>
    </w:p>
    <w:tbl>
      <w:tblPr>
        <w:tblStyle w:val="TableGrid1"/>
        <w:tblW w:w="0" w:type="auto"/>
        <w:tblLook w:val="04A0" w:firstRow="1" w:lastRow="0" w:firstColumn="1" w:lastColumn="0" w:noHBand="0" w:noVBand="1"/>
      </w:tblPr>
      <w:tblGrid>
        <w:gridCol w:w="1468"/>
        <w:gridCol w:w="2238"/>
        <w:gridCol w:w="2551"/>
        <w:gridCol w:w="2784"/>
      </w:tblGrid>
      <w:tr w:rsidR="00E178A1" w:rsidRPr="00207996" w14:paraId="5C7E2EF8" w14:textId="77777777" w:rsidTr="00620D09">
        <w:tc>
          <w:tcPr>
            <w:tcW w:w="1468" w:type="dxa"/>
          </w:tcPr>
          <w:p w14:paraId="07A36B18" w14:textId="77777777" w:rsidR="00E178A1" w:rsidRPr="00207996" w:rsidRDefault="00E178A1" w:rsidP="00620D09">
            <w:pPr>
              <w:jc w:val="center"/>
              <w:rPr>
                <w:rFonts w:ascii="Tahoma" w:eastAsia="Calibri" w:hAnsi="Tahoma" w:cs="Tahoma"/>
                <w:b/>
                <w:sz w:val="24"/>
                <w:szCs w:val="24"/>
              </w:rPr>
            </w:pPr>
          </w:p>
        </w:tc>
        <w:tc>
          <w:tcPr>
            <w:tcW w:w="2238" w:type="dxa"/>
          </w:tcPr>
          <w:p w14:paraId="23503B3B" w14:textId="77777777" w:rsidR="00E178A1" w:rsidRPr="00207996" w:rsidRDefault="00E178A1" w:rsidP="00620D09">
            <w:pPr>
              <w:jc w:val="center"/>
              <w:rPr>
                <w:rFonts w:ascii="Tahoma" w:eastAsia="Calibri" w:hAnsi="Tahoma" w:cs="Tahoma"/>
                <w:b/>
                <w:sz w:val="24"/>
                <w:szCs w:val="24"/>
              </w:rPr>
            </w:pPr>
            <w:r w:rsidRPr="00207996">
              <w:rPr>
                <w:rFonts w:ascii="Tahoma" w:eastAsia="Calibri" w:hAnsi="Tahoma" w:cs="Tahoma"/>
                <w:b/>
                <w:sz w:val="24"/>
                <w:szCs w:val="24"/>
              </w:rPr>
              <w:t>Pedagogy</w:t>
            </w:r>
          </w:p>
        </w:tc>
        <w:tc>
          <w:tcPr>
            <w:tcW w:w="2551" w:type="dxa"/>
          </w:tcPr>
          <w:p w14:paraId="57FD1329" w14:textId="77777777" w:rsidR="00E178A1" w:rsidRPr="00207996" w:rsidRDefault="00E178A1" w:rsidP="00620D09">
            <w:pPr>
              <w:jc w:val="center"/>
              <w:rPr>
                <w:rFonts w:ascii="Tahoma" w:eastAsia="Calibri" w:hAnsi="Tahoma" w:cs="Tahoma"/>
                <w:b/>
                <w:sz w:val="24"/>
                <w:szCs w:val="24"/>
              </w:rPr>
            </w:pPr>
            <w:r w:rsidRPr="00207996">
              <w:rPr>
                <w:rFonts w:ascii="Tahoma" w:eastAsia="Calibri" w:hAnsi="Tahoma" w:cs="Tahoma"/>
                <w:b/>
                <w:sz w:val="24"/>
                <w:szCs w:val="24"/>
              </w:rPr>
              <w:t>Andragogy</w:t>
            </w:r>
          </w:p>
        </w:tc>
        <w:tc>
          <w:tcPr>
            <w:tcW w:w="2784" w:type="dxa"/>
          </w:tcPr>
          <w:p w14:paraId="22D4E5BC" w14:textId="77777777" w:rsidR="00E178A1" w:rsidRPr="00207996" w:rsidRDefault="00E178A1" w:rsidP="00620D09">
            <w:pPr>
              <w:jc w:val="center"/>
              <w:rPr>
                <w:rFonts w:ascii="Tahoma" w:eastAsia="Calibri" w:hAnsi="Tahoma" w:cs="Tahoma"/>
                <w:b/>
                <w:sz w:val="24"/>
                <w:szCs w:val="24"/>
              </w:rPr>
            </w:pPr>
            <w:r w:rsidRPr="00207996">
              <w:rPr>
                <w:rFonts w:ascii="Tahoma" w:eastAsia="Calibri" w:hAnsi="Tahoma" w:cs="Tahoma"/>
                <w:b/>
                <w:sz w:val="24"/>
                <w:szCs w:val="24"/>
              </w:rPr>
              <w:t>Heutagogy</w:t>
            </w:r>
          </w:p>
        </w:tc>
      </w:tr>
      <w:tr w:rsidR="00E178A1" w:rsidRPr="00207996" w14:paraId="37F24EAF" w14:textId="77777777" w:rsidTr="00620D09">
        <w:tc>
          <w:tcPr>
            <w:tcW w:w="1468" w:type="dxa"/>
          </w:tcPr>
          <w:p w14:paraId="6FDCB97B"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Definition</w:t>
            </w:r>
          </w:p>
        </w:tc>
        <w:tc>
          <w:tcPr>
            <w:tcW w:w="2238" w:type="dxa"/>
          </w:tcPr>
          <w:p w14:paraId="01C49847"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Leading the child</w:t>
            </w:r>
          </w:p>
        </w:tc>
        <w:tc>
          <w:tcPr>
            <w:tcW w:w="2551" w:type="dxa"/>
          </w:tcPr>
          <w:p w14:paraId="6E12812E"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Self-directed learning</w:t>
            </w:r>
          </w:p>
        </w:tc>
        <w:tc>
          <w:tcPr>
            <w:tcW w:w="2784" w:type="dxa"/>
          </w:tcPr>
          <w:p w14:paraId="56F2B40E"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Self-determined learning</w:t>
            </w:r>
          </w:p>
        </w:tc>
      </w:tr>
      <w:tr w:rsidR="00E178A1" w:rsidRPr="00207996" w14:paraId="46B1BAB5" w14:textId="77777777" w:rsidTr="00620D09">
        <w:tc>
          <w:tcPr>
            <w:tcW w:w="1468" w:type="dxa"/>
          </w:tcPr>
          <w:p w14:paraId="65C161FE"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 xml:space="preserve">The learner </w:t>
            </w:r>
          </w:p>
        </w:tc>
        <w:tc>
          <w:tcPr>
            <w:tcW w:w="2238" w:type="dxa"/>
          </w:tcPr>
          <w:p w14:paraId="46D945FC"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Essentially passive and receptive</w:t>
            </w:r>
          </w:p>
        </w:tc>
        <w:tc>
          <w:tcPr>
            <w:tcW w:w="2551" w:type="dxa"/>
          </w:tcPr>
          <w:p w14:paraId="185E9FED"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Ideally, autonomous but follows the curriculum set</w:t>
            </w:r>
          </w:p>
        </w:tc>
        <w:tc>
          <w:tcPr>
            <w:tcW w:w="2784" w:type="dxa"/>
          </w:tcPr>
          <w:p w14:paraId="012A169A"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 xml:space="preserve">Self-determined problem-solving </w:t>
            </w:r>
          </w:p>
        </w:tc>
      </w:tr>
      <w:tr w:rsidR="00E178A1" w:rsidRPr="00207996" w14:paraId="7FCF9963" w14:textId="77777777" w:rsidTr="00620D09">
        <w:tc>
          <w:tcPr>
            <w:tcW w:w="1468" w:type="dxa"/>
          </w:tcPr>
          <w:p w14:paraId="2B548467"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 xml:space="preserve">The nature of learning </w:t>
            </w:r>
          </w:p>
        </w:tc>
        <w:tc>
          <w:tcPr>
            <w:tcW w:w="2238" w:type="dxa"/>
          </w:tcPr>
          <w:p w14:paraId="64682FC5"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 xml:space="preserve">Addressing </w:t>
            </w:r>
            <w:r>
              <w:rPr>
                <w:rFonts w:ascii="Tahoma" w:eastAsia="Calibri" w:hAnsi="Tahoma" w:cs="Tahoma"/>
                <w:sz w:val="24"/>
                <w:szCs w:val="24"/>
              </w:rPr>
              <w:t xml:space="preserve">others’ </w:t>
            </w:r>
            <w:r w:rsidRPr="00207996">
              <w:rPr>
                <w:rFonts w:ascii="Tahoma" w:eastAsia="Calibri" w:hAnsi="Tahoma" w:cs="Tahoma"/>
                <w:sz w:val="24"/>
                <w:szCs w:val="24"/>
              </w:rPr>
              <w:t xml:space="preserve">pre-determined learning goals </w:t>
            </w:r>
          </w:p>
        </w:tc>
        <w:tc>
          <w:tcPr>
            <w:tcW w:w="2551" w:type="dxa"/>
          </w:tcPr>
          <w:p w14:paraId="0BFD75EE" w14:textId="77777777" w:rsidR="00E178A1" w:rsidRPr="00207996" w:rsidRDefault="00E178A1" w:rsidP="00620D09">
            <w:pPr>
              <w:rPr>
                <w:rFonts w:ascii="Tahoma" w:eastAsia="Calibri" w:hAnsi="Tahoma" w:cs="Tahoma"/>
                <w:sz w:val="24"/>
                <w:szCs w:val="24"/>
              </w:rPr>
            </w:pPr>
            <w:r>
              <w:rPr>
                <w:rFonts w:ascii="Tahoma" w:eastAsia="Calibri" w:hAnsi="Tahoma" w:cs="Tahoma"/>
                <w:sz w:val="24"/>
                <w:szCs w:val="24"/>
              </w:rPr>
              <w:t>Concerned with tackling</w:t>
            </w:r>
            <w:r w:rsidRPr="00207996">
              <w:rPr>
                <w:rFonts w:ascii="Tahoma" w:eastAsia="Calibri" w:hAnsi="Tahoma" w:cs="Tahoma"/>
                <w:sz w:val="24"/>
                <w:szCs w:val="24"/>
              </w:rPr>
              <w:t xml:space="preserve"> task-driven goals</w:t>
            </w:r>
          </w:p>
        </w:tc>
        <w:tc>
          <w:tcPr>
            <w:tcW w:w="2784" w:type="dxa"/>
          </w:tcPr>
          <w:p w14:paraId="15A1EB61"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 xml:space="preserve">Identified by the learner and enquiry-based </w:t>
            </w:r>
          </w:p>
        </w:tc>
      </w:tr>
      <w:tr w:rsidR="00E178A1" w:rsidRPr="00207996" w14:paraId="4C0949A2" w14:textId="77777777" w:rsidTr="00620D09">
        <w:tc>
          <w:tcPr>
            <w:tcW w:w="1468" w:type="dxa"/>
          </w:tcPr>
          <w:p w14:paraId="5A3C7129"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Thinking context</w:t>
            </w:r>
          </w:p>
        </w:tc>
        <w:tc>
          <w:tcPr>
            <w:tcW w:w="2238" w:type="dxa"/>
          </w:tcPr>
          <w:p w14:paraId="5BCE1805"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Concerned with the acquisition of a pre-determined knowledge</w:t>
            </w:r>
          </w:p>
          <w:p w14:paraId="0C7C67C3" w14:textId="77777777" w:rsidR="00E178A1" w:rsidRPr="00207996" w:rsidRDefault="00E178A1" w:rsidP="00620D09">
            <w:pPr>
              <w:rPr>
                <w:rFonts w:ascii="Tahoma" w:eastAsia="Calibri" w:hAnsi="Tahoma" w:cs="Tahoma"/>
                <w:sz w:val="24"/>
                <w:szCs w:val="24"/>
              </w:rPr>
            </w:pPr>
          </w:p>
          <w:p w14:paraId="1BA5658E" w14:textId="77777777" w:rsidR="00E178A1" w:rsidRPr="00207996" w:rsidRDefault="00E178A1" w:rsidP="00620D09">
            <w:pPr>
              <w:rPr>
                <w:rFonts w:ascii="Tahoma" w:eastAsia="Calibri" w:hAnsi="Tahoma" w:cs="Tahoma"/>
                <w:sz w:val="24"/>
                <w:szCs w:val="24"/>
              </w:rPr>
            </w:pPr>
          </w:p>
          <w:p w14:paraId="3335B787"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Often subject</w:t>
            </w:r>
            <w:r>
              <w:rPr>
                <w:rFonts w:ascii="Tahoma" w:eastAsia="Calibri" w:hAnsi="Tahoma" w:cs="Tahoma"/>
                <w:sz w:val="24"/>
                <w:szCs w:val="24"/>
              </w:rPr>
              <w:t xml:space="preserve"> specific</w:t>
            </w:r>
          </w:p>
        </w:tc>
        <w:tc>
          <w:tcPr>
            <w:tcW w:w="2551" w:type="dxa"/>
          </w:tcPr>
          <w:p w14:paraId="2ECE7FB3"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Encouraging reflection on approaches to learning</w:t>
            </w:r>
          </w:p>
          <w:p w14:paraId="4305BEB5" w14:textId="77777777" w:rsidR="00E178A1" w:rsidRPr="00207996" w:rsidRDefault="00E178A1" w:rsidP="00620D09">
            <w:pPr>
              <w:rPr>
                <w:rFonts w:ascii="Tahoma" w:eastAsia="Calibri" w:hAnsi="Tahoma" w:cs="Tahoma"/>
                <w:sz w:val="24"/>
                <w:szCs w:val="24"/>
              </w:rPr>
            </w:pPr>
          </w:p>
          <w:p w14:paraId="4E7206EF" w14:textId="77777777" w:rsidR="00E178A1" w:rsidRPr="00207996" w:rsidRDefault="00E178A1" w:rsidP="00620D09">
            <w:pPr>
              <w:rPr>
                <w:rFonts w:ascii="Tahoma" w:eastAsia="Calibri" w:hAnsi="Tahoma" w:cs="Tahoma"/>
                <w:sz w:val="24"/>
                <w:szCs w:val="24"/>
              </w:rPr>
            </w:pPr>
          </w:p>
          <w:p w14:paraId="0780EF38"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 xml:space="preserve">Encourages </w:t>
            </w:r>
            <w:r>
              <w:rPr>
                <w:rFonts w:ascii="Tahoma" w:eastAsia="Calibri" w:hAnsi="Tahoma" w:cs="Tahoma"/>
                <w:sz w:val="24"/>
                <w:szCs w:val="24"/>
              </w:rPr>
              <w:t>adults to learning through an</w:t>
            </w:r>
            <w:r w:rsidRPr="00207996">
              <w:rPr>
                <w:rFonts w:ascii="Tahoma" w:eastAsia="Calibri" w:hAnsi="Tahoma" w:cs="Tahoma"/>
                <w:sz w:val="24"/>
                <w:szCs w:val="24"/>
              </w:rPr>
              <w:t xml:space="preserve"> inter-disciplinary approach </w:t>
            </w:r>
          </w:p>
          <w:p w14:paraId="7865FC80" w14:textId="77777777" w:rsidR="00E178A1" w:rsidRPr="00207996" w:rsidRDefault="00E178A1" w:rsidP="00620D09">
            <w:pPr>
              <w:rPr>
                <w:rFonts w:ascii="Tahoma" w:eastAsia="Calibri" w:hAnsi="Tahoma" w:cs="Tahoma"/>
                <w:sz w:val="24"/>
                <w:szCs w:val="24"/>
              </w:rPr>
            </w:pPr>
          </w:p>
        </w:tc>
        <w:tc>
          <w:tcPr>
            <w:tcW w:w="2784" w:type="dxa"/>
          </w:tcPr>
          <w:p w14:paraId="7B94AD70"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Putting an individual’s learning into their wider social and professional context</w:t>
            </w:r>
          </w:p>
          <w:p w14:paraId="11CE941B" w14:textId="77777777" w:rsidR="00E178A1" w:rsidRPr="00207996" w:rsidRDefault="00E178A1" w:rsidP="00620D09">
            <w:pPr>
              <w:rPr>
                <w:rFonts w:ascii="Tahoma" w:eastAsia="Calibri" w:hAnsi="Tahoma" w:cs="Tahoma"/>
                <w:sz w:val="24"/>
                <w:szCs w:val="24"/>
              </w:rPr>
            </w:pPr>
          </w:p>
          <w:p w14:paraId="3D14915F" w14:textId="77777777" w:rsidR="00E178A1" w:rsidRPr="00207996" w:rsidRDefault="00E178A1" w:rsidP="00620D09">
            <w:pPr>
              <w:rPr>
                <w:rFonts w:ascii="Tahoma" w:eastAsia="Calibri" w:hAnsi="Tahoma" w:cs="Tahoma"/>
                <w:sz w:val="24"/>
                <w:szCs w:val="24"/>
              </w:rPr>
            </w:pPr>
          </w:p>
          <w:p w14:paraId="5919C0E0"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Concerned with transdisciplinary approaches that are authentic</w:t>
            </w:r>
          </w:p>
        </w:tc>
      </w:tr>
      <w:tr w:rsidR="00E178A1" w:rsidRPr="00207996" w14:paraId="26258DF1" w14:textId="77777777" w:rsidTr="00620D09">
        <w:tc>
          <w:tcPr>
            <w:tcW w:w="1468" w:type="dxa"/>
          </w:tcPr>
          <w:p w14:paraId="1B5ABA26"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Assessment context</w:t>
            </w:r>
          </w:p>
        </w:tc>
        <w:tc>
          <w:tcPr>
            <w:tcW w:w="2238" w:type="dxa"/>
          </w:tcPr>
          <w:p w14:paraId="02A405AC"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 xml:space="preserve">External to the learner </w:t>
            </w:r>
            <w:r>
              <w:rPr>
                <w:rFonts w:ascii="Tahoma" w:eastAsia="Calibri" w:hAnsi="Tahoma" w:cs="Tahoma"/>
                <w:sz w:val="24"/>
                <w:szCs w:val="24"/>
              </w:rPr>
              <w:t>and imposed</w:t>
            </w:r>
          </w:p>
        </w:tc>
        <w:tc>
          <w:tcPr>
            <w:tcW w:w="2551" w:type="dxa"/>
          </w:tcPr>
          <w:p w14:paraId="697A3DFF"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External to the learner, but presented as a form of personal development</w:t>
            </w:r>
          </w:p>
        </w:tc>
        <w:tc>
          <w:tcPr>
            <w:tcW w:w="2784" w:type="dxa"/>
          </w:tcPr>
          <w:p w14:paraId="11A9476B" w14:textId="77777777" w:rsidR="00E178A1" w:rsidRPr="00207996" w:rsidRDefault="00E178A1" w:rsidP="00620D09">
            <w:pPr>
              <w:rPr>
                <w:rFonts w:ascii="Tahoma" w:eastAsia="Calibri" w:hAnsi="Tahoma" w:cs="Tahoma"/>
                <w:sz w:val="24"/>
                <w:szCs w:val="24"/>
              </w:rPr>
            </w:pPr>
            <w:r w:rsidRPr="00207996">
              <w:rPr>
                <w:rFonts w:ascii="Tahoma" w:eastAsia="Calibri" w:hAnsi="Tahoma" w:cs="Tahoma"/>
                <w:sz w:val="24"/>
                <w:szCs w:val="24"/>
              </w:rPr>
              <w:t>Negotiated</w:t>
            </w:r>
            <w:r>
              <w:rPr>
                <w:rFonts w:ascii="Tahoma" w:eastAsia="Calibri" w:hAnsi="Tahoma" w:cs="Tahoma"/>
                <w:sz w:val="24"/>
                <w:szCs w:val="24"/>
              </w:rPr>
              <w:t>,</w:t>
            </w:r>
            <w:r w:rsidRPr="00207996">
              <w:rPr>
                <w:rFonts w:ascii="Tahoma" w:eastAsia="Calibri" w:hAnsi="Tahoma" w:cs="Tahoma"/>
                <w:sz w:val="24"/>
                <w:szCs w:val="24"/>
              </w:rPr>
              <w:t xml:space="preserve"> and </w:t>
            </w:r>
            <w:r>
              <w:rPr>
                <w:rFonts w:ascii="Tahoma" w:eastAsia="Calibri" w:hAnsi="Tahoma" w:cs="Tahoma"/>
                <w:sz w:val="24"/>
                <w:szCs w:val="24"/>
              </w:rPr>
              <w:t>its</w:t>
            </w:r>
            <w:r w:rsidRPr="00207996">
              <w:rPr>
                <w:rFonts w:ascii="Tahoma" w:eastAsia="Calibri" w:hAnsi="Tahoma" w:cs="Tahoma"/>
                <w:sz w:val="24"/>
                <w:szCs w:val="24"/>
              </w:rPr>
              <w:t xml:space="preserve"> outcome informs</w:t>
            </w:r>
            <w:r>
              <w:rPr>
                <w:rFonts w:ascii="Tahoma" w:eastAsia="Calibri" w:hAnsi="Tahoma" w:cs="Tahoma"/>
                <w:sz w:val="24"/>
                <w:szCs w:val="24"/>
              </w:rPr>
              <w:t xml:space="preserve"> an individual’s</w:t>
            </w:r>
            <w:r w:rsidRPr="00207996">
              <w:rPr>
                <w:rFonts w:ascii="Tahoma" w:eastAsia="Calibri" w:hAnsi="Tahoma" w:cs="Tahoma"/>
                <w:sz w:val="24"/>
                <w:szCs w:val="24"/>
              </w:rPr>
              <w:t xml:space="preserve"> personal </w:t>
            </w:r>
            <w:r>
              <w:rPr>
                <w:rFonts w:ascii="Tahoma" w:eastAsia="Calibri" w:hAnsi="Tahoma" w:cs="Tahoma"/>
                <w:sz w:val="24"/>
                <w:szCs w:val="24"/>
              </w:rPr>
              <w:t xml:space="preserve">growth </w:t>
            </w:r>
            <w:r w:rsidRPr="00207996">
              <w:rPr>
                <w:rFonts w:ascii="Tahoma" w:eastAsia="Calibri" w:hAnsi="Tahoma" w:cs="Tahoma"/>
                <w:sz w:val="24"/>
                <w:szCs w:val="24"/>
              </w:rPr>
              <w:t>and professional</w:t>
            </w:r>
            <w:r>
              <w:rPr>
                <w:rFonts w:ascii="Tahoma" w:eastAsia="Calibri" w:hAnsi="Tahoma" w:cs="Tahoma"/>
                <w:sz w:val="24"/>
                <w:szCs w:val="24"/>
              </w:rPr>
              <w:t xml:space="preserve"> </w:t>
            </w:r>
            <w:r w:rsidRPr="00207996">
              <w:rPr>
                <w:rFonts w:ascii="Tahoma" w:eastAsia="Calibri" w:hAnsi="Tahoma" w:cs="Tahoma"/>
                <w:sz w:val="24"/>
                <w:szCs w:val="24"/>
              </w:rPr>
              <w:t>refl</w:t>
            </w:r>
            <w:r>
              <w:rPr>
                <w:rFonts w:ascii="Tahoma" w:eastAsia="Calibri" w:hAnsi="Tahoma" w:cs="Tahoma"/>
                <w:sz w:val="24"/>
                <w:szCs w:val="24"/>
              </w:rPr>
              <w:t>exivity</w:t>
            </w:r>
          </w:p>
        </w:tc>
      </w:tr>
    </w:tbl>
    <w:p w14:paraId="7F9891D5" w14:textId="79CAC878" w:rsidR="00C35BD2" w:rsidRPr="007E34A1" w:rsidRDefault="007145E6" w:rsidP="007E34A1">
      <w:pPr>
        <w:spacing w:line="360" w:lineRule="auto"/>
        <w:rPr>
          <w:rFonts w:ascii="Tahoma" w:eastAsia="Calibri" w:hAnsi="Tahoma" w:cs="Tahoma"/>
          <w:sz w:val="24"/>
          <w:szCs w:val="24"/>
        </w:rPr>
      </w:pPr>
      <w:r w:rsidRPr="007E34A1">
        <w:rPr>
          <w:rFonts w:ascii="Tahoma" w:eastAsia="Calibri" w:hAnsi="Tahoma" w:cs="Tahoma"/>
          <w:sz w:val="24"/>
          <w:szCs w:val="24"/>
        </w:rPr>
        <w:t>Table 1. A summary of pedagogy, andragogy and heutagogy, after Stoten (2022)</w:t>
      </w:r>
    </w:p>
    <w:p w14:paraId="10B9D92D" w14:textId="7628216D" w:rsidR="007145E6" w:rsidRPr="007E34A1" w:rsidRDefault="003920DF" w:rsidP="007E34A1">
      <w:pPr>
        <w:spacing w:line="360" w:lineRule="auto"/>
        <w:rPr>
          <w:rFonts w:ascii="Tahoma" w:eastAsia="Calibri" w:hAnsi="Tahoma" w:cs="Tahoma"/>
          <w:sz w:val="24"/>
          <w:szCs w:val="24"/>
        </w:rPr>
      </w:pPr>
      <w:r>
        <w:rPr>
          <w:rFonts w:ascii="Tahoma" w:eastAsia="Calibri" w:hAnsi="Tahoma" w:cs="Tahoma"/>
          <w:sz w:val="24"/>
          <w:szCs w:val="24"/>
        </w:rPr>
        <w:t xml:space="preserve">  </w:t>
      </w:r>
    </w:p>
    <w:p w14:paraId="1B1F84E1" w14:textId="557E2690"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lastRenderedPageBreak/>
        <w:t>Blaschke and Hase (2021) define heutagogic approaches in terms of five principles: the primacy of learner agency to define what they wish to learn; the development of an individual’s self-efficacy and capability; the promotion of metacognition and reflective practice; non-linear learning which is facilitated through multiple ways of learning; and, learning how best to learn which is implied in the earlier four principles.</w:t>
      </w:r>
      <w:r w:rsidR="003920DF">
        <w:rPr>
          <w:rFonts w:ascii="Tahoma" w:eastAsia="Calibri" w:hAnsi="Tahoma" w:cs="Tahoma"/>
          <w:sz w:val="24"/>
          <w:szCs w:val="24"/>
        </w:rPr>
        <w:t xml:space="preserve"> </w:t>
      </w:r>
      <w:r w:rsidRPr="007E34A1">
        <w:rPr>
          <w:rFonts w:ascii="Tahoma" w:eastAsia="Calibri" w:hAnsi="Tahoma" w:cs="Tahoma"/>
          <w:sz w:val="24"/>
          <w:szCs w:val="24"/>
        </w:rPr>
        <w:t>Whereas traditional pedagogical approaches have tended to focus on abstract theoretical concerns, heutagogy aims to develop an individual’s capability to learn independently and adapt to changing circumstances (Blaschke, 2012; Blaschke and Hase, 2021). In this sense, heutagogy is apposite for our changing world and the imperative for organisations to develop individuals who can adapt to rapid change and offer creative solutions to problem-solving. Moreover, the development of the heutagogic curriculum coincides with the changes taking place within the EE market and the expansion of digital technology in the promotion of learning. This changing context for EE provides Business Schools with the opportunity to redefine how they view the future curriculum and how students are expected to learn.</w:t>
      </w:r>
    </w:p>
    <w:p w14:paraId="23395FD1" w14:textId="7DFF2FE7" w:rsidR="00C35BD2" w:rsidRPr="0065340C" w:rsidRDefault="00C35BD2" w:rsidP="007E34A1">
      <w:pPr>
        <w:spacing w:line="360" w:lineRule="auto"/>
        <w:rPr>
          <w:rFonts w:ascii="Tahoma" w:eastAsia="Calibri" w:hAnsi="Tahoma" w:cs="Tahoma"/>
          <w:b/>
          <w:bCs/>
          <w:sz w:val="24"/>
          <w:szCs w:val="24"/>
        </w:rPr>
      </w:pPr>
      <w:r w:rsidRPr="0065340C">
        <w:rPr>
          <w:rFonts w:ascii="Tahoma" w:eastAsia="Calibri" w:hAnsi="Tahoma" w:cs="Tahoma"/>
          <w:b/>
          <w:bCs/>
          <w:sz w:val="24"/>
          <w:szCs w:val="24"/>
        </w:rPr>
        <w:t>The idea and practice of modelling an organisation’s value proposition</w:t>
      </w:r>
    </w:p>
    <w:p w14:paraId="6B1D919E" w14:textId="701CE38A"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The importance of modelling an organisation’s value proposition is reflected in the literature on strategic planning (Baden-Fuller and Morgan, 2010). Modelling provides organisational leaders with an understanding of not only what they offer the market but also how they interact with potential customers (Cosenz and Bivona, 2021). According to Cosenz and Noto (2018), business modelling is predicated upon the idea of the static analysis of the organisation in its context, in which specific criteria are established to identify core strategic issues. As such business modelling represents a ‘snap-shot’ of where senior leaders perceive their strategic position, assets and choices in relation to their environment (Hamel, 2000; Hedman and Kalling, 2003; and Rasmussen, 2007). Herein lies one of the flaws within this approach as McGrath (2010) acknowledges, it can be difficult to anticipate the future and business are obliged to experiment, as the Covid-19 pandemic exemplified. Cosenz and Neto (2018) point to the evolutionary nature of business modelling and that there are competing perspectives over how it should be viewed in practice. </w:t>
      </w:r>
      <w:r w:rsidRPr="007E34A1">
        <w:rPr>
          <w:rFonts w:ascii="Tahoma" w:eastAsia="Calibri" w:hAnsi="Tahoma" w:cs="Tahoma"/>
          <w:sz w:val="24"/>
          <w:szCs w:val="24"/>
        </w:rPr>
        <w:lastRenderedPageBreak/>
        <w:t>Massa</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(2016) offer a categorisation of this in terms of three positions. The first position sees modelling in terms of the attributes and mission of an organisation, and which can enable comparative studies to be undertaken (Amit and Zott, 2010). For Baden-Fuller and Morgan (2010, p.157), business models ‘provide a set of generic descriptors of how a firm organises itself to create and distribute value’. The second position discusses modelling in terms of organisational culture, with a focus on the ways mental models are built through linguistic conventions and cognitive schemas (Hoveskog</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 xml:space="preserve">2018). Such an approach highlights the centrality of communication and managing expectations both within and without an organisation. The final position aims to formalise the functional operations within an organisation, usually through a visual framework. </w:t>
      </w:r>
    </w:p>
    <w:p w14:paraId="6868392E" w14:textId="2ECA6F61"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Although Cosenz and Noto (2018) recognise that there is increasing interest in modelling within strategic planning, they also point to its weakness as a strategy tool. As a time-limited approach, modelling has its own limitations in terms of certitude and reliability. How then should modelling evolve? For Cosenz and Noto (2018), greater emphasis should be placed on ‘system dynamics’ and with this more support for those who make decisions in turbulent times. One way this could be achieved is through computer simulation and it may well be that in the near future artificial intelligence (AI) has a significant role to play here. Another approach could be to broaden the scope of those involved in strategic planning to incorporate a more diverse set of perspectives. In particular, this approach could be used to engage with a broader range of stakeholders (Laszlo</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2014; Storbacka</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2012) including consumers, as is evidenced in co-creation approaches (Prahalad and Ramaswamy, 2004; Ramaswamy, 2009). In relation to the highly competitive and globalised Business School market, a personalised curriculum model that focusses on the needs and aspirations of potential students is particularly apposite.</w:t>
      </w:r>
    </w:p>
    <w:p w14:paraId="33FAA872" w14:textId="3B66C9AE" w:rsidR="00C35BD2"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The use of business modelling in Higher Education is reported widely both as a way of making decisions (Alario-Hoyos</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2014; Bagheri and Movahed, 2017; Lofgren</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 xml:space="preserve">2017) and also as a method of teaching business practice (Hoveskog, </w:t>
      </w:r>
      <w:r w:rsidR="000170E8" w:rsidRPr="007E34A1">
        <w:rPr>
          <w:rFonts w:ascii="Tahoma" w:eastAsia="Calibri" w:hAnsi="Tahoma" w:cs="Tahoma"/>
          <w:sz w:val="24"/>
          <w:szCs w:val="24"/>
        </w:rPr>
        <w:t xml:space="preserve">et al. </w:t>
      </w:r>
      <w:r w:rsidRPr="007E34A1">
        <w:rPr>
          <w:rFonts w:ascii="Tahoma" w:eastAsia="Calibri" w:hAnsi="Tahoma" w:cs="Tahoma"/>
          <w:sz w:val="24"/>
          <w:szCs w:val="24"/>
        </w:rPr>
        <w:t>2018; Irwansyah</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 xml:space="preserve">2020). In particular, the BMC developed by Osterwalder </w:t>
      </w:r>
      <w:r w:rsidRPr="007E34A1">
        <w:rPr>
          <w:rFonts w:ascii="Tahoma" w:eastAsia="Calibri" w:hAnsi="Tahoma" w:cs="Tahoma"/>
          <w:sz w:val="24"/>
          <w:szCs w:val="24"/>
        </w:rPr>
        <w:lastRenderedPageBreak/>
        <w:t>(2004) has been identified as relevant to strategic planning within universities (McFarlane, 2017; Ryan, 2021). Osterwalder (2004) and later Osterwalder</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(2010) identified nine elements in the BMC, as described in Table 2.</w:t>
      </w:r>
      <w:r w:rsidR="00935898" w:rsidRPr="007E34A1">
        <w:rPr>
          <w:rFonts w:ascii="Tahoma" w:eastAsia="Calibri" w:hAnsi="Tahoma" w:cs="Tahoma"/>
          <w:sz w:val="24"/>
          <w:szCs w:val="24"/>
        </w:rPr>
        <w:t xml:space="preserve"> </w:t>
      </w:r>
      <w:r w:rsidR="00935898" w:rsidRPr="0065340C">
        <w:rPr>
          <w:rFonts w:ascii="Tahoma" w:eastAsia="Calibri" w:hAnsi="Tahoma" w:cs="Tahoma"/>
          <w:sz w:val="24"/>
          <w:szCs w:val="24"/>
        </w:rPr>
        <w:t xml:space="preserve">These nine elements structure the BMC and, in practice, appear in a pre-determined arrangement of analytic cells, as can be seen in Table 3. </w:t>
      </w:r>
    </w:p>
    <w:tbl>
      <w:tblPr>
        <w:tblStyle w:val="TableGrid"/>
        <w:tblW w:w="0" w:type="auto"/>
        <w:tblLook w:val="04A0" w:firstRow="1" w:lastRow="0" w:firstColumn="1" w:lastColumn="0" w:noHBand="0" w:noVBand="1"/>
      </w:tblPr>
      <w:tblGrid>
        <w:gridCol w:w="1777"/>
        <w:gridCol w:w="4935"/>
        <w:gridCol w:w="2530"/>
      </w:tblGrid>
      <w:tr w:rsidR="00702757" w:rsidRPr="000E6D02" w14:paraId="398FA914" w14:textId="77777777" w:rsidTr="00620D09">
        <w:tc>
          <w:tcPr>
            <w:tcW w:w="1287" w:type="dxa"/>
          </w:tcPr>
          <w:p w14:paraId="11CD5DA3" w14:textId="77777777" w:rsidR="00702757" w:rsidRPr="000E6D02" w:rsidRDefault="00702757" w:rsidP="00620D09">
            <w:pPr>
              <w:rPr>
                <w:rFonts w:ascii="Tahoma" w:eastAsia="Calibri" w:hAnsi="Tahoma" w:cs="Tahoma"/>
                <w:b/>
                <w:noProof/>
                <w:sz w:val="24"/>
                <w:szCs w:val="24"/>
                <w:lang w:eastAsia="en-GB"/>
              </w:rPr>
            </w:pPr>
            <w:r w:rsidRPr="000E6D02">
              <w:rPr>
                <w:rFonts w:ascii="Tahoma" w:eastAsia="Calibri" w:hAnsi="Tahoma" w:cs="Tahoma"/>
                <w:b/>
                <w:noProof/>
                <w:sz w:val="24"/>
                <w:szCs w:val="24"/>
                <w:lang w:eastAsia="en-GB"/>
              </w:rPr>
              <w:t>Elements</w:t>
            </w:r>
          </w:p>
        </w:tc>
        <w:tc>
          <w:tcPr>
            <w:tcW w:w="5058" w:type="dxa"/>
          </w:tcPr>
          <w:p w14:paraId="0E8DE0A1" w14:textId="77777777" w:rsidR="00702757" w:rsidRPr="000E6D02" w:rsidRDefault="00702757" w:rsidP="00620D09">
            <w:pPr>
              <w:rPr>
                <w:rFonts w:ascii="Tahoma" w:eastAsia="Calibri" w:hAnsi="Tahoma" w:cs="Tahoma"/>
                <w:b/>
                <w:noProof/>
                <w:sz w:val="24"/>
                <w:szCs w:val="24"/>
                <w:lang w:eastAsia="en-GB"/>
              </w:rPr>
            </w:pPr>
            <w:r w:rsidRPr="000E6D02">
              <w:rPr>
                <w:rFonts w:ascii="Tahoma" w:eastAsia="Calibri" w:hAnsi="Tahoma" w:cs="Tahoma"/>
                <w:b/>
                <w:noProof/>
                <w:sz w:val="24"/>
                <w:szCs w:val="24"/>
                <w:lang w:eastAsia="en-GB"/>
              </w:rPr>
              <w:t xml:space="preserve">Description </w:t>
            </w:r>
          </w:p>
        </w:tc>
        <w:tc>
          <w:tcPr>
            <w:tcW w:w="2552" w:type="dxa"/>
          </w:tcPr>
          <w:p w14:paraId="73EF2C9E" w14:textId="77777777" w:rsidR="00702757" w:rsidRPr="000E6D02" w:rsidRDefault="00702757" w:rsidP="00620D09">
            <w:pPr>
              <w:rPr>
                <w:rFonts w:ascii="Tahoma" w:eastAsia="Calibri" w:hAnsi="Tahoma" w:cs="Tahoma"/>
                <w:b/>
                <w:noProof/>
                <w:sz w:val="24"/>
                <w:szCs w:val="24"/>
                <w:lang w:eastAsia="en-GB"/>
              </w:rPr>
            </w:pPr>
            <w:r w:rsidRPr="000E6D02">
              <w:rPr>
                <w:rFonts w:ascii="Tahoma" w:eastAsia="Calibri" w:hAnsi="Tahoma" w:cs="Tahoma"/>
                <w:b/>
                <w:noProof/>
                <w:sz w:val="24"/>
                <w:szCs w:val="24"/>
                <w:lang w:eastAsia="en-GB"/>
              </w:rPr>
              <w:t xml:space="preserve">Applied to future EE </w:t>
            </w:r>
          </w:p>
        </w:tc>
      </w:tr>
      <w:tr w:rsidR="00702757" w:rsidRPr="000E6D02" w14:paraId="754AFA85" w14:textId="77777777" w:rsidTr="00620D09">
        <w:tc>
          <w:tcPr>
            <w:tcW w:w="1287" w:type="dxa"/>
          </w:tcPr>
          <w:p w14:paraId="57562B85"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t>Value propositions</w:t>
            </w:r>
          </w:p>
          <w:p w14:paraId="1FD0838E" w14:textId="77777777" w:rsidR="00702757" w:rsidRPr="000E6D02" w:rsidRDefault="00702757" w:rsidP="00620D09">
            <w:pPr>
              <w:rPr>
                <w:rFonts w:ascii="Tahoma" w:eastAsia="Calibri" w:hAnsi="Tahoma" w:cs="Tahoma"/>
                <w:b/>
                <w:i/>
                <w:noProof/>
                <w:sz w:val="24"/>
                <w:szCs w:val="24"/>
                <w:lang w:eastAsia="en-GB"/>
              </w:rPr>
            </w:pPr>
          </w:p>
          <w:p w14:paraId="1D53AA31" w14:textId="77777777" w:rsidR="00702757" w:rsidRPr="000E6D02" w:rsidRDefault="00702757" w:rsidP="00620D09">
            <w:pPr>
              <w:rPr>
                <w:rFonts w:ascii="Tahoma" w:eastAsia="Calibri" w:hAnsi="Tahoma" w:cs="Tahoma"/>
                <w:b/>
                <w:i/>
                <w:noProof/>
                <w:sz w:val="24"/>
                <w:szCs w:val="24"/>
                <w:lang w:eastAsia="en-GB"/>
              </w:rPr>
            </w:pPr>
          </w:p>
          <w:p w14:paraId="2DB4D7D8" w14:textId="77777777" w:rsidR="00702757" w:rsidRPr="000E6D02" w:rsidRDefault="00702757" w:rsidP="00620D09">
            <w:pPr>
              <w:rPr>
                <w:rFonts w:ascii="Tahoma" w:eastAsia="Calibri" w:hAnsi="Tahoma" w:cs="Tahoma"/>
                <w:b/>
                <w:i/>
                <w:noProof/>
                <w:sz w:val="24"/>
                <w:szCs w:val="24"/>
                <w:lang w:eastAsia="en-GB"/>
              </w:rPr>
            </w:pPr>
          </w:p>
          <w:p w14:paraId="0DC93C3C" w14:textId="77777777" w:rsidR="00702757" w:rsidRPr="000E6D02" w:rsidRDefault="00702757" w:rsidP="00620D09">
            <w:pPr>
              <w:rPr>
                <w:rFonts w:ascii="Tahoma" w:eastAsia="Calibri" w:hAnsi="Tahoma" w:cs="Tahoma"/>
                <w:b/>
                <w:i/>
                <w:noProof/>
                <w:sz w:val="24"/>
                <w:szCs w:val="24"/>
                <w:lang w:eastAsia="en-GB"/>
              </w:rPr>
            </w:pPr>
          </w:p>
          <w:p w14:paraId="7C187733" w14:textId="77777777" w:rsidR="00702757" w:rsidRPr="000E6D02" w:rsidRDefault="00702757" w:rsidP="00620D09">
            <w:pPr>
              <w:rPr>
                <w:rFonts w:ascii="Tahoma" w:eastAsia="Calibri" w:hAnsi="Tahoma" w:cs="Tahoma"/>
                <w:b/>
                <w:i/>
                <w:noProof/>
                <w:sz w:val="24"/>
                <w:szCs w:val="24"/>
                <w:lang w:eastAsia="en-GB"/>
              </w:rPr>
            </w:pPr>
          </w:p>
          <w:p w14:paraId="51A1E294" w14:textId="77777777" w:rsidR="00702757" w:rsidRPr="000E6D02" w:rsidRDefault="00702757" w:rsidP="00620D09">
            <w:pPr>
              <w:rPr>
                <w:rFonts w:ascii="Tahoma" w:eastAsia="Calibri" w:hAnsi="Tahoma" w:cs="Tahoma"/>
                <w:b/>
                <w:i/>
                <w:noProof/>
                <w:sz w:val="24"/>
                <w:szCs w:val="24"/>
                <w:lang w:eastAsia="en-GB"/>
              </w:rPr>
            </w:pPr>
          </w:p>
          <w:p w14:paraId="4A7E15C4" w14:textId="77777777" w:rsidR="00702757" w:rsidRPr="000E6D02" w:rsidRDefault="00702757" w:rsidP="00620D09">
            <w:pPr>
              <w:rPr>
                <w:rFonts w:ascii="Tahoma" w:eastAsia="Calibri" w:hAnsi="Tahoma" w:cs="Tahoma"/>
                <w:b/>
                <w:i/>
                <w:noProof/>
                <w:sz w:val="24"/>
                <w:szCs w:val="24"/>
                <w:lang w:eastAsia="en-GB"/>
              </w:rPr>
            </w:pPr>
          </w:p>
          <w:p w14:paraId="6215DD6A" w14:textId="77777777" w:rsidR="00702757" w:rsidRPr="000E6D02" w:rsidRDefault="00702757" w:rsidP="00620D09">
            <w:pPr>
              <w:rPr>
                <w:rFonts w:ascii="Tahoma" w:eastAsia="Calibri" w:hAnsi="Tahoma" w:cs="Tahoma"/>
                <w:b/>
                <w:i/>
                <w:noProof/>
                <w:sz w:val="24"/>
                <w:szCs w:val="24"/>
                <w:lang w:eastAsia="en-GB"/>
              </w:rPr>
            </w:pPr>
          </w:p>
          <w:p w14:paraId="7BDC03D8" w14:textId="77777777" w:rsidR="00702757" w:rsidRPr="000E6D02" w:rsidRDefault="00702757" w:rsidP="00620D09">
            <w:pPr>
              <w:rPr>
                <w:rFonts w:ascii="Tahoma" w:eastAsia="Calibri" w:hAnsi="Tahoma" w:cs="Tahoma"/>
                <w:b/>
                <w:i/>
                <w:noProof/>
                <w:sz w:val="24"/>
                <w:szCs w:val="24"/>
                <w:lang w:eastAsia="en-GB"/>
              </w:rPr>
            </w:pPr>
          </w:p>
          <w:p w14:paraId="428C7B97"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t>Key activities</w:t>
            </w:r>
          </w:p>
        </w:tc>
        <w:tc>
          <w:tcPr>
            <w:tcW w:w="5058" w:type="dxa"/>
          </w:tcPr>
          <w:p w14:paraId="226E2F17"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How can the curriculum deliver on those expectations of potential students and employers?</w:t>
            </w:r>
          </w:p>
          <w:p w14:paraId="78115A05" w14:textId="77777777" w:rsidR="00702757" w:rsidRPr="000E6D02" w:rsidRDefault="00702757" w:rsidP="00620D09">
            <w:pPr>
              <w:rPr>
                <w:rFonts w:ascii="Tahoma" w:eastAsia="Calibri" w:hAnsi="Tahoma" w:cs="Tahoma"/>
                <w:noProof/>
                <w:sz w:val="24"/>
                <w:szCs w:val="24"/>
                <w:lang w:eastAsia="en-GB"/>
              </w:rPr>
            </w:pPr>
          </w:p>
          <w:p w14:paraId="4CB77BC2" w14:textId="77777777" w:rsidR="00702757" w:rsidRPr="000E6D02" w:rsidRDefault="00702757" w:rsidP="00620D09">
            <w:pPr>
              <w:rPr>
                <w:rFonts w:ascii="Tahoma" w:eastAsia="Calibri" w:hAnsi="Tahoma" w:cs="Tahoma"/>
                <w:noProof/>
                <w:sz w:val="24"/>
                <w:szCs w:val="24"/>
                <w:lang w:eastAsia="en-GB"/>
              </w:rPr>
            </w:pPr>
          </w:p>
          <w:p w14:paraId="3613AAC0" w14:textId="77777777" w:rsidR="00702757" w:rsidRPr="000E6D02" w:rsidRDefault="00702757" w:rsidP="00620D09">
            <w:pPr>
              <w:rPr>
                <w:rFonts w:ascii="Tahoma" w:eastAsia="Calibri" w:hAnsi="Tahoma" w:cs="Tahoma"/>
                <w:noProof/>
                <w:sz w:val="24"/>
                <w:szCs w:val="24"/>
                <w:lang w:eastAsia="en-GB"/>
              </w:rPr>
            </w:pPr>
          </w:p>
          <w:p w14:paraId="2B8A6975" w14:textId="77777777" w:rsidR="00702757" w:rsidRPr="000E6D02" w:rsidRDefault="00702757" w:rsidP="00620D09">
            <w:pPr>
              <w:rPr>
                <w:rFonts w:ascii="Tahoma" w:eastAsia="Calibri" w:hAnsi="Tahoma" w:cs="Tahoma"/>
                <w:noProof/>
                <w:sz w:val="24"/>
                <w:szCs w:val="24"/>
                <w:lang w:eastAsia="en-GB"/>
              </w:rPr>
            </w:pPr>
          </w:p>
          <w:p w14:paraId="77FC81F2" w14:textId="77777777" w:rsidR="00702757" w:rsidRPr="000E6D02" w:rsidRDefault="00702757" w:rsidP="00620D09">
            <w:pPr>
              <w:rPr>
                <w:rFonts w:ascii="Tahoma" w:eastAsia="Calibri" w:hAnsi="Tahoma" w:cs="Tahoma"/>
                <w:noProof/>
                <w:sz w:val="24"/>
                <w:szCs w:val="24"/>
                <w:lang w:eastAsia="en-GB"/>
              </w:rPr>
            </w:pPr>
          </w:p>
          <w:p w14:paraId="2D1215F4" w14:textId="77777777" w:rsidR="00702757" w:rsidRPr="000E6D02" w:rsidRDefault="00702757" w:rsidP="00620D09">
            <w:pPr>
              <w:rPr>
                <w:rFonts w:ascii="Tahoma" w:eastAsia="Calibri" w:hAnsi="Tahoma" w:cs="Tahoma"/>
                <w:noProof/>
                <w:sz w:val="24"/>
                <w:szCs w:val="24"/>
                <w:lang w:eastAsia="en-GB"/>
              </w:rPr>
            </w:pPr>
          </w:p>
          <w:p w14:paraId="29E100FE" w14:textId="77777777" w:rsidR="00702757" w:rsidRPr="000E6D02" w:rsidRDefault="00702757" w:rsidP="00620D09">
            <w:pPr>
              <w:rPr>
                <w:rFonts w:ascii="Tahoma" w:eastAsia="Calibri" w:hAnsi="Tahoma" w:cs="Tahoma"/>
                <w:noProof/>
                <w:sz w:val="24"/>
                <w:szCs w:val="24"/>
                <w:lang w:eastAsia="en-GB"/>
              </w:rPr>
            </w:pPr>
          </w:p>
          <w:p w14:paraId="37EFD176" w14:textId="77777777" w:rsidR="00702757" w:rsidRPr="000E6D02" w:rsidRDefault="00702757" w:rsidP="00620D09">
            <w:pPr>
              <w:rPr>
                <w:rFonts w:ascii="Tahoma" w:eastAsia="Calibri" w:hAnsi="Tahoma" w:cs="Tahoma"/>
                <w:noProof/>
                <w:sz w:val="24"/>
                <w:szCs w:val="24"/>
                <w:lang w:eastAsia="en-GB"/>
              </w:rPr>
            </w:pPr>
          </w:p>
          <w:p w14:paraId="064376C2"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What are the defining features of a programme? (i.e. online, blended or campus-based delivery?)</w:t>
            </w:r>
          </w:p>
          <w:p w14:paraId="652FB09D" w14:textId="77777777" w:rsidR="00702757" w:rsidRPr="000E6D02" w:rsidRDefault="00702757" w:rsidP="00620D09">
            <w:pPr>
              <w:rPr>
                <w:rFonts w:ascii="Tahoma" w:eastAsia="Calibri" w:hAnsi="Tahoma" w:cs="Tahoma"/>
                <w:noProof/>
                <w:sz w:val="24"/>
                <w:szCs w:val="24"/>
                <w:lang w:eastAsia="en-GB"/>
              </w:rPr>
            </w:pPr>
          </w:p>
        </w:tc>
        <w:tc>
          <w:tcPr>
            <w:tcW w:w="2552" w:type="dxa"/>
          </w:tcPr>
          <w:p w14:paraId="71976374"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Enhanced job propsects</w:t>
            </w:r>
          </w:p>
          <w:p w14:paraId="57CF52F9" w14:textId="77777777" w:rsidR="00702757" w:rsidRPr="000E6D02" w:rsidRDefault="00702757" w:rsidP="00620D09">
            <w:pPr>
              <w:rPr>
                <w:rFonts w:ascii="Tahoma" w:eastAsia="Calibri" w:hAnsi="Tahoma" w:cs="Tahoma"/>
                <w:noProof/>
                <w:sz w:val="24"/>
                <w:szCs w:val="24"/>
                <w:lang w:eastAsia="en-GB"/>
              </w:rPr>
            </w:pPr>
          </w:p>
          <w:p w14:paraId="47AF01C8"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Expertise in a subject domain and reputation</w:t>
            </w:r>
          </w:p>
          <w:p w14:paraId="1FE44201" w14:textId="77777777" w:rsidR="00702757" w:rsidRPr="000E6D02" w:rsidRDefault="00702757" w:rsidP="00620D09">
            <w:pPr>
              <w:rPr>
                <w:rFonts w:ascii="Tahoma" w:eastAsia="Calibri" w:hAnsi="Tahoma" w:cs="Tahoma"/>
                <w:noProof/>
                <w:sz w:val="24"/>
                <w:szCs w:val="24"/>
                <w:lang w:eastAsia="en-GB"/>
              </w:rPr>
            </w:pPr>
          </w:p>
          <w:p w14:paraId="12C4ECDE"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Impact on individual and organisational performance</w:t>
            </w:r>
          </w:p>
          <w:p w14:paraId="27BFC596" w14:textId="77777777" w:rsidR="00702757" w:rsidRPr="000E6D02" w:rsidRDefault="00702757" w:rsidP="00620D09">
            <w:pPr>
              <w:rPr>
                <w:rFonts w:ascii="Tahoma" w:eastAsia="Calibri" w:hAnsi="Tahoma" w:cs="Tahoma"/>
                <w:noProof/>
                <w:sz w:val="24"/>
                <w:szCs w:val="24"/>
                <w:lang w:eastAsia="en-GB"/>
              </w:rPr>
            </w:pPr>
          </w:p>
          <w:p w14:paraId="030BC32B"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Bespoke delivery to meet clients’ needs</w:t>
            </w:r>
          </w:p>
        </w:tc>
      </w:tr>
      <w:tr w:rsidR="00702757" w:rsidRPr="000E6D02" w14:paraId="30C7B309" w14:textId="77777777" w:rsidTr="00620D09">
        <w:tc>
          <w:tcPr>
            <w:tcW w:w="1287" w:type="dxa"/>
          </w:tcPr>
          <w:p w14:paraId="5879BF79"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t>Key resources</w:t>
            </w:r>
          </w:p>
          <w:p w14:paraId="51B358CD" w14:textId="77777777" w:rsidR="00702757" w:rsidRPr="000E6D02" w:rsidRDefault="00702757" w:rsidP="00620D09">
            <w:pPr>
              <w:rPr>
                <w:rFonts w:ascii="Tahoma" w:eastAsia="Calibri" w:hAnsi="Tahoma" w:cs="Tahoma"/>
                <w:b/>
                <w:i/>
                <w:noProof/>
                <w:sz w:val="24"/>
                <w:szCs w:val="24"/>
                <w:lang w:eastAsia="en-GB"/>
              </w:rPr>
            </w:pPr>
          </w:p>
          <w:p w14:paraId="68629420" w14:textId="77777777" w:rsidR="00702757" w:rsidRPr="000E6D02" w:rsidRDefault="00702757" w:rsidP="00620D09">
            <w:pPr>
              <w:rPr>
                <w:rFonts w:ascii="Tahoma" w:eastAsia="Calibri" w:hAnsi="Tahoma" w:cs="Tahoma"/>
                <w:b/>
                <w:i/>
                <w:noProof/>
                <w:sz w:val="24"/>
                <w:szCs w:val="24"/>
                <w:lang w:eastAsia="en-GB"/>
              </w:rPr>
            </w:pPr>
          </w:p>
          <w:p w14:paraId="28D97FCB" w14:textId="77777777" w:rsidR="00702757" w:rsidRPr="000E6D02" w:rsidRDefault="00702757" w:rsidP="00620D09">
            <w:pPr>
              <w:rPr>
                <w:rFonts w:ascii="Tahoma" w:eastAsia="Calibri" w:hAnsi="Tahoma" w:cs="Tahoma"/>
                <w:b/>
                <w:i/>
                <w:noProof/>
                <w:sz w:val="24"/>
                <w:szCs w:val="24"/>
                <w:lang w:eastAsia="en-GB"/>
              </w:rPr>
            </w:pPr>
          </w:p>
          <w:p w14:paraId="3B08655D" w14:textId="77777777" w:rsidR="00702757" w:rsidRPr="000E6D02" w:rsidRDefault="00702757" w:rsidP="00620D09">
            <w:pPr>
              <w:rPr>
                <w:rFonts w:ascii="Tahoma" w:eastAsia="Calibri" w:hAnsi="Tahoma" w:cs="Tahoma"/>
                <w:b/>
                <w:i/>
                <w:noProof/>
                <w:sz w:val="24"/>
                <w:szCs w:val="24"/>
                <w:lang w:eastAsia="en-GB"/>
              </w:rPr>
            </w:pPr>
          </w:p>
          <w:p w14:paraId="4C2579BA" w14:textId="77777777" w:rsidR="00702757" w:rsidRPr="000E6D02" w:rsidRDefault="00702757" w:rsidP="00620D09">
            <w:pPr>
              <w:rPr>
                <w:rFonts w:ascii="Tahoma" w:eastAsia="Calibri" w:hAnsi="Tahoma" w:cs="Tahoma"/>
                <w:b/>
                <w:i/>
                <w:noProof/>
                <w:sz w:val="24"/>
                <w:szCs w:val="24"/>
                <w:lang w:eastAsia="en-GB"/>
              </w:rPr>
            </w:pPr>
          </w:p>
          <w:p w14:paraId="54BB9F59"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t>Partner network</w:t>
            </w:r>
          </w:p>
        </w:tc>
        <w:tc>
          <w:tcPr>
            <w:tcW w:w="5058" w:type="dxa"/>
          </w:tcPr>
          <w:p w14:paraId="3CDCFDD0"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The number and quality of academic staff</w:t>
            </w:r>
          </w:p>
          <w:p w14:paraId="0501DE4C" w14:textId="77777777" w:rsidR="00702757" w:rsidRPr="000E6D02" w:rsidRDefault="00702757" w:rsidP="00620D09">
            <w:pPr>
              <w:rPr>
                <w:rFonts w:ascii="Tahoma" w:eastAsia="Calibri" w:hAnsi="Tahoma" w:cs="Tahoma"/>
                <w:noProof/>
                <w:sz w:val="24"/>
                <w:szCs w:val="24"/>
                <w:lang w:eastAsia="en-GB"/>
              </w:rPr>
            </w:pPr>
          </w:p>
          <w:p w14:paraId="33B9B2E5"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The quality of online learning and support</w:t>
            </w:r>
          </w:p>
          <w:p w14:paraId="7610D840"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The campus and its access to library resources</w:t>
            </w:r>
          </w:p>
          <w:p w14:paraId="7F450003" w14:textId="77777777" w:rsidR="00702757" w:rsidRPr="000E6D02" w:rsidRDefault="00702757" w:rsidP="00620D09">
            <w:pPr>
              <w:rPr>
                <w:rFonts w:ascii="Tahoma" w:eastAsia="Calibri" w:hAnsi="Tahoma" w:cs="Tahoma"/>
                <w:noProof/>
                <w:sz w:val="24"/>
                <w:szCs w:val="24"/>
                <w:lang w:eastAsia="en-GB"/>
              </w:rPr>
            </w:pPr>
          </w:p>
          <w:p w14:paraId="151E8188" w14:textId="77777777" w:rsidR="00702757" w:rsidRPr="000E6D02" w:rsidRDefault="00702757" w:rsidP="00620D09">
            <w:pPr>
              <w:rPr>
                <w:rFonts w:ascii="Tahoma" w:eastAsia="Calibri" w:hAnsi="Tahoma" w:cs="Tahoma"/>
                <w:noProof/>
                <w:sz w:val="24"/>
                <w:szCs w:val="24"/>
                <w:lang w:eastAsia="en-GB"/>
              </w:rPr>
            </w:pPr>
          </w:p>
          <w:p w14:paraId="4E5BFD6C"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Links to other educational providers, including external commercial online delivery platforms</w:t>
            </w:r>
          </w:p>
        </w:tc>
        <w:tc>
          <w:tcPr>
            <w:tcW w:w="2552" w:type="dxa"/>
          </w:tcPr>
          <w:p w14:paraId="3A15E8DC"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Correspondence to Association to Advance Collegiate Schools of Business (AACSB) Faculty descriptors</w:t>
            </w:r>
          </w:p>
          <w:p w14:paraId="7593047A" w14:textId="77777777" w:rsidR="00702757" w:rsidRPr="000E6D02" w:rsidRDefault="00702757" w:rsidP="00620D09">
            <w:pPr>
              <w:rPr>
                <w:rFonts w:ascii="Tahoma" w:eastAsia="Calibri" w:hAnsi="Tahoma" w:cs="Tahoma"/>
                <w:noProof/>
                <w:sz w:val="24"/>
                <w:szCs w:val="24"/>
                <w:lang w:eastAsia="en-GB"/>
              </w:rPr>
            </w:pPr>
          </w:p>
          <w:p w14:paraId="241FC43E"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Is the supporting infrastructure aligned to EE or generic across institutional disciplines?</w:t>
            </w:r>
          </w:p>
          <w:p w14:paraId="71B8452E" w14:textId="77777777" w:rsidR="00702757" w:rsidRPr="000E6D02" w:rsidRDefault="00702757" w:rsidP="00620D09">
            <w:pPr>
              <w:rPr>
                <w:rFonts w:ascii="Tahoma" w:eastAsia="Calibri" w:hAnsi="Tahoma" w:cs="Tahoma"/>
                <w:noProof/>
                <w:sz w:val="24"/>
                <w:szCs w:val="24"/>
                <w:lang w:eastAsia="en-GB"/>
              </w:rPr>
            </w:pPr>
          </w:p>
          <w:p w14:paraId="4542DA90"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Are online providers generalist or specialist providers?</w:t>
            </w:r>
          </w:p>
        </w:tc>
      </w:tr>
      <w:tr w:rsidR="00702757" w:rsidRPr="000E6D02" w14:paraId="5B20A127" w14:textId="77777777" w:rsidTr="00620D09">
        <w:tc>
          <w:tcPr>
            <w:tcW w:w="1287" w:type="dxa"/>
          </w:tcPr>
          <w:p w14:paraId="782C293F"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t>Customer segments</w:t>
            </w:r>
          </w:p>
          <w:p w14:paraId="513752F1" w14:textId="77777777" w:rsidR="00702757" w:rsidRPr="000E6D02" w:rsidRDefault="00702757" w:rsidP="00620D09">
            <w:pPr>
              <w:rPr>
                <w:rFonts w:ascii="Tahoma" w:eastAsia="Calibri" w:hAnsi="Tahoma" w:cs="Tahoma"/>
                <w:b/>
                <w:i/>
                <w:noProof/>
                <w:sz w:val="24"/>
                <w:szCs w:val="24"/>
                <w:lang w:eastAsia="en-GB"/>
              </w:rPr>
            </w:pPr>
          </w:p>
          <w:p w14:paraId="5275C788" w14:textId="77777777" w:rsidR="00702757" w:rsidRPr="000E6D02" w:rsidRDefault="00702757" w:rsidP="00620D09">
            <w:pPr>
              <w:rPr>
                <w:rFonts w:ascii="Tahoma" w:eastAsia="Calibri" w:hAnsi="Tahoma" w:cs="Tahoma"/>
                <w:b/>
                <w:i/>
                <w:noProof/>
                <w:sz w:val="24"/>
                <w:szCs w:val="24"/>
                <w:lang w:eastAsia="en-GB"/>
              </w:rPr>
            </w:pPr>
          </w:p>
          <w:p w14:paraId="0B74A066" w14:textId="77777777" w:rsidR="00702757" w:rsidRPr="000E6D02" w:rsidRDefault="00702757" w:rsidP="00620D09">
            <w:pPr>
              <w:rPr>
                <w:rFonts w:ascii="Tahoma" w:eastAsia="Calibri" w:hAnsi="Tahoma" w:cs="Tahoma"/>
                <w:b/>
                <w:i/>
                <w:noProof/>
                <w:sz w:val="24"/>
                <w:szCs w:val="24"/>
                <w:lang w:eastAsia="en-GB"/>
              </w:rPr>
            </w:pPr>
          </w:p>
          <w:p w14:paraId="143A236D" w14:textId="77777777" w:rsidR="00702757" w:rsidRPr="000E6D02" w:rsidRDefault="00702757" w:rsidP="00620D09">
            <w:pPr>
              <w:rPr>
                <w:rFonts w:ascii="Tahoma" w:eastAsia="Calibri" w:hAnsi="Tahoma" w:cs="Tahoma"/>
                <w:b/>
                <w:i/>
                <w:noProof/>
                <w:sz w:val="24"/>
                <w:szCs w:val="24"/>
                <w:lang w:eastAsia="en-GB"/>
              </w:rPr>
            </w:pPr>
          </w:p>
          <w:p w14:paraId="156DD32F"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t>Channels</w:t>
            </w:r>
          </w:p>
          <w:p w14:paraId="314B6999" w14:textId="77777777" w:rsidR="00702757" w:rsidRPr="000E6D02" w:rsidRDefault="00702757" w:rsidP="00620D09">
            <w:pPr>
              <w:rPr>
                <w:rFonts w:ascii="Tahoma" w:eastAsia="Calibri" w:hAnsi="Tahoma" w:cs="Tahoma"/>
                <w:b/>
                <w:i/>
                <w:noProof/>
                <w:sz w:val="24"/>
                <w:szCs w:val="24"/>
                <w:lang w:eastAsia="en-GB"/>
              </w:rPr>
            </w:pPr>
          </w:p>
          <w:p w14:paraId="351EDCE9" w14:textId="77777777" w:rsidR="00702757" w:rsidRPr="000E6D02" w:rsidRDefault="00702757" w:rsidP="00620D09">
            <w:pPr>
              <w:rPr>
                <w:rFonts w:ascii="Tahoma" w:eastAsia="Calibri" w:hAnsi="Tahoma" w:cs="Tahoma"/>
                <w:b/>
                <w:i/>
                <w:noProof/>
                <w:sz w:val="24"/>
                <w:szCs w:val="24"/>
                <w:lang w:eastAsia="en-GB"/>
              </w:rPr>
            </w:pPr>
          </w:p>
          <w:p w14:paraId="7C0DB7AC" w14:textId="77777777" w:rsidR="00702757" w:rsidRPr="000E6D02" w:rsidRDefault="00702757" w:rsidP="00620D09">
            <w:pPr>
              <w:rPr>
                <w:rFonts w:ascii="Tahoma" w:eastAsia="Calibri" w:hAnsi="Tahoma" w:cs="Tahoma"/>
                <w:b/>
                <w:i/>
                <w:noProof/>
                <w:sz w:val="24"/>
                <w:szCs w:val="24"/>
                <w:lang w:eastAsia="en-GB"/>
              </w:rPr>
            </w:pPr>
          </w:p>
          <w:p w14:paraId="354C4A4E" w14:textId="77777777" w:rsidR="00702757" w:rsidRPr="000E6D02" w:rsidRDefault="00702757" w:rsidP="00620D09">
            <w:pPr>
              <w:rPr>
                <w:rFonts w:ascii="Tahoma" w:eastAsia="Calibri" w:hAnsi="Tahoma" w:cs="Tahoma"/>
                <w:b/>
                <w:i/>
                <w:noProof/>
                <w:sz w:val="24"/>
                <w:szCs w:val="24"/>
                <w:lang w:eastAsia="en-GB"/>
              </w:rPr>
            </w:pPr>
          </w:p>
          <w:p w14:paraId="4ACB5FE3" w14:textId="77777777" w:rsidR="00702757" w:rsidRPr="000E6D02" w:rsidRDefault="00702757" w:rsidP="00620D09">
            <w:pPr>
              <w:rPr>
                <w:rFonts w:ascii="Tahoma" w:eastAsia="Calibri" w:hAnsi="Tahoma" w:cs="Tahoma"/>
                <w:b/>
                <w:i/>
                <w:noProof/>
                <w:sz w:val="24"/>
                <w:szCs w:val="24"/>
                <w:lang w:eastAsia="en-GB"/>
              </w:rPr>
            </w:pPr>
          </w:p>
          <w:p w14:paraId="772A613A" w14:textId="77777777" w:rsidR="00702757" w:rsidRPr="000E6D02" w:rsidRDefault="00702757" w:rsidP="00620D09">
            <w:pPr>
              <w:rPr>
                <w:rFonts w:ascii="Tahoma" w:eastAsia="Calibri" w:hAnsi="Tahoma" w:cs="Tahoma"/>
                <w:b/>
                <w:i/>
                <w:noProof/>
                <w:sz w:val="24"/>
                <w:szCs w:val="24"/>
                <w:lang w:eastAsia="en-GB"/>
              </w:rPr>
            </w:pPr>
          </w:p>
          <w:p w14:paraId="2FE0DF23" w14:textId="77777777" w:rsidR="00702757" w:rsidRPr="000E6D02" w:rsidRDefault="00702757" w:rsidP="00620D09">
            <w:pPr>
              <w:rPr>
                <w:rFonts w:ascii="Tahoma" w:eastAsia="Calibri" w:hAnsi="Tahoma" w:cs="Tahoma"/>
                <w:b/>
                <w:i/>
                <w:noProof/>
                <w:sz w:val="24"/>
                <w:szCs w:val="24"/>
                <w:lang w:eastAsia="en-GB"/>
              </w:rPr>
            </w:pPr>
          </w:p>
          <w:p w14:paraId="60DD1F4C" w14:textId="77777777" w:rsidR="00702757" w:rsidRPr="000E6D02" w:rsidRDefault="00702757" w:rsidP="00620D09">
            <w:pPr>
              <w:rPr>
                <w:rFonts w:ascii="Tahoma" w:eastAsia="Calibri" w:hAnsi="Tahoma" w:cs="Tahoma"/>
                <w:b/>
                <w:i/>
                <w:noProof/>
                <w:sz w:val="24"/>
                <w:szCs w:val="24"/>
                <w:lang w:eastAsia="en-GB"/>
              </w:rPr>
            </w:pPr>
          </w:p>
          <w:p w14:paraId="1E06A1CB" w14:textId="77777777" w:rsidR="00702757" w:rsidRPr="000E6D02" w:rsidRDefault="00702757" w:rsidP="00620D09">
            <w:pPr>
              <w:rPr>
                <w:rFonts w:ascii="Tahoma" w:eastAsia="Calibri" w:hAnsi="Tahoma" w:cs="Tahoma"/>
                <w:b/>
                <w:i/>
                <w:noProof/>
                <w:sz w:val="24"/>
                <w:szCs w:val="24"/>
                <w:lang w:eastAsia="en-GB"/>
              </w:rPr>
            </w:pPr>
          </w:p>
          <w:p w14:paraId="7F79B3E5"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t>Customer relationships</w:t>
            </w:r>
          </w:p>
        </w:tc>
        <w:tc>
          <w:tcPr>
            <w:tcW w:w="5058" w:type="dxa"/>
          </w:tcPr>
          <w:p w14:paraId="7AF75F82"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lastRenderedPageBreak/>
              <w:t>Individual student enrolment</w:t>
            </w:r>
          </w:p>
          <w:p w14:paraId="7F180039"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Employer-sponsored enrolment</w:t>
            </w:r>
          </w:p>
          <w:p w14:paraId="56CD909A"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Bespoke company-specific EE</w:t>
            </w:r>
          </w:p>
          <w:p w14:paraId="27315490" w14:textId="77777777" w:rsidR="00702757" w:rsidRPr="000E6D02" w:rsidRDefault="00702757" w:rsidP="00620D09">
            <w:pPr>
              <w:rPr>
                <w:rFonts w:ascii="Tahoma" w:eastAsia="Calibri" w:hAnsi="Tahoma" w:cs="Tahoma"/>
                <w:noProof/>
                <w:sz w:val="24"/>
                <w:szCs w:val="24"/>
                <w:lang w:eastAsia="en-GB"/>
              </w:rPr>
            </w:pPr>
          </w:p>
          <w:p w14:paraId="2A85F261" w14:textId="77777777" w:rsidR="00702757" w:rsidRPr="000E6D02" w:rsidRDefault="00702757" w:rsidP="00620D09">
            <w:pPr>
              <w:rPr>
                <w:rFonts w:ascii="Tahoma" w:eastAsia="Calibri" w:hAnsi="Tahoma" w:cs="Tahoma"/>
                <w:noProof/>
                <w:sz w:val="24"/>
                <w:szCs w:val="24"/>
                <w:lang w:eastAsia="en-GB"/>
              </w:rPr>
            </w:pPr>
          </w:p>
          <w:p w14:paraId="6FB03373" w14:textId="77777777" w:rsidR="00702757" w:rsidRPr="000E6D02" w:rsidRDefault="00702757" w:rsidP="00620D09">
            <w:pPr>
              <w:rPr>
                <w:rFonts w:ascii="Tahoma" w:eastAsia="Calibri" w:hAnsi="Tahoma" w:cs="Tahoma"/>
                <w:noProof/>
                <w:sz w:val="24"/>
                <w:szCs w:val="24"/>
                <w:lang w:eastAsia="en-GB"/>
              </w:rPr>
            </w:pPr>
          </w:p>
          <w:p w14:paraId="55B2B62A"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Exploitation of reputation and established relationships</w:t>
            </w:r>
          </w:p>
          <w:p w14:paraId="44035EF8"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Recruitment through international agents</w:t>
            </w:r>
          </w:p>
          <w:p w14:paraId="505F37A5" w14:textId="77777777" w:rsidR="00702757" w:rsidRPr="000E6D02" w:rsidRDefault="00702757" w:rsidP="00620D09">
            <w:pPr>
              <w:rPr>
                <w:rFonts w:ascii="Tahoma" w:eastAsia="Calibri" w:hAnsi="Tahoma" w:cs="Tahoma"/>
                <w:noProof/>
                <w:sz w:val="24"/>
                <w:szCs w:val="24"/>
                <w:lang w:eastAsia="en-GB"/>
              </w:rPr>
            </w:pPr>
          </w:p>
          <w:p w14:paraId="6FE68FD4" w14:textId="77777777" w:rsidR="00702757" w:rsidRPr="000E6D02" w:rsidRDefault="00702757" w:rsidP="00620D09">
            <w:pPr>
              <w:rPr>
                <w:rFonts w:ascii="Tahoma" w:eastAsia="Calibri" w:hAnsi="Tahoma" w:cs="Tahoma"/>
                <w:noProof/>
                <w:sz w:val="24"/>
                <w:szCs w:val="24"/>
                <w:lang w:eastAsia="en-GB"/>
              </w:rPr>
            </w:pPr>
          </w:p>
          <w:p w14:paraId="7B289E84" w14:textId="77777777" w:rsidR="00702757" w:rsidRPr="000E6D02" w:rsidRDefault="00702757" w:rsidP="00620D09">
            <w:pPr>
              <w:rPr>
                <w:rFonts w:ascii="Tahoma" w:eastAsia="Calibri" w:hAnsi="Tahoma" w:cs="Tahoma"/>
                <w:noProof/>
                <w:sz w:val="24"/>
                <w:szCs w:val="24"/>
                <w:lang w:eastAsia="en-GB"/>
              </w:rPr>
            </w:pPr>
          </w:p>
          <w:p w14:paraId="60561A5F" w14:textId="77777777" w:rsidR="00702757" w:rsidRPr="000E6D02" w:rsidRDefault="00702757" w:rsidP="00620D09">
            <w:pPr>
              <w:rPr>
                <w:rFonts w:ascii="Tahoma" w:eastAsia="Calibri" w:hAnsi="Tahoma" w:cs="Tahoma"/>
                <w:noProof/>
                <w:sz w:val="24"/>
                <w:szCs w:val="24"/>
                <w:lang w:eastAsia="en-GB"/>
              </w:rPr>
            </w:pPr>
          </w:p>
          <w:p w14:paraId="623EA86B" w14:textId="77777777" w:rsidR="00702757" w:rsidRPr="000E6D02" w:rsidRDefault="00702757" w:rsidP="00620D09">
            <w:pPr>
              <w:rPr>
                <w:rFonts w:ascii="Tahoma" w:eastAsia="Calibri" w:hAnsi="Tahoma" w:cs="Tahoma"/>
                <w:noProof/>
                <w:sz w:val="24"/>
                <w:szCs w:val="24"/>
                <w:lang w:eastAsia="en-GB"/>
              </w:rPr>
            </w:pPr>
          </w:p>
          <w:p w14:paraId="18CFFF05" w14:textId="77777777" w:rsidR="00702757" w:rsidRPr="000E6D02" w:rsidRDefault="00702757" w:rsidP="00620D09">
            <w:pPr>
              <w:rPr>
                <w:rFonts w:ascii="Tahoma" w:eastAsia="Calibri" w:hAnsi="Tahoma" w:cs="Tahoma"/>
                <w:noProof/>
                <w:sz w:val="24"/>
                <w:szCs w:val="24"/>
                <w:lang w:eastAsia="en-GB"/>
              </w:rPr>
            </w:pPr>
          </w:p>
          <w:p w14:paraId="7E7716BD" w14:textId="77777777" w:rsidR="00702757" w:rsidRPr="000E6D02" w:rsidRDefault="00702757" w:rsidP="00620D09">
            <w:pPr>
              <w:rPr>
                <w:rFonts w:ascii="Tahoma" w:eastAsia="Calibri" w:hAnsi="Tahoma" w:cs="Tahoma"/>
                <w:noProof/>
                <w:sz w:val="24"/>
                <w:szCs w:val="24"/>
                <w:lang w:eastAsia="en-GB"/>
              </w:rPr>
            </w:pPr>
          </w:p>
          <w:p w14:paraId="39B04C25"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Development of new contacts as well as maturing developed ties with employers</w:t>
            </w:r>
          </w:p>
        </w:tc>
        <w:tc>
          <w:tcPr>
            <w:tcW w:w="2552" w:type="dxa"/>
          </w:tcPr>
          <w:p w14:paraId="3B65E81B"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lastRenderedPageBreak/>
              <w:t>How is EE promoted to individuals and employers- is promotion differentiated?</w:t>
            </w:r>
          </w:p>
          <w:p w14:paraId="4F862448" w14:textId="77777777" w:rsidR="00702757" w:rsidRPr="000E6D02" w:rsidRDefault="00702757" w:rsidP="00620D09">
            <w:pPr>
              <w:rPr>
                <w:rFonts w:ascii="Tahoma" w:eastAsia="Calibri" w:hAnsi="Tahoma" w:cs="Tahoma"/>
                <w:noProof/>
                <w:sz w:val="24"/>
                <w:szCs w:val="24"/>
                <w:lang w:eastAsia="en-GB"/>
              </w:rPr>
            </w:pPr>
          </w:p>
          <w:p w14:paraId="682ABB24"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In what ways can EE address targeted problem-solving for individual businesses?</w:t>
            </w:r>
          </w:p>
          <w:p w14:paraId="4A5A3DE0" w14:textId="77777777" w:rsidR="00702757" w:rsidRPr="000E6D02" w:rsidRDefault="00702757" w:rsidP="00620D09">
            <w:pPr>
              <w:rPr>
                <w:rFonts w:ascii="Tahoma" w:eastAsia="Calibri" w:hAnsi="Tahoma" w:cs="Tahoma"/>
                <w:noProof/>
                <w:sz w:val="24"/>
                <w:szCs w:val="24"/>
                <w:lang w:eastAsia="en-GB"/>
              </w:rPr>
            </w:pPr>
          </w:p>
          <w:p w14:paraId="0304A680"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Is there a need to move into social media advertising?</w:t>
            </w:r>
          </w:p>
          <w:p w14:paraId="64743418" w14:textId="77777777" w:rsidR="00702757" w:rsidRPr="000E6D02" w:rsidRDefault="00702757" w:rsidP="00620D09">
            <w:pPr>
              <w:rPr>
                <w:rFonts w:ascii="Tahoma" w:eastAsia="Calibri" w:hAnsi="Tahoma" w:cs="Tahoma"/>
                <w:noProof/>
                <w:sz w:val="24"/>
                <w:szCs w:val="24"/>
                <w:lang w:eastAsia="en-GB"/>
              </w:rPr>
            </w:pPr>
          </w:p>
          <w:p w14:paraId="58FF7461"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Are there opportunities for new relationships with digital etchnology providers and/or other universities in hybrid enterprises?</w:t>
            </w:r>
          </w:p>
        </w:tc>
      </w:tr>
      <w:tr w:rsidR="00702757" w:rsidRPr="000E6D02" w14:paraId="464E483C" w14:textId="77777777" w:rsidTr="00620D09">
        <w:tc>
          <w:tcPr>
            <w:tcW w:w="1287" w:type="dxa"/>
          </w:tcPr>
          <w:p w14:paraId="0DD32EEF"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lastRenderedPageBreak/>
              <w:t>Cost structure</w:t>
            </w:r>
          </w:p>
          <w:p w14:paraId="79BC5186" w14:textId="77777777" w:rsidR="00702757" w:rsidRPr="000E6D02" w:rsidRDefault="00702757" w:rsidP="00620D09">
            <w:pPr>
              <w:rPr>
                <w:rFonts w:ascii="Tahoma" w:eastAsia="Calibri" w:hAnsi="Tahoma" w:cs="Tahoma"/>
                <w:b/>
                <w:i/>
                <w:noProof/>
                <w:sz w:val="24"/>
                <w:szCs w:val="24"/>
                <w:lang w:eastAsia="en-GB"/>
              </w:rPr>
            </w:pPr>
          </w:p>
          <w:p w14:paraId="4890858E" w14:textId="77777777" w:rsidR="00702757" w:rsidRPr="000E6D02" w:rsidRDefault="00702757" w:rsidP="00620D09">
            <w:pPr>
              <w:rPr>
                <w:rFonts w:ascii="Tahoma" w:eastAsia="Calibri" w:hAnsi="Tahoma" w:cs="Tahoma"/>
                <w:b/>
                <w:i/>
                <w:noProof/>
                <w:sz w:val="24"/>
                <w:szCs w:val="24"/>
                <w:lang w:eastAsia="en-GB"/>
              </w:rPr>
            </w:pPr>
          </w:p>
          <w:p w14:paraId="6B60666F" w14:textId="77777777" w:rsidR="00702757" w:rsidRPr="000E6D02" w:rsidRDefault="00702757" w:rsidP="00620D09">
            <w:pPr>
              <w:rPr>
                <w:rFonts w:ascii="Tahoma" w:eastAsia="Calibri" w:hAnsi="Tahoma" w:cs="Tahoma"/>
                <w:b/>
                <w:i/>
                <w:noProof/>
                <w:sz w:val="24"/>
                <w:szCs w:val="24"/>
                <w:lang w:eastAsia="en-GB"/>
              </w:rPr>
            </w:pPr>
          </w:p>
          <w:p w14:paraId="6C46A5F6" w14:textId="77777777" w:rsidR="00702757" w:rsidRPr="000E6D02" w:rsidRDefault="00702757" w:rsidP="00620D09">
            <w:pPr>
              <w:rPr>
                <w:rFonts w:ascii="Tahoma" w:eastAsia="Calibri" w:hAnsi="Tahoma" w:cs="Tahoma"/>
                <w:b/>
                <w:i/>
                <w:noProof/>
                <w:sz w:val="24"/>
                <w:szCs w:val="24"/>
                <w:lang w:eastAsia="en-GB"/>
              </w:rPr>
            </w:pPr>
            <w:r w:rsidRPr="000E6D02">
              <w:rPr>
                <w:rFonts w:ascii="Tahoma" w:eastAsia="Calibri" w:hAnsi="Tahoma" w:cs="Tahoma"/>
                <w:b/>
                <w:i/>
                <w:noProof/>
                <w:sz w:val="24"/>
                <w:szCs w:val="24"/>
                <w:lang w:eastAsia="en-GB"/>
              </w:rPr>
              <w:t>Revenue streams</w:t>
            </w:r>
          </w:p>
        </w:tc>
        <w:tc>
          <w:tcPr>
            <w:tcW w:w="5058" w:type="dxa"/>
          </w:tcPr>
          <w:p w14:paraId="6D59AF19"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The costs incurred in the design and delivery of the curriculum</w:t>
            </w:r>
          </w:p>
          <w:p w14:paraId="249F3F1B" w14:textId="77777777" w:rsidR="00702757" w:rsidRPr="000E6D02" w:rsidRDefault="00702757" w:rsidP="00620D09">
            <w:pPr>
              <w:rPr>
                <w:rFonts w:ascii="Tahoma" w:eastAsia="Calibri" w:hAnsi="Tahoma" w:cs="Tahoma"/>
                <w:noProof/>
                <w:sz w:val="24"/>
                <w:szCs w:val="24"/>
                <w:lang w:eastAsia="en-GB"/>
              </w:rPr>
            </w:pPr>
          </w:p>
          <w:p w14:paraId="0C44AD61" w14:textId="77777777" w:rsidR="00702757" w:rsidRPr="000E6D02" w:rsidRDefault="00702757" w:rsidP="00620D09">
            <w:pPr>
              <w:rPr>
                <w:rFonts w:ascii="Tahoma" w:eastAsia="Calibri" w:hAnsi="Tahoma" w:cs="Tahoma"/>
                <w:noProof/>
                <w:sz w:val="24"/>
                <w:szCs w:val="24"/>
                <w:lang w:eastAsia="en-GB"/>
              </w:rPr>
            </w:pPr>
          </w:p>
          <w:p w14:paraId="41BC090D" w14:textId="77777777" w:rsidR="00702757" w:rsidRPr="000E6D02" w:rsidRDefault="00702757" w:rsidP="00620D09">
            <w:pPr>
              <w:rPr>
                <w:rFonts w:ascii="Tahoma" w:eastAsia="Calibri" w:hAnsi="Tahoma" w:cs="Tahoma"/>
                <w:noProof/>
                <w:sz w:val="24"/>
                <w:szCs w:val="24"/>
                <w:lang w:eastAsia="en-GB"/>
              </w:rPr>
            </w:pPr>
          </w:p>
          <w:p w14:paraId="65B41502"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The sources of income from fees, consultancy, etc.</w:t>
            </w:r>
          </w:p>
        </w:tc>
        <w:tc>
          <w:tcPr>
            <w:tcW w:w="2552" w:type="dxa"/>
          </w:tcPr>
          <w:p w14:paraId="4896CD09"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Can the fee structure be easily reformed to reflect micro-credentialism?</w:t>
            </w:r>
          </w:p>
          <w:p w14:paraId="5C44ADE8" w14:textId="77777777" w:rsidR="00702757" w:rsidRPr="000E6D02" w:rsidRDefault="00702757" w:rsidP="00620D09">
            <w:pPr>
              <w:rPr>
                <w:rFonts w:ascii="Tahoma" w:eastAsia="Calibri" w:hAnsi="Tahoma" w:cs="Tahoma"/>
                <w:noProof/>
                <w:sz w:val="24"/>
                <w:szCs w:val="24"/>
                <w:lang w:eastAsia="en-GB"/>
              </w:rPr>
            </w:pPr>
          </w:p>
          <w:p w14:paraId="51D07CBD" w14:textId="77777777" w:rsidR="00702757" w:rsidRPr="000E6D02" w:rsidRDefault="00702757" w:rsidP="00620D09">
            <w:pPr>
              <w:rPr>
                <w:rFonts w:ascii="Tahoma" w:eastAsia="Calibri" w:hAnsi="Tahoma" w:cs="Tahoma"/>
                <w:noProof/>
                <w:sz w:val="24"/>
                <w:szCs w:val="24"/>
                <w:lang w:eastAsia="en-GB"/>
              </w:rPr>
            </w:pPr>
            <w:r w:rsidRPr="000E6D02">
              <w:rPr>
                <w:rFonts w:ascii="Tahoma" w:eastAsia="Calibri" w:hAnsi="Tahoma" w:cs="Tahoma"/>
                <w:noProof/>
                <w:sz w:val="24"/>
                <w:szCs w:val="24"/>
                <w:lang w:eastAsia="en-GB"/>
              </w:rPr>
              <w:t>Can links with other providers lead to new shared revenue streams?</w:t>
            </w:r>
          </w:p>
        </w:tc>
      </w:tr>
    </w:tbl>
    <w:p w14:paraId="1C4C0A07" w14:textId="6E7C0EA2" w:rsidR="00C35BD2" w:rsidRPr="007E34A1" w:rsidRDefault="007145E6" w:rsidP="007E34A1">
      <w:pPr>
        <w:spacing w:line="360" w:lineRule="auto"/>
        <w:rPr>
          <w:rFonts w:ascii="Tahoma" w:eastAsia="Calibri" w:hAnsi="Tahoma" w:cs="Tahoma"/>
          <w:noProof/>
          <w:sz w:val="24"/>
          <w:szCs w:val="24"/>
          <w:lang w:eastAsia="en-GB"/>
        </w:rPr>
      </w:pPr>
      <w:r w:rsidRPr="007E34A1">
        <w:rPr>
          <w:rFonts w:ascii="Tahoma" w:eastAsia="Calibri" w:hAnsi="Tahoma" w:cs="Tahoma"/>
          <w:noProof/>
          <w:sz w:val="24"/>
          <w:szCs w:val="24"/>
          <w:lang w:eastAsia="en-GB"/>
        </w:rPr>
        <w:t>Table 2 An overview of Osterwalder’s Business Canvas Model.</w:t>
      </w:r>
    </w:p>
    <w:p w14:paraId="2C297FB1" w14:textId="3C416F7E"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BMC methodology (Osterwalder</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2010), provides an accessible overview of a Business School’s EE offer. McFarlane (2017, p. 26) claims that:</w:t>
      </w:r>
    </w:p>
    <w:p w14:paraId="4F147846" w14:textId="4F4568CC" w:rsidR="00C35BD2" w:rsidRPr="007E34A1" w:rsidRDefault="00C35BD2" w:rsidP="007E34A1">
      <w:pPr>
        <w:spacing w:line="360" w:lineRule="auto"/>
        <w:ind w:left="720"/>
        <w:rPr>
          <w:rFonts w:ascii="Tahoma" w:eastAsia="Calibri" w:hAnsi="Tahoma" w:cs="Tahoma"/>
          <w:sz w:val="24"/>
          <w:szCs w:val="24"/>
        </w:rPr>
      </w:pPr>
      <w:r w:rsidRPr="007E34A1">
        <w:rPr>
          <w:rFonts w:ascii="Tahoma" w:eastAsia="Calibri" w:hAnsi="Tahoma" w:cs="Tahoma"/>
          <w:sz w:val="24"/>
          <w:szCs w:val="24"/>
        </w:rPr>
        <w:t>In a higher education organization… Osterwalder’s BMC can be used to</w:t>
      </w:r>
      <w:r w:rsidR="003920DF">
        <w:rPr>
          <w:rFonts w:ascii="Tahoma" w:eastAsia="Calibri" w:hAnsi="Tahoma" w:cs="Tahoma"/>
          <w:sz w:val="24"/>
          <w:szCs w:val="24"/>
        </w:rPr>
        <w:t xml:space="preserve">   </w:t>
      </w:r>
      <w:r w:rsidRPr="007E34A1">
        <w:rPr>
          <w:rFonts w:ascii="Tahoma" w:eastAsia="Calibri" w:hAnsi="Tahoma" w:cs="Tahoma"/>
          <w:sz w:val="24"/>
          <w:szCs w:val="24"/>
        </w:rPr>
        <w:t>effectively identify important components of value creation and value</w:t>
      </w:r>
      <w:r w:rsidR="003920DF">
        <w:rPr>
          <w:rFonts w:ascii="Tahoma" w:eastAsia="Calibri" w:hAnsi="Tahoma" w:cs="Tahoma"/>
          <w:sz w:val="24"/>
          <w:szCs w:val="24"/>
        </w:rPr>
        <w:t xml:space="preserve"> </w:t>
      </w:r>
      <w:r w:rsidRPr="007E34A1">
        <w:rPr>
          <w:rFonts w:ascii="Tahoma" w:eastAsia="Calibri" w:hAnsi="Tahoma" w:cs="Tahoma"/>
          <w:sz w:val="24"/>
          <w:szCs w:val="24"/>
        </w:rPr>
        <w:t>delivery,</w:t>
      </w:r>
      <w:r w:rsidR="008F4A66" w:rsidRPr="007E34A1">
        <w:rPr>
          <w:rFonts w:ascii="Tahoma" w:eastAsia="Calibri" w:hAnsi="Tahoma" w:cs="Tahoma"/>
          <w:sz w:val="24"/>
          <w:szCs w:val="24"/>
        </w:rPr>
        <w:t xml:space="preserve"> </w:t>
      </w:r>
      <w:r w:rsidRPr="007E34A1">
        <w:rPr>
          <w:rFonts w:ascii="Tahoma" w:eastAsia="Calibri" w:hAnsi="Tahoma" w:cs="Tahoma"/>
          <w:sz w:val="24"/>
          <w:szCs w:val="24"/>
        </w:rPr>
        <w:t>and in doing so, it provides a better platform for the organization</w:t>
      </w:r>
      <w:r w:rsidR="003920DF">
        <w:rPr>
          <w:rFonts w:ascii="Tahoma" w:eastAsia="Calibri" w:hAnsi="Tahoma" w:cs="Tahoma"/>
          <w:sz w:val="24"/>
          <w:szCs w:val="24"/>
        </w:rPr>
        <w:t xml:space="preserve">  </w:t>
      </w:r>
      <w:r w:rsidRPr="007E34A1">
        <w:rPr>
          <w:rFonts w:ascii="Tahoma" w:eastAsia="Calibri" w:hAnsi="Tahoma" w:cs="Tahoma"/>
          <w:sz w:val="24"/>
          <w:szCs w:val="24"/>
        </w:rPr>
        <w:t>to develop and implement strategy around core activities, resources,</w:t>
      </w:r>
      <w:r w:rsidR="003920DF">
        <w:rPr>
          <w:rFonts w:ascii="Tahoma" w:eastAsia="Calibri" w:hAnsi="Tahoma" w:cs="Tahoma"/>
          <w:sz w:val="24"/>
          <w:szCs w:val="24"/>
        </w:rPr>
        <w:t xml:space="preserve">   </w:t>
      </w:r>
      <w:r w:rsidRPr="007E34A1">
        <w:rPr>
          <w:rFonts w:ascii="Tahoma" w:eastAsia="Calibri" w:hAnsi="Tahoma" w:cs="Tahoma"/>
          <w:sz w:val="24"/>
          <w:szCs w:val="24"/>
        </w:rPr>
        <w:t xml:space="preserve">and processes. </w:t>
      </w:r>
    </w:p>
    <w:p w14:paraId="5F570080" w14:textId="77777777"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The utility in adopting the BMC is that it provides an accessible framework for the presentation and analysis of the information. In doing so, it facilitates a way of arriving at strategic decision-making from a holistic perspective.</w:t>
      </w:r>
    </w:p>
    <w:p w14:paraId="27BB1DFF" w14:textId="4E9C3C45"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lastRenderedPageBreak/>
        <w:t xml:space="preserve">Ryan (2021) reports on a range of business models used in EE by a range of Business Schools. For example, Ryan (2021) refers to Duke University’s EE provision that is characterised by a differentiated model of the curriculum that is attuned to the student and their employer’s needs, and Agarwal (2022) refers to the example of edX that was established jointly by Harvard University and Massachusetts Institute of Technology to provide accessible qualifications. For Agarwal (2022) the underpinning rationale behind such approaches is to ‘unbundle’ what has been offered in the past and reconstitute the curriculum in new ways to enable learners to engage with new opportunities. In this sense, it paints a picture of the value proposition for the student and describes the supporting processes involved in delivering the curriculum. Rytkonen and Nenonen (2014) do, however, acknowledge that this approach is subject to criticism, especially in relation to its abstract nature, its time-limited nature and its emphasis on qualitative rather than quantitative analysis. Nevertheless, BMC methodology offers a conceptualisation of a Business School’s EE curriculum offer and what it sees as its priorities as an educational institution. </w:t>
      </w:r>
    </w:p>
    <w:p w14:paraId="063CDE97" w14:textId="77777777" w:rsidR="00C35BD2" w:rsidRPr="007E34A1" w:rsidRDefault="00C35BD2" w:rsidP="007E34A1">
      <w:pPr>
        <w:spacing w:line="360" w:lineRule="auto"/>
        <w:rPr>
          <w:rFonts w:ascii="Tahoma" w:eastAsia="Calibri" w:hAnsi="Tahoma" w:cs="Tahoma"/>
          <w:b/>
          <w:bCs/>
          <w:sz w:val="28"/>
          <w:szCs w:val="28"/>
        </w:rPr>
      </w:pPr>
      <w:r w:rsidRPr="007E34A1">
        <w:rPr>
          <w:rFonts w:ascii="Tahoma" w:eastAsia="Calibri" w:hAnsi="Tahoma" w:cs="Tahoma"/>
          <w:b/>
          <w:bCs/>
          <w:sz w:val="28"/>
          <w:szCs w:val="28"/>
        </w:rPr>
        <w:t>Research methodology</w:t>
      </w:r>
    </w:p>
    <w:p w14:paraId="6833E7E6" w14:textId="4BAF0D0C"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This ‘substantive review’ of the literature (Cropanzano, 2009) set out to address this research question: how can the BMC encapsulate a heutagogic framework for EE? This review adopted a ‘bounded approach’ (Hallinger, 2013) in which the themes associated with heutagogy, the BMC and EE informed the research. The conventional way of describing the process of undertaking a systematic review is that it involves three stages: planning, conducting and reporting (Tranfield</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2003). For Torraco (2005, p. 356), this process represents ‘a form of research that reviews, critiques, and synthesises representative literature on a topic in an integrated way such that new framework and perspectives on the topic are generated’. The benefits of undertaking a structured review of the literature are recognised by Snyder (2019), especially where an interdisciplinary approach is needed as in this instance where ideas are drawn from the literature on strategic planning and educational theory.</w:t>
      </w:r>
    </w:p>
    <w:p w14:paraId="2A54405E" w14:textId="2444E0B7" w:rsidR="00C35BD2" w:rsidRPr="00702757" w:rsidRDefault="00C35BD2" w:rsidP="007E34A1">
      <w:pPr>
        <w:spacing w:line="360" w:lineRule="auto"/>
        <w:rPr>
          <w:rFonts w:ascii="Tahoma" w:eastAsia="Calibri" w:hAnsi="Tahoma" w:cs="Tahoma"/>
          <w:sz w:val="24"/>
          <w:szCs w:val="24"/>
        </w:rPr>
      </w:pPr>
      <w:r w:rsidRPr="00702757">
        <w:rPr>
          <w:rFonts w:ascii="Tahoma" w:eastAsia="Calibri" w:hAnsi="Tahoma" w:cs="Tahoma"/>
          <w:sz w:val="24"/>
          <w:szCs w:val="24"/>
        </w:rPr>
        <w:lastRenderedPageBreak/>
        <w:t>The planning stage of the literature review involved the identification of keywords</w:t>
      </w:r>
      <w:r w:rsidR="00CF588E" w:rsidRPr="00702757">
        <w:rPr>
          <w:rFonts w:ascii="Tahoma" w:eastAsia="Calibri" w:hAnsi="Tahoma" w:cs="Tahoma"/>
          <w:sz w:val="24"/>
          <w:szCs w:val="24"/>
        </w:rPr>
        <w:t xml:space="preserve">, such as </w:t>
      </w:r>
      <w:r w:rsidRPr="00702757">
        <w:rPr>
          <w:rFonts w:ascii="Tahoma" w:eastAsia="Calibri" w:hAnsi="Tahoma" w:cs="Tahoma"/>
          <w:sz w:val="24"/>
          <w:szCs w:val="24"/>
        </w:rPr>
        <w:t xml:space="preserve">heutagogy, EE and the BMC. </w:t>
      </w:r>
      <w:r w:rsidR="004B5C7B" w:rsidRPr="00702757">
        <w:rPr>
          <w:rFonts w:ascii="Tahoma" w:eastAsia="Calibri" w:hAnsi="Tahoma" w:cs="Tahoma"/>
          <w:sz w:val="24"/>
          <w:szCs w:val="24"/>
        </w:rPr>
        <w:t>The pioneering works from Hase and Kenyon (2000) and Blaschke, (2012) were indispensable in identifying the key issues in heutagogic curriculum development. As the author has published research on heutagogy, the emphasis was on understanding BMC methodology</w:t>
      </w:r>
      <w:r w:rsidR="009E7DB5" w:rsidRPr="00702757">
        <w:rPr>
          <w:rFonts w:ascii="Tahoma" w:eastAsia="Calibri" w:hAnsi="Tahoma" w:cs="Tahoma"/>
          <w:sz w:val="24"/>
          <w:szCs w:val="24"/>
        </w:rPr>
        <w:t xml:space="preserve"> as this was a new concept to the author</w:t>
      </w:r>
      <w:r w:rsidR="004B5C7B" w:rsidRPr="00702757">
        <w:rPr>
          <w:rFonts w:ascii="Tahoma" w:eastAsia="Calibri" w:hAnsi="Tahoma" w:cs="Tahoma"/>
          <w:sz w:val="24"/>
          <w:szCs w:val="24"/>
        </w:rPr>
        <w:t xml:space="preserve">. </w:t>
      </w:r>
      <w:r w:rsidRPr="00702757">
        <w:rPr>
          <w:rFonts w:ascii="Tahoma" w:eastAsia="Calibri" w:hAnsi="Tahoma" w:cs="Tahoma"/>
          <w:sz w:val="24"/>
          <w:szCs w:val="24"/>
        </w:rPr>
        <w:t xml:space="preserve">A number of sources proved useful in the planning stage in generating themes in relation to recent developments in EE, most notably Ryan (2021) and Iniguez and Lorange (2022). </w:t>
      </w:r>
      <w:r w:rsidR="004B5C7B" w:rsidRPr="00702757">
        <w:rPr>
          <w:rFonts w:ascii="Tahoma" w:eastAsia="Calibri" w:hAnsi="Tahoma" w:cs="Tahoma"/>
          <w:sz w:val="24"/>
          <w:szCs w:val="24"/>
        </w:rPr>
        <w:t xml:space="preserve">Indeed, the various chapters in Iniguez and Lorange (2022) were pivotal in providing a contemporary insight into post Covid developments and future opportunities for EE. This foundational knowledge was built on during the conducting stage. </w:t>
      </w:r>
      <w:r w:rsidRPr="00702757">
        <w:rPr>
          <w:rFonts w:ascii="Tahoma" w:eastAsia="Calibri" w:hAnsi="Tahoma" w:cs="Tahoma"/>
          <w:sz w:val="24"/>
          <w:szCs w:val="24"/>
        </w:rPr>
        <w:t xml:space="preserve">In the conducting stage, Google Scholar was used as the search engine and a range of initial keywords, such as </w:t>
      </w:r>
      <w:r w:rsidR="009E7DB5" w:rsidRPr="00702757">
        <w:rPr>
          <w:rFonts w:ascii="Tahoma" w:eastAsia="Calibri" w:hAnsi="Tahoma" w:cs="Tahoma"/>
          <w:sz w:val="24"/>
          <w:szCs w:val="24"/>
        </w:rPr>
        <w:t xml:space="preserve">Osterwalder, </w:t>
      </w:r>
      <w:r w:rsidRPr="00702757">
        <w:rPr>
          <w:rFonts w:ascii="Tahoma" w:eastAsia="Calibri" w:hAnsi="Tahoma" w:cs="Tahoma"/>
          <w:sz w:val="24"/>
          <w:szCs w:val="24"/>
        </w:rPr>
        <w:t>business model</w:t>
      </w:r>
      <w:r w:rsidR="009E7DB5" w:rsidRPr="00702757">
        <w:rPr>
          <w:rFonts w:ascii="Tahoma" w:eastAsia="Calibri" w:hAnsi="Tahoma" w:cs="Tahoma"/>
          <w:sz w:val="24"/>
          <w:szCs w:val="24"/>
        </w:rPr>
        <w:t xml:space="preserve"> canvas</w:t>
      </w:r>
      <w:r w:rsidRPr="00702757">
        <w:rPr>
          <w:rFonts w:ascii="Tahoma" w:eastAsia="Calibri" w:hAnsi="Tahoma" w:cs="Tahoma"/>
          <w:sz w:val="24"/>
          <w:szCs w:val="24"/>
        </w:rPr>
        <w:t xml:space="preserve">, executive education, and heutagogy in management education inputted to ‘snowball’ additional themes. </w:t>
      </w:r>
      <w:r w:rsidR="004B5C7B" w:rsidRPr="00702757">
        <w:rPr>
          <w:rFonts w:ascii="Tahoma" w:eastAsia="Calibri" w:hAnsi="Tahoma" w:cs="Tahoma"/>
          <w:sz w:val="24"/>
          <w:szCs w:val="24"/>
        </w:rPr>
        <w:t xml:space="preserve">In total 60 sources were used, with 52 being generated through </w:t>
      </w:r>
      <w:r w:rsidR="009E7DB5" w:rsidRPr="00702757">
        <w:rPr>
          <w:rFonts w:ascii="Tahoma" w:eastAsia="Calibri" w:hAnsi="Tahoma" w:cs="Tahoma"/>
          <w:sz w:val="24"/>
          <w:szCs w:val="24"/>
        </w:rPr>
        <w:t xml:space="preserve">this </w:t>
      </w:r>
      <w:r w:rsidR="004B5C7B" w:rsidRPr="00702757">
        <w:rPr>
          <w:rFonts w:ascii="Tahoma" w:eastAsia="Calibri" w:hAnsi="Tahoma" w:cs="Tahoma"/>
          <w:sz w:val="24"/>
          <w:szCs w:val="24"/>
        </w:rPr>
        <w:t xml:space="preserve">Google Scholar search. </w:t>
      </w:r>
      <w:r w:rsidRPr="00702757">
        <w:rPr>
          <w:rFonts w:ascii="Tahoma" w:eastAsia="Calibri" w:hAnsi="Tahoma" w:cs="Tahoma"/>
          <w:sz w:val="24"/>
          <w:szCs w:val="24"/>
        </w:rPr>
        <w:t xml:space="preserve">A number of articles drawn from leading management education journals such as </w:t>
      </w:r>
      <w:r w:rsidRPr="00702757">
        <w:rPr>
          <w:rFonts w:ascii="Tahoma" w:eastAsia="Calibri" w:hAnsi="Tahoma" w:cs="Tahoma"/>
          <w:i/>
          <w:iCs/>
          <w:sz w:val="24"/>
          <w:szCs w:val="24"/>
        </w:rPr>
        <w:t>The International Journal of Management Education</w:t>
      </w:r>
      <w:r w:rsidRPr="00702757">
        <w:rPr>
          <w:rFonts w:ascii="Tahoma" w:eastAsia="Calibri" w:hAnsi="Tahoma" w:cs="Tahoma"/>
          <w:sz w:val="24"/>
          <w:szCs w:val="24"/>
        </w:rPr>
        <w:t xml:space="preserve">, </w:t>
      </w:r>
      <w:r w:rsidRPr="00702757">
        <w:rPr>
          <w:rFonts w:ascii="Tahoma" w:eastAsia="Calibri" w:hAnsi="Tahoma" w:cs="Tahoma"/>
          <w:i/>
          <w:iCs/>
          <w:sz w:val="24"/>
          <w:szCs w:val="24"/>
        </w:rPr>
        <w:t>Journal of Management</w:t>
      </w:r>
      <w:r w:rsidRPr="00702757">
        <w:rPr>
          <w:rFonts w:ascii="Tahoma" w:eastAsia="Calibri" w:hAnsi="Tahoma" w:cs="Tahoma"/>
          <w:sz w:val="24"/>
          <w:szCs w:val="24"/>
        </w:rPr>
        <w:t xml:space="preserve">, </w:t>
      </w:r>
      <w:r w:rsidRPr="00702757">
        <w:rPr>
          <w:rFonts w:ascii="Tahoma" w:eastAsia="Calibri" w:hAnsi="Tahoma" w:cs="Tahoma"/>
          <w:i/>
          <w:iCs/>
          <w:sz w:val="24"/>
          <w:szCs w:val="24"/>
        </w:rPr>
        <w:t>Journal of Management Education</w:t>
      </w:r>
      <w:r w:rsidRPr="00702757">
        <w:rPr>
          <w:rFonts w:ascii="Tahoma" w:eastAsia="Calibri" w:hAnsi="Tahoma" w:cs="Tahoma"/>
          <w:sz w:val="24"/>
          <w:szCs w:val="24"/>
        </w:rPr>
        <w:t xml:space="preserve">, and </w:t>
      </w:r>
      <w:r w:rsidRPr="00702757">
        <w:rPr>
          <w:rFonts w:ascii="Tahoma" w:eastAsia="Calibri" w:hAnsi="Tahoma" w:cs="Tahoma"/>
          <w:i/>
          <w:iCs/>
          <w:sz w:val="24"/>
          <w:szCs w:val="24"/>
        </w:rPr>
        <w:t xml:space="preserve">Management Learning </w:t>
      </w:r>
      <w:r w:rsidRPr="00702757">
        <w:rPr>
          <w:rFonts w:ascii="Tahoma" w:eastAsia="Calibri" w:hAnsi="Tahoma" w:cs="Tahoma"/>
          <w:sz w:val="24"/>
          <w:szCs w:val="24"/>
        </w:rPr>
        <w:t xml:space="preserve">provided insight into the issues relating to EE. However, as this paper is inherently interdisciplinary in nature, journals from other disciplines such as </w:t>
      </w:r>
      <w:r w:rsidRPr="00702757">
        <w:rPr>
          <w:rFonts w:ascii="Tahoma" w:eastAsia="Calibri" w:hAnsi="Tahoma" w:cs="Tahoma"/>
          <w:i/>
          <w:iCs/>
          <w:sz w:val="24"/>
          <w:szCs w:val="24"/>
        </w:rPr>
        <w:t>Long Range Planning</w:t>
      </w:r>
      <w:r w:rsidRPr="00702757">
        <w:rPr>
          <w:rFonts w:ascii="Tahoma" w:eastAsia="Calibri" w:hAnsi="Tahoma" w:cs="Tahoma"/>
          <w:sz w:val="24"/>
          <w:szCs w:val="24"/>
        </w:rPr>
        <w:t xml:space="preserve">, </w:t>
      </w:r>
      <w:r w:rsidRPr="00702757">
        <w:rPr>
          <w:rFonts w:ascii="Tahoma" w:eastAsia="Calibri" w:hAnsi="Tahoma" w:cs="Tahoma"/>
          <w:i/>
          <w:iCs/>
          <w:sz w:val="24"/>
          <w:szCs w:val="24"/>
        </w:rPr>
        <w:t>European Journal of Information Systems</w:t>
      </w:r>
      <w:r w:rsidRPr="00702757">
        <w:rPr>
          <w:rFonts w:ascii="Tahoma" w:eastAsia="Calibri" w:hAnsi="Tahoma" w:cs="Tahoma"/>
          <w:sz w:val="24"/>
          <w:szCs w:val="24"/>
        </w:rPr>
        <w:t xml:space="preserve">, and </w:t>
      </w:r>
      <w:r w:rsidRPr="00702757">
        <w:rPr>
          <w:rFonts w:ascii="Tahoma" w:eastAsia="Calibri" w:hAnsi="Tahoma" w:cs="Tahoma"/>
          <w:i/>
          <w:iCs/>
          <w:sz w:val="24"/>
          <w:szCs w:val="24"/>
        </w:rPr>
        <w:t>Journal of Cleaner Production</w:t>
      </w:r>
      <w:r w:rsidRPr="00702757">
        <w:rPr>
          <w:rFonts w:ascii="Tahoma" w:eastAsia="Calibri" w:hAnsi="Tahoma" w:cs="Tahoma"/>
          <w:sz w:val="24"/>
          <w:szCs w:val="24"/>
        </w:rPr>
        <w:t xml:space="preserve"> enhanced the scope the review. The final stage, that of reporting, is evident in the paper itself.</w:t>
      </w:r>
    </w:p>
    <w:p w14:paraId="1F7D7562" w14:textId="77777777" w:rsidR="00C35BD2" w:rsidRPr="007E34A1" w:rsidRDefault="00C35BD2" w:rsidP="007E34A1">
      <w:pPr>
        <w:spacing w:line="360" w:lineRule="auto"/>
        <w:rPr>
          <w:rFonts w:ascii="Tahoma" w:eastAsia="Calibri" w:hAnsi="Tahoma" w:cs="Tahoma"/>
          <w:b/>
          <w:bCs/>
          <w:sz w:val="28"/>
          <w:szCs w:val="28"/>
        </w:rPr>
      </w:pPr>
      <w:r w:rsidRPr="007E34A1">
        <w:rPr>
          <w:rFonts w:ascii="Tahoma" w:eastAsia="Calibri" w:hAnsi="Tahoma" w:cs="Tahoma"/>
          <w:b/>
          <w:bCs/>
          <w:sz w:val="28"/>
          <w:szCs w:val="28"/>
        </w:rPr>
        <w:t>Discussion</w:t>
      </w:r>
    </w:p>
    <w:p w14:paraId="2B0CEC79" w14:textId="7B8B9BD1"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Despite its limitations, strategic planning is fundamental to business practice. In the search for certainty in a volatile world, planning has become integrated into the decision-making processes within organisations. A number of scholars have proffered models for making decisions based on the core competencies, market position and offer of a business (Amit and Zott, 2010; Hamel, 2000; Hedman and Kalling, 2003; and Rasmussen, 2007). It is, however, the BMC originally devised by Osterwalder (2004) has appealed to those who research strategic planning in Higher </w:t>
      </w:r>
      <w:r w:rsidRPr="007E34A1">
        <w:rPr>
          <w:rFonts w:ascii="Tahoma" w:eastAsia="Calibri" w:hAnsi="Tahoma" w:cs="Tahoma"/>
          <w:sz w:val="24"/>
          <w:szCs w:val="24"/>
        </w:rPr>
        <w:lastRenderedPageBreak/>
        <w:t>Education (Alario-Hoyos</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2014; Bagheri and Movahed, 2017; Lofgren</w:t>
      </w:r>
      <w:r w:rsidR="006D4E34" w:rsidRPr="007E34A1">
        <w:rPr>
          <w:rFonts w:ascii="Tahoma" w:eastAsia="Calibri" w:hAnsi="Tahoma" w:cs="Tahoma"/>
          <w:sz w:val="24"/>
          <w:szCs w:val="24"/>
        </w:rPr>
        <w:t xml:space="preserve"> et al. </w:t>
      </w:r>
      <w:r w:rsidRPr="007E34A1">
        <w:rPr>
          <w:rFonts w:ascii="Tahoma" w:eastAsia="Calibri" w:hAnsi="Tahoma" w:cs="Tahoma"/>
          <w:sz w:val="24"/>
          <w:szCs w:val="24"/>
        </w:rPr>
        <w:t xml:space="preserve">2020; Ryan, 2021). </w:t>
      </w:r>
    </w:p>
    <w:p w14:paraId="284CE29E" w14:textId="19F804C6" w:rsidR="007145E6"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Table 3 presents a conceptualisation of EE through BMC modelling. The nine elements identified by Osterwalder (2004) structure an analysis of the value proposition for future heutagogic curricula EE in Business Schools. Table 3 includes ideas that are informed by heutagogy, such as the centrality of personalised learning and student choice over the learning journey in curriculum design. </w:t>
      </w:r>
    </w:p>
    <w:p w14:paraId="3245ADCD" w14:textId="40C743E9" w:rsidR="00AC209E" w:rsidRDefault="00AC209E">
      <w:pPr>
        <w:rPr>
          <w:rFonts w:ascii="Tahoma" w:eastAsia="Calibri" w:hAnsi="Tahoma" w:cs="Tahoma"/>
          <w:sz w:val="24"/>
          <w:szCs w:val="24"/>
        </w:rPr>
      </w:pPr>
      <w:r>
        <w:rPr>
          <w:rFonts w:ascii="Tahoma" w:eastAsia="Calibri" w:hAnsi="Tahoma" w:cs="Tahoma"/>
          <w:sz w:val="24"/>
          <w:szCs w:val="24"/>
        </w:rPr>
        <w:br w:type="page"/>
      </w:r>
    </w:p>
    <w:p w14:paraId="29BFEC81" w14:textId="77777777" w:rsidR="00217B46" w:rsidRDefault="00217B46" w:rsidP="007E34A1">
      <w:pPr>
        <w:spacing w:line="360" w:lineRule="auto"/>
        <w:rPr>
          <w:rFonts w:ascii="Tahoma" w:eastAsia="Calibri" w:hAnsi="Tahoma" w:cs="Tahoma"/>
          <w:sz w:val="24"/>
          <w:szCs w:val="24"/>
        </w:rPr>
        <w:sectPr w:rsidR="00217B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834"/>
        <w:gridCol w:w="2835"/>
        <w:gridCol w:w="2835"/>
        <w:gridCol w:w="2835"/>
        <w:gridCol w:w="2835"/>
      </w:tblGrid>
      <w:tr w:rsidR="00AD43BC" w:rsidRPr="00AD43BC" w14:paraId="5B82F70A" w14:textId="77777777" w:rsidTr="00AD43BC">
        <w:trPr>
          <w:trHeight w:val="3693"/>
        </w:trPr>
        <w:tc>
          <w:tcPr>
            <w:tcW w:w="2834" w:type="dxa"/>
          </w:tcPr>
          <w:p w14:paraId="2EBF5EEE" w14:textId="77777777" w:rsidR="00AD43BC" w:rsidRPr="00AD43BC" w:rsidRDefault="00AD43BC" w:rsidP="00620D09">
            <w:pPr>
              <w:rPr>
                <w:rFonts w:ascii="Tahoma" w:hAnsi="Tahoma" w:cs="Tahoma"/>
                <w:b/>
                <w:sz w:val="20"/>
                <w:szCs w:val="20"/>
              </w:rPr>
            </w:pPr>
            <w:r w:rsidRPr="00AD43BC">
              <w:rPr>
                <w:rFonts w:ascii="Tahoma" w:hAnsi="Tahoma" w:cs="Tahoma"/>
                <w:b/>
                <w:sz w:val="20"/>
                <w:szCs w:val="20"/>
              </w:rPr>
              <w:lastRenderedPageBreak/>
              <w:t>Key partners</w:t>
            </w:r>
          </w:p>
          <w:p w14:paraId="7EA99E9C" w14:textId="77777777" w:rsidR="00AD43BC" w:rsidRPr="00AD43BC" w:rsidRDefault="00AD43BC" w:rsidP="00620D09">
            <w:pPr>
              <w:rPr>
                <w:rFonts w:ascii="Tahoma" w:hAnsi="Tahoma" w:cs="Tahoma"/>
                <w:sz w:val="20"/>
                <w:szCs w:val="20"/>
              </w:rPr>
            </w:pPr>
            <w:r w:rsidRPr="00AD43BC">
              <w:rPr>
                <w:rFonts w:ascii="Tahoma" w:hAnsi="Tahoma" w:cs="Tahoma"/>
                <w:sz w:val="20"/>
                <w:szCs w:val="20"/>
              </w:rPr>
              <w:t>Partner organisations in online provision</w:t>
            </w:r>
          </w:p>
          <w:p w14:paraId="4C36B1D2" w14:textId="77777777" w:rsidR="00AD43BC" w:rsidRPr="00AD43BC" w:rsidRDefault="00AD43BC" w:rsidP="00620D09">
            <w:pPr>
              <w:rPr>
                <w:rFonts w:ascii="Tahoma" w:hAnsi="Tahoma" w:cs="Tahoma"/>
                <w:sz w:val="20"/>
                <w:szCs w:val="20"/>
              </w:rPr>
            </w:pPr>
          </w:p>
          <w:p w14:paraId="69509589" w14:textId="77777777" w:rsidR="00AD43BC" w:rsidRPr="00AD43BC" w:rsidRDefault="00AD43BC" w:rsidP="00620D09">
            <w:pPr>
              <w:rPr>
                <w:rFonts w:ascii="Tahoma" w:hAnsi="Tahoma" w:cs="Tahoma"/>
                <w:sz w:val="20"/>
                <w:szCs w:val="20"/>
              </w:rPr>
            </w:pPr>
            <w:r w:rsidRPr="00AD43BC">
              <w:rPr>
                <w:rFonts w:ascii="Tahoma" w:hAnsi="Tahoma" w:cs="Tahoma"/>
                <w:sz w:val="20"/>
                <w:szCs w:val="20"/>
              </w:rPr>
              <w:t>International academic support centres</w:t>
            </w:r>
          </w:p>
          <w:p w14:paraId="53859737" w14:textId="77777777" w:rsidR="00AD43BC" w:rsidRPr="00AD43BC" w:rsidRDefault="00AD43BC" w:rsidP="00620D09">
            <w:pPr>
              <w:pStyle w:val="ListParagraph"/>
              <w:rPr>
                <w:rFonts w:ascii="Tahoma" w:hAnsi="Tahoma" w:cs="Tahoma"/>
                <w:sz w:val="20"/>
                <w:szCs w:val="20"/>
              </w:rPr>
            </w:pPr>
          </w:p>
          <w:p w14:paraId="4706E8C7" w14:textId="77777777" w:rsidR="00AD43BC" w:rsidRPr="00AD43BC" w:rsidRDefault="00AD43BC" w:rsidP="00620D09">
            <w:pPr>
              <w:rPr>
                <w:rFonts w:ascii="Tahoma" w:hAnsi="Tahoma" w:cs="Tahoma"/>
                <w:sz w:val="20"/>
                <w:szCs w:val="20"/>
              </w:rPr>
            </w:pPr>
            <w:r w:rsidRPr="00AD43BC">
              <w:rPr>
                <w:rFonts w:ascii="Tahoma" w:hAnsi="Tahoma" w:cs="Tahoma"/>
                <w:sz w:val="20"/>
                <w:szCs w:val="20"/>
              </w:rPr>
              <w:t>Organisations sponsoring EE students</w:t>
            </w:r>
          </w:p>
          <w:p w14:paraId="6F1D054A" w14:textId="77777777" w:rsidR="00AD43BC" w:rsidRPr="00AD43BC" w:rsidRDefault="00AD43BC" w:rsidP="00620D09">
            <w:pPr>
              <w:pStyle w:val="ListParagraph"/>
              <w:rPr>
                <w:rFonts w:ascii="Tahoma" w:hAnsi="Tahoma" w:cs="Tahoma"/>
                <w:sz w:val="20"/>
                <w:szCs w:val="20"/>
              </w:rPr>
            </w:pPr>
          </w:p>
          <w:p w14:paraId="4760D068" w14:textId="77777777" w:rsidR="00AD43BC" w:rsidRPr="00AD43BC" w:rsidRDefault="00AD43BC" w:rsidP="00620D09">
            <w:pPr>
              <w:rPr>
                <w:rFonts w:ascii="Tahoma" w:hAnsi="Tahoma" w:cs="Tahoma"/>
                <w:sz w:val="20"/>
                <w:szCs w:val="20"/>
              </w:rPr>
            </w:pPr>
            <w:r w:rsidRPr="00AD43BC">
              <w:rPr>
                <w:rFonts w:ascii="Tahoma" w:hAnsi="Tahoma" w:cs="Tahoma"/>
                <w:sz w:val="20"/>
                <w:szCs w:val="20"/>
              </w:rPr>
              <w:t>Business School consortium members</w:t>
            </w:r>
          </w:p>
        </w:tc>
        <w:tc>
          <w:tcPr>
            <w:tcW w:w="2835" w:type="dxa"/>
          </w:tcPr>
          <w:p w14:paraId="68280E9B" w14:textId="77777777" w:rsidR="00AD43BC" w:rsidRPr="00AD43BC" w:rsidRDefault="00AD43BC" w:rsidP="00620D09">
            <w:pPr>
              <w:rPr>
                <w:rFonts w:ascii="Tahoma" w:hAnsi="Tahoma" w:cs="Tahoma"/>
                <w:b/>
                <w:sz w:val="20"/>
                <w:szCs w:val="20"/>
              </w:rPr>
            </w:pPr>
            <w:r w:rsidRPr="00AD43BC">
              <w:rPr>
                <w:rFonts w:ascii="Tahoma" w:hAnsi="Tahoma" w:cs="Tahoma"/>
                <w:b/>
                <w:sz w:val="20"/>
                <w:szCs w:val="20"/>
              </w:rPr>
              <w:t>Key activities</w:t>
            </w:r>
          </w:p>
          <w:p w14:paraId="63C52E91" w14:textId="77777777" w:rsidR="00AD43BC" w:rsidRPr="00AD43BC" w:rsidRDefault="00AD43BC" w:rsidP="00620D09">
            <w:pPr>
              <w:rPr>
                <w:rFonts w:ascii="Tahoma" w:hAnsi="Tahoma" w:cs="Tahoma"/>
                <w:sz w:val="20"/>
                <w:szCs w:val="20"/>
              </w:rPr>
            </w:pPr>
            <w:r w:rsidRPr="00AD43BC">
              <w:rPr>
                <w:rFonts w:ascii="Tahoma" w:hAnsi="Tahoma" w:cs="Tahoma"/>
                <w:sz w:val="20"/>
                <w:szCs w:val="20"/>
              </w:rPr>
              <w:t>Developing innovative approaches to EE</w:t>
            </w:r>
          </w:p>
          <w:p w14:paraId="1E985DD9" w14:textId="77777777" w:rsidR="00AD43BC" w:rsidRPr="00AD43BC" w:rsidRDefault="00AD43BC" w:rsidP="00620D09">
            <w:pPr>
              <w:rPr>
                <w:rFonts w:ascii="Tahoma" w:hAnsi="Tahoma" w:cs="Tahoma"/>
                <w:sz w:val="20"/>
                <w:szCs w:val="20"/>
              </w:rPr>
            </w:pPr>
          </w:p>
          <w:p w14:paraId="56551A42" w14:textId="77777777" w:rsidR="00AD43BC" w:rsidRPr="00AD43BC" w:rsidRDefault="00AD43BC" w:rsidP="00620D09">
            <w:pPr>
              <w:rPr>
                <w:rFonts w:ascii="Tahoma" w:hAnsi="Tahoma" w:cs="Tahoma"/>
                <w:sz w:val="20"/>
                <w:szCs w:val="20"/>
              </w:rPr>
            </w:pPr>
            <w:r w:rsidRPr="00AD43BC">
              <w:rPr>
                <w:rFonts w:ascii="Tahoma" w:hAnsi="Tahoma" w:cs="Tahoma"/>
                <w:sz w:val="20"/>
                <w:szCs w:val="20"/>
              </w:rPr>
              <w:t>Developing Faculty to support heutagogy</w:t>
            </w:r>
          </w:p>
          <w:p w14:paraId="19DD3A4F" w14:textId="77777777" w:rsidR="00AD43BC" w:rsidRPr="00AD43BC" w:rsidRDefault="00AD43BC" w:rsidP="00620D09">
            <w:pPr>
              <w:rPr>
                <w:rFonts w:ascii="Tahoma" w:hAnsi="Tahoma" w:cs="Tahoma"/>
                <w:sz w:val="20"/>
                <w:szCs w:val="20"/>
              </w:rPr>
            </w:pPr>
          </w:p>
          <w:p w14:paraId="5712A47E" w14:textId="77777777" w:rsidR="00AD43BC" w:rsidRPr="00AD43BC" w:rsidRDefault="00AD43BC" w:rsidP="00620D09">
            <w:pPr>
              <w:rPr>
                <w:rFonts w:ascii="Tahoma" w:hAnsi="Tahoma" w:cs="Tahoma"/>
                <w:sz w:val="20"/>
                <w:szCs w:val="20"/>
              </w:rPr>
            </w:pPr>
            <w:r w:rsidRPr="00AD43BC">
              <w:rPr>
                <w:rFonts w:ascii="Tahoma" w:hAnsi="Tahoma" w:cs="Tahoma"/>
                <w:sz w:val="20"/>
                <w:szCs w:val="20"/>
              </w:rPr>
              <w:t>Reconceptualising EE from a holistic perspective</w:t>
            </w:r>
          </w:p>
        </w:tc>
        <w:tc>
          <w:tcPr>
            <w:tcW w:w="2835" w:type="dxa"/>
          </w:tcPr>
          <w:p w14:paraId="013D4DAB" w14:textId="77777777" w:rsidR="00AD43BC" w:rsidRPr="00AD43BC" w:rsidRDefault="00AD43BC" w:rsidP="00620D09">
            <w:pPr>
              <w:rPr>
                <w:rFonts w:ascii="Tahoma" w:hAnsi="Tahoma" w:cs="Tahoma"/>
                <w:b/>
                <w:sz w:val="20"/>
                <w:szCs w:val="20"/>
              </w:rPr>
            </w:pPr>
            <w:r w:rsidRPr="00AD43BC">
              <w:rPr>
                <w:rFonts w:ascii="Tahoma" w:hAnsi="Tahoma" w:cs="Tahoma"/>
                <w:b/>
                <w:sz w:val="20"/>
                <w:szCs w:val="20"/>
              </w:rPr>
              <w:t>Value proposition</w:t>
            </w:r>
          </w:p>
          <w:p w14:paraId="27D94F12" w14:textId="77777777" w:rsidR="00AD43BC" w:rsidRPr="00AD43BC" w:rsidRDefault="00AD43BC" w:rsidP="00620D09">
            <w:pPr>
              <w:rPr>
                <w:rFonts w:ascii="Tahoma" w:hAnsi="Tahoma" w:cs="Tahoma"/>
                <w:sz w:val="20"/>
                <w:szCs w:val="20"/>
              </w:rPr>
            </w:pPr>
            <w:r w:rsidRPr="00AD43BC">
              <w:rPr>
                <w:rFonts w:ascii="Tahoma" w:hAnsi="Tahoma" w:cs="Tahoma"/>
                <w:sz w:val="20"/>
                <w:szCs w:val="20"/>
              </w:rPr>
              <w:t>Personalised learning contract with individualised assessment</w:t>
            </w:r>
          </w:p>
          <w:p w14:paraId="56BB36FC" w14:textId="77777777" w:rsidR="00AD43BC" w:rsidRPr="00AD43BC" w:rsidRDefault="00AD43BC" w:rsidP="00620D09">
            <w:pPr>
              <w:rPr>
                <w:rFonts w:ascii="Tahoma" w:hAnsi="Tahoma" w:cs="Tahoma"/>
                <w:sz w:val="20"/>
                <w:szCs w:val="20"/>
              </w:rPr>
            </w:pPr>
          </w:p>
          <w:p w14:paraId="673957E5" w14:textId="77777777" w:rsidR="00AD43BC" w:rsidRPr="00AD43BC" w:rsidRDefault="00AD43BC" w:rsidP="00620D09">
            <w:pPr>
              <w:rPr>
                <w:rFonts w:ascii="Tahoma" w:hAnsi="Tahoma" w:cs="Tahoma"/>
                <w:sz w:val="20"/>
                <w:szCs w:val="20"/>
              </w:rPr>
            </w:pPr>
            <w:r w:rsidRPr="00AD43BC">
              <w:rPr>
                <w:rFonts w:ascii="Tahoma" w:hAnsi="Tahoma" w:cs="Tahoma"/>
                <w:sz w:val="20"/>
                <w:szCs w:val="20"/>
              </w:rPr>
              <w:t>Micro-learning with micro-credentialism</w:t>
            </w:r>
          </w:p>
          <w:p w14:paraId="1DEDD565" w14:textId="77777777" w:rsidR="00AD43BC" w:rsidRPr="00AD43BC" w:rsidRDefault="00AD43BC" w:rsidP="00620D09">
            <w:pPr>
              <w:rPr>
                <w:rFonts w:ascii="Tahoma" w:hAnsi="Tahoma" w:cs="Tahoma"/>
                <w:sz w:val="20"/>
                <w:szCs w:val="20"/>
              </w:rPr>
            </w:pPr>
          </w:p>
          <w:p w14:paraId="48203811" w14:textId="77777777" w:rsidR="00AD43BC" w:rsidRPr="00AD43BC" w:rsidRDefault="00AD43BC" w:rsidP="00620D09">
            <w:pPr>
              <w:rPr>
                <w:rFonts w:ascii="Tahoma" w:hAnsi="Tahoma" w:cs="Tahoma"/>
                <w:sz w:val="20"/>
                <w:szCs w:val="20"/>
              </w:rPr>
            </w:pPr>
            <w:r w:rsidRPr="00AD43BC">
              <w:rPr>
                <w:rFonts w:ascii="Tahoma" w:hAnsi="Tahoma" w:cs="Tahoma"/>
                <w:sz w:val="20"/>
                <w:szCs w:val="20"/>
              </w:rPr>
              <w:t>Diversity in student intake, including public sector</w:t>
            </w:r>
          </w:p>
          <w:p w14:paraId="1713BCBE" w14:textId="77777777" w:rsidR="00AD43BC" w:rsidRPr="00AD43BC" w:rsidRDefault="00AD43BC" w:rsidP="00620D09">
            <w:pPr>
              <w:rPr>
                <w:rFonts w:ascii="Tahoma" w:hAnsi="Tahoma" w:cs="Tahoma"/>
                <w:sz w:val="20"/>
                <w:szCs w:val="20"/>
              </w:rPr>
            </w:pPr>
          </w:p>
          <w:p w14:paraId="6B3C9352" w14:textId="77777777" w:rsidR="00AD43BC" w:rsidRPr="00AD43BC" w:rsidRDefault="00AD43BC" w:rsidP="00620D09">
            <w:pPr>
              <w:rPr>
                <w:rFonts w:ascii="Tahoma" w:hAnsi="Tahoma" w:cs="Tahoma"/>
                <w:sz w:val="20"/>
                <w:szCs w:val="20"/>
              </w:rPr>
            </w:pPr>
            <w:r w:rsidRPr="00AD43BC">
              <w:rPr>
                <w:rFonts w:ascii="Tahoma" w:hAnsi="Tahoma" w:cs="Tahoma"/>
                <w:sz w:val="20"/>
                <w:szCs w:val="20"/>
              </w:rPr>
              <w:t>Accreditation of learning</w:t>
            </w:r>
          </w:p>
          <w:p w14:paraId="0DECA9E0" w14:textId="77777777" w:rsidR="00AD43BC" w:rsidRPr="00AD43BC" w:rsidRDefault="00AD43BC" w:rsidP="00620D09">
            <w:pPr>
              <w:rPr>
                <w:rFonts w:ascii="Tahoma" w:hAnsi="Tahoma" w:cs="Tahoma"/>
                <w:sz w:val="20"/>
                <w:szCs w:val="20"/>
              </w:rPr>
            </w:pPr>
          </w:p>
          <w:p w14:paraId="4B3DBE3B" w14:textId="77777777" w:rsidR="00AD43BC" w:rsidRPr="00AD43BC" w:rsidRDefault="00AD43BC" w:rsidP="00620D09">
            <w:pPr>
              <w:rPr>
                <w:rFonts w:ascii="Tahoma" w:hAnsi="Tahoma" w:cs="Tahoma"/>
                <w:sz w:val="20"/>
                <w:szCs w:val="20"/>
              </w:rPr>
            </w:pPr>
            <w:r w:rsidRPr="00AD43BC">
              <w:rPr>
                <w:rFonts w:ascii="Tahoma" w:hAnsi="Tahoma" w:cs="Tahoma"/>
                <w:sz w:val="20"/>
                <w:szCs w:val="20"/>
              </w:rPr>
              <w:t xml:space="preserve">Branding through unique selling point </w:t>
            </w:r>
          </w:p>
        </w:tc>
        <w:tc>
          <w:tcPr>
            <w:tcW w:w="2835" w:type="dxa"/>
          </w:tcPr>
          <w:p w14:paraId="1AB7BEB1" w14:textId="77777777" w:rsidR="00AD43BC" w:rsidRPr="00AD43BC" w:rsidRDefault="00AD43BC" w:rsidP="00620D09">
            <w:pPr>
              <w:rPr>
                <w:rFonts w:ascii="Tahoma" w:hAnsi="Tahoma" w:cs="Tahoma"/>
                <w:b/>
                <w:sz w:val="20"/>
                <w:szCs w:val="20"/>
              </w:rPr>
            </w:pPr>
            <w:r w:rsidRPr="00AD43BC">
              <w:rPr>
                <w:rFonts w:ascii="Tahoma" w:hAnsi="Tahoma" w:cs="Tahoma"/>
                <w:b/>
                <w:sz w:val="20"/>
                <w:szCs w:val="20"/>
              </w:rPr>
              <w:t>Client relationships</w:t>
            </w:r>
          </w:p>
          <w:p w14:paraId="161B5D4D" w14:textId="77777777" w:rsidR="00AD43BC" w:rsidRPr="00AD43BC" w:rsidRDefault="00AD43BC" w:rsidP="00620D09">
            <w:pPr>
              <w:rPr>
                <w:rFonts w:ascii="Tahoma" w:hAnsi="Tahoma" w:cs="Tahoma"/>
                <w:sz w:val="20"/>
                <w:szCs w:val="20"/>
              </w:rPr>
            </w:pPr>
            <w:r w:rsidRPr="00AD43BC">
              <w:rPr>
                <w:rFonts w:ascii="Tahoma" w:hAnsi="Tahoma" w:cs="Tahoma"/>
                <w:sz w:val="20"/>
                <w:szCs w:val="20"/>
              </w:rPr>
              <w:t>Conventional individual entry to EE for long programmes</w:t>
            </w:r>
          </w:p>
          <w:p w14:paraId="32D71403" w14:textId="77777777" w:rsidR="00AD43BC" w:rsidRPr="00AD43BC" w:rsidRDefault="00AD43BC" w:rsidP="00620D09">
            <w:pPr>
              <w:rPr>
                <w:rFonts w:ascii="Tahoma" w:hAnsi="Tahoma" w:cs="Tahoma"/>
                <w:sz w:val="20"/>
                <w:szCs w:val="20"/>
              </w:rPr>
            </w:pPr>
          </w:p>
          <w:p w14:paraId="0027840C" w14:textId="77777777" w:rsidR="00AD43BC" w:rsidRPr="00AD43BC" w:rsidRDefault="00AD43BC" w:rsidP="00620D09">
            <w:pPr>
              <w:rPr>
                <w:rFonts w:ascii="Tahoma" w:hAnsi="Tahoma" w:cs="Tahoma"/>
                <w:sz w:val="20"/>
                <w:szCs w:val="20"/>
              </w:rPr>
            </w:pPr>
            <w:r w:rsidRPr="00AD43BC">
              <w:rPr>
                <w:rFonts w:ascii="Tahoma" w:hAnsi="Tahoma" w:cs="Tahoma"/>
                <w:sz w:val="20"/>
                <w:szCs w:val="20"/>
              </w:rPr>
              <w:t>Micro-learning opportunities</w:t>
            </w:r>
          </w:p>
          <w:p w14:paraId="07016261" w14:textId="77777777" w:rsidR="00AD43BC" w:rsidRPr="00AD43BC" w:rsidRDefault="00AD43BC" w:rsidP="00620D09">
            <w:pPr>
              <w:pStyle w:val="ListParagraph"/>
              <w:rPr>
                <w:rFonts w:ascii="Tahoma" w:hAnsi="Tahoma" w:cs="Tahoma"/>
                <w:sz w:val="20"/>
                <w:szCs w:val="20"/>
              </w:rPr>
            </w:pPr>
          </w:p>
          <w:p w14:paraId="5B27E88C" w14:textId="77777777" w:rsidR="00AD43BC" w:rsidRPr="00AD43BC" w:rsidRDefault="00AD43BC" w:rsidP="00620D09">
            <w:pPr>
              <w:rPr>
                <w:rFonts w:ascii="Tahoma" w:hAnsi="Tahoma" w:cs="Tahoma"/>
                <w:sz w:val="20"/>
                <w:szCs w:val="20"/>
              </w:rPr>
            </w:pPr>
            <w:r w:rsidRPr="00AD43BC">
              <w:rPr>
                <w:rFonts w:ascii="Tahoma" w:hAnsi="Tahoma" w:cs="Tahoma"/>
                <w:sz w:val="20"/>
                <w:szCs w:val="20"/>
              </w:rPr>
              <w:t>Organisational sponsorship of EE students</w:t>
            </w:r>
          </w:p>
          <w:p w14:paraId="25112BC0" w14:textId="77777777" w:rsidR="00AD43BC" w:rsidRPr="00AD43BC" w:rsidRDefault="00AD43BC" w:rsidP="00620D09">
            <w:pPr>
              <w:rPr>
                <w:rFonts w:ascii="Tahoma" w:hAnsi="Tahoma" w:cs="Tahoma"/>
                <w:sz w:val="20"/>
                <w:szCs w:val="20"/>
              </w:rPr>
            </w:pPr>
          </w:p>
          <w:p w14:paraId="1EC83AB2" w14:textId="77777777" w:rsidR="00AD43BC" w:rsidRPr="00AD43BC" w:rsidRDefault="00AD43BC" w:rsidP="00620D09">
            <w:pPr>
              <w:rPr>
                <w:rFonts w:ascii="Tahoma" w:hAnsi="Tahoma" w:cs="Tahoma"/>
                <w:sz w:val="20"/>
                <w:szCs w:val="20"/>
              </w:rPr>
            </w:pPr>
            <w:r w:rsidRPr="00AD43BC">
              <w:rPr>
                <w:rFonts w:ascii="Tahoma" w:hAnsi="Tahoma" w:cs="Tahoma"/>
                <w:sz w:val="20"/>
                <w:szCs w:val="20"/>
              </w:rPr>
              <w:t>Face-to-face, blended and fully-online learning pathways</w:t>
            </w:r>
          </w:p>
        </w:tc>
        <w:tc>
          <w:tcPr>
            <w:tcW w:w="2835" w:type="dxa"/>
          </w:tcPr>
          <w:p w14:paraId="02807F42" w14:textId="77777777" w:rsidR="00AD43BC" w:rsidRPr="00AD43BC" w:rsidRDefault="00AD43BC" w:rsidP="00620D09">
            <w:pPr>
              <w:rPr>
                <w:rFonts w:ascii="Tahoma" w:hAnsi="Tahoma" w:cs="Tahoma"/>
                <w:b/>
                <w:sz w:val="20"/>
                <w:szCs w:val="20"/>
              </w:rPr>
            </w:pPr>
            <w:r w:rsidRPr="00AD43BC">
              <w:rPr>
                <w:rFonts w:ascii="Tahoma" w:hAnsi="Tahoma" w:cs="Tahoma"/>
                <w:b/>
                <w:sz w:val="20"/>
                <w:szCs w:val="20"/>
              </w:rPr>
              <w:t>Client segments</w:t>
            </w:r>
          </w:p>
          <w:p w14:paraId="169EAA1F" w14:textId="77777777" w:rsidR="00AD43BC" w:rsidRPr="00AD43BC" w:rsidRDefault="00AD43BC" w:rsidP="00620D09">
            <w:pPr>
              <w:rPr>
                <w:rFonts w:ascii="Tahoma" w:hAnsi="Tahoma" w:cs="Tahoma"/>
                <w:sz w:val="20"/>
                <w:szCs w:val="20"/>
              </w:rPr>
            </w:pPr>
            <w:r w:rsidRPr="00AD43BC">
              <w:rPr>
                <w:rFonts w:ascii="Tahoma" w:hAnsi="Tahoma" w:cs="Tahoma"/>
                <w:sz w:val="20"/>
                <w:szCs w:val="20"/>
              </w:rPr>
              <w:t>Individual entry</w:t>
            </w:r>
          </w:p>
          <w:p w14:paraId="5FF12202" w14:textId="77777777" w:rsidR="00AD43BC" w:rsidRPr="00AD43BC" w:rsidRDefault="00AD43BC" w:rsidP="00620D09">
            <w:pPr>
              <w:pStyle w:val="ListParagraph"/>
              <w:rPr>
                <w:rFonts w:ascii="Tahoma" w:hAnsi="Tahoma" w:cs="Tahoma"/>
                <w:sz w:val="20"/>
                <w:szCs w:val="20"/>
              </w:rPr>
            </w:pPr>
          </w:p>
          <w:p w14:paraId="40B280CA" w14:textId="77777777" w:rsidR="00AD43BC" w:rsidRPr="00AD43BC" w:rsidRDefault="00AD43BC" w:rsidP="00620D09">
            <w:pPr>
              <w:rPr>
                <w:rFonts w:ascii="Tahoma" w:hAnsi="Tahoma" w:cs="Tahoma"/>
                <w:sz w:val="20"/>
                <w:szCs w:val="20"/>
              </w:rPr>
            </w:pPr>
            <w:r w:rsidRPr="00AD43BC">
              <w:rPr>
                <w:rFonts w:ascii="Tahoma" w:hAnsi="Tahoma" w:cs="Tahoma"/>
                <w:sz w:val="20"/>
                <w:szCs w:val="20"/>
              </w:rPr>
              <w:t>Organisational sponsorships</w:t>
            </w:r>
          </w:p>
          <w:p w14:paraId="1B03ABF6" w14:textId="77777777" w:rsidR="00AD43BC" w:rsidRPr="00AD43BC" w:rsidRDefault="00AD43BC" w:rsidP="00620D09">
            <w:pPr>
              <w:rPr>
                <w:rFonts w:ascii="Tahoma" w:hAnsi="Tahoma" w:cs="Tahoma"/>
                <w:sz w:val="20"/>
                <w:szCs w:val="20"/>
              </w:rPr>
            </w:pPr>
          </w:p>
          <w:p w14:paraId="76E8C964" w14:textId="77777777" w:rsidR="00AD43BC" w:rsidRPr="00AD43BC" w:rsidRDefault="00AD43BC" w:rsidP="00620D09">
            <w:pPr>
              <w:rPr>
                <w:rFonts w:ascii="Tahoma" w:hAnsi="Tahoma" w:cs="Tahoma"/>
                <w:sz w:val="20"/>
                <w:szCs w:val="20"/>
              </w:rPr>
            </w:pPr>
            <w:r w:rsidRPr="00AD43BC">
              <w:rPr>
                <w:rFonts w:ascii="Tahoma" w:hAnsi="Tahoma" w:cs="Tahoma"/>
                <w:sz w:val="20"/>
                <w:szCs w:val="20"/>
              </w:rPr>
              <w:t>Bespoke micro-learning for teams</w:t>
            </w:r>
          </w:p>
        </w:tc>
      </w:tr>
    </w:tbl>
    <w:p w14:paraId="4A4C2242" w14:textId="20C407FB" w:rsidR="00AD43BC" w:rsidRPr="0055166D" w:rsidRDefault="00250E39" w:rsidP="00AD43BC">
      <w:pPr>
        <w:rPr>
          <w:rFonts w:ascii="Tahoma" w:hAnsi="Tahoma" w:cs="Tahoma"/>
          <w:sz w:val="24"/>
          <w:szCs w:val="24"/>
        </w:rPr>
      </w:pPr>
      <w:r w:rsidRPr="0055166D">
        <w:rPr>
          <w:rFonts w:ascii="Tahoma" w:hAnsi="Tahoma" w:cs="Tahoma"/>
          <w:noProof/>
          <w:sz w:val="24"/>
          <w:szCs w:val="24"/>
          <w:lang w:eastAsia="en-GB"/>
        </w:rPr>
        <mc:AlternateContent>
          <mc:Choice Requires="wps">
            <w:drawing>
              <wp:anchor distT="0" distB="0" distL="114300" distR="114300" simplePos="0" relativeHeight="251659264" behindDoc="0" locked="0" layoutInCell="1" allowOverlap="1" wp14:anchorId="3191DBCF" wp14:editId="2E398574">
                <wp:simplePos x="0" y="0"/>
                <wp:positionH relativeFrom="column">
                  <wp:posOffset>5332933</wp:posOffset>
                </wp:positionH>
                <wp:positionV relativeFrom="paragraph">
                  <wp:posOffset>-4729</wp:posOffset>
                </wp:positionV>
                <wp:extent cx="1790611" cy="1630680"/>
                <wp:effectExtent l="0" t="0" r="19685" b="26670"/>
                <wp:wrapNone/>
                <wp:docPr id="2" name="Text Box 2"/>
                <wp:cNvGraphicFramePr/>
                <a:graphic xmlns:a="http://schemas.openxmlformats.org/drawingml/2006/main">
                  <a:graphicData uri="http://schemas.microsoft.com/office/word/2010/wordprocessingShape">
                    <wps:wsp>
                      <wps:cNvSpPr txBox="1"/>
                      <wps:spPr>
                        <a:xfrm>
                          <a:off x="0" y="0"/>
                          <a:ext cx="1790611" cy="1630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25191" w14:textId="77777777" w:rsidR="00AD43BC" w:rsidRPr="00AD43BC" w:rsidRDefault="00AD43BC" w:rsidP="00A71D08">
                            <w:pPr>
                              <w:spacing w:after="0"/>
                              <w:rPr>
                                <w:rFonts w:ascii="Tahoma" w:hAnsi="Tahoma" w:cs="Tahoma"/>
                                <w:b/>
                                <w:sz w:val="20"/>
                                <w:szCs w:val="20"/>
                              </w:rPr>
                            </w:pPr>
                            <w:r w:rsidRPr="00AD43BC">
                              <w:rPr>
                                <w:rFonts w:ascii="Tahoma" w:hAnsi="Tahoma" w:cs="Tahoma"/>
                                <w:b/>
                                <w:sz w:val="20"/>
                                <w:szCs w:val="20"/>
                              </w:rPr>
                              <w:t>Channels</w:t>
                            </w:r>
                          </w:p>
                          <w:p w14:paraId="33FFF454" w14:textId="77777777" w:rsidR="00AD43BC" w:rsidRPr="00AD43BC" w:rsidRDefault="00AD43BC" w:rsidP="00250E39">
                            <w:pPr>
                              <w:spacing w:after="0" w:line="360" w:lineRule="auto"/>
                              <w:rPr>
                                <w:rFonts w:ascii="Tahoma" w:hAnsi="Tahoma" w:cs="Tahoma"/>
                                <w:b/>
                                <w:sz w:val="20"/>
                                <w:szCs w:val="20"/>
                              </w:rPr>
                            </w:pPr>
                            <w:r w:rsidRPr="00AD43BC">
                              <w:rPr>
                                <w:rFonts w:ascii="Tahoma" w:hAnsi="Tahoma" w:cs="Tahoma"/>
                                <w:sz w:val="20"/>
                                <w:szCs w:val="20"/>
                              </w:rPr>
                              <w:t>Direct to individuals</w:t>
                            </w:r>
                          </w:p>
                          <w:p w14:paraId="7D4D0D62" w14:textId="77777777"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Ranking and Government benchmarks</w:t>
                            </w:r>
                          </w:p>
                          <w:p w14:paraId="100764C3" w14:textId="77777777"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Marketing agents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1DBCF" id="_x0000_t202" coordsize="21600,21600" o:spt="202" path="m,l,21600r21600,l21600,xe">
                <v:stroke joinstyle="miter"/>
                <v:path gradientshapeok="t" o:connecttype="rect"/>
              </v:shapetype>
              <v:shape id="Text Box 2" o:spid="_x0000_s1026" type="#_x0000_t202" style="position:absolute;margin-left:419.9pt;margin-top:-.35pt;width:141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" fillcolor="white [3201]" strokeweight=".5pt">
                <v:textbox>
                  <w:txbxContent>
                    <w:p w14:paraId="40025191" w14:textId="77777777" w:rsidR="00AD43BC" w:rsidRPr="00AD43BC" w:rsidRDefault="00AD43BC" w:rsidP="00A71D08">
                      <w:pPr>
                        <w:spacing w:after="0"/>
                        <w:rPr>
                          <w:rFonts w:ascii="Tahoma" w:hAnsi="Tahoma" w:cs="Tahoma"/>
                          <w:b/>
                          <w:sz w:val="20"/>
                          <w:szCs w:val="20"/>
                        </w:rPr>
                      </w:pPr>
                      <w:r w:rsidRPr="00AD43BC">
                        <w:rPr>
                          <w:rFonts w:ascii="Tahoma" w:hAnsi="Tahoma" w:cs="Tahoma"/>
                          <w:b/>
                          <w:sz w:val="20"/>
                          <w:szCs w:val="20"/>
                        </w:rPr>
                        <w:t>Channels</w:t>
                      </w:r>
                    </w:p>
                    <w:p w14:paraId="33FFF454" w14:textId="77777777" w:rsidR="00AD43BC" w:rsidRPr="00AD43BC" w:rsidRDefault="00AD43BC" w:rsidP="00250E39">
                      <w:pPr>
                        <w:spacing w:after="0" w:line="360" w:lineRule="auto"/>
                        <w:rPr>
                          <w:rFonts w:ascii="Tahoma" w:hAnsi="Tahoma" w:cs="Tahoma"/>
                          <w:b/>
                          <w:sz w:val="20"/>
                          <w:szCs w:val="20"/>
                        </w:rPr>
                      </w:pPr>
                      <w:r w:rsidRPr="00AD43BC">
                        <w:rPr>
                          <w:rFonts w:ascii="Tahoma" w:hAnsi="Tahoma" w:cs="Tahoma"/>
                          <w:sz w:val="20"/>
                          <w:szCs w:val="20"/>
                        </w:rPr>
                        <w:t>Direct to individuals</w:t>
                      </w:r>
                    </w:p>
                    <w:p w14:paraId="7D4D0D62" w14:textId="77777777"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Ranking and Government benchmarks</w:t>
                      </w:r>
                    </w:p>
                    <w:p w14:paraId="100764C3" w14:textId="77777777"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Marketing agents</w:t>
                      </w:r>
                    </w:p>
                  </w:txbxContent>
                </v:textbox>
              </v:shape>
            </w:pict>
          </mc:Fallback>
        </mc:AlternateContent>
      </w:r>
      <w:r w:rsidRPr="0055166D">
        <w:rPr>
          <w:rFonts w:ascii="Tahoma" w:hAnsi="Tahoma" w:cs="Tahoma"/>
          <w:noProof/>
          <w:sz w:val="24"/>
          <w:szCs w:val="24"/>
          <w:lang w:eastAsia="en-GB"/>
        </w:rPr>
        <mc:AlternateContent>
          <mc:Choice Requires="wps">
            <w:drawing>
              <wp:anchor distT="0" distB="0" distL="114300" distR="114300" simplePos="0" relativeHeight="251645952" behindDoc="0" locked="0" layoutInCell="1" allowOverlap="1" wp14:anchorId="7D437C2E" wp14:editId="6DA1CA15">
                <wp:simplePos x="0" y="0"/>
                <wp:positionH relativeFrom="column">
                  <wp:posOffset>1726490</wp:posOffset>
                </wp:positionH>
                <wp:positionV relativeFrom="paragraph">
                  <wp:posOffset>-4730</wp:posOffset>
                </wp:positionV>
                <wp:extent cx="1795145" cy="1624285"/>
                <wp:effectExtent l="0" t="0" r="14605" b="14605"/>
                <wp:wrapNone/>
                <wp:docPr id="1" name="Text Box 1"/>
                <wp:cNvGraphicFramePr/>
                <a:graphic xmlns:a="http://schemas.openxmlformats.org/drawingml/2006/main">
                  <a:graphicData uri="http://schemas.microsoft.com/office/word/2010/wordprocessingShape">
                    <wps:wsp>
                      <wps:cNvSpPr txBox="1"/>
                      <wps:spPr>
                        <a:xfrm>
                          <a:off x="0" y="0"/>
                          <a:ext cx="1795145" cy="1624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13F92" w14:textId="77777777" w:rsidR="00AD43BC" w:rsidRPr="00AD43BC" w:rsidRDefault="00AD43BC" w:rsidP="00A71D08">
                            <w:pPr>
                              <w:spacing w:after="0"/>
                              <w:rPr>
                                <w:rFonts w:ascii="Tahoma" w:hAnsi="Tahoma" w:cs="Tahoma"/>
                                <w:b/>
                                <w:sz w:val="20"/>
                                <w:szCs w:val="20"/>
                              </w:rPr>
                            </w:pPr>
                            <w:r w:rsidRPr="00AD43BC">
                              <w:rPr>
                                <w:rFonts w:ascii="Tahoma" w:hAnsi="Tahoma" w:cs="Tahoma"/>
                                <w:b/>
                                <w:sz w:val="20"/>
                                <w:szCs w:val="20"/>
                              </w:rPr>
                              <w:t>Key resources</w:t>
                            </w:r>
                          </w:p>
                          <w:p w14:paraId="58E07664" w14:textId="77777777"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Qualified and trained academic staff</w:t>
                            </w:r>
                          </w:p>
                          <w:p w14:paraId="362AB691" w14:textId="77777777"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Learning leaders</w:t>
                            </w:r>
                          </w:p>
                          <w:p w14:paraId="2CACF9F7" w14:textId="77777777" w:rsidR="00A71D08" w:rsidRDefault="00AD43BC" w:rsidP="00250E39">
                            <w:pPr>
                              <w:spacing w:after="0" w:line="360" w:lineRule="auto"/>
                              <w:rPr>
                                <w:rFonts w:ascii="Tahoma" w:hAnsi="Tahoma" w:cs="Tahoma"/>
                                <w:sz w:val="20"/>
                                <w:szCs w:val="20"/>
                              </w:rPr>
                            </w:pPr>
                            <w:r w:rsidRPr="00AD43BC">
                              <w:rPr>
                                <w:rFonts w:ascii="Tahoma" w:hAnsi="Tahoma" w:cs="Tahoma"/>
                                <w:sz w:val="20"/>
                                <w:szCs w:val="20"/>
                              </w:rPr>
                              <w:t>Virtual Learning Environment</w:t>
                            </w:r>
                          </w:p>
                          <w:p w14:paraId="7041FE22" w14:textId="60515EC1"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Strategic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37C2E" id="Text Box 1" o:spid="_x0000_s1027" type="#_x0000_t202" style="position:absolute;margin-left:135.95pt;margin-top:-.35pt;width:141.35pt;height:127.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" fillcolor="white [3201]" strokeweight=".5pt">
                <v:textbox>
                  <w:txbxContent>
                    <w:p w14:paraId="06B13F92" w14:textId="77777777" w:rsidR="00AD43BC" w:rsidRPr="00AD43BC" w:rsidRDefault="00AD43BC" w:rsidP="00A71D08">
                      <w:pPr>
                        <w:spacing w:after="0"/>
                        <w:rPr>
                          <w:rFonts w:ascii="Tahoma" w:hAnsi="Tahoma" w:cs="Tahoma"/>
                          <w:b/>
                          <w:sz w:val="20"/>
                          <w:szCs w:val="20"/>
                        </w:rPr>
                      </w:pPr>
                      <w:r w:rsidRPr="00AD43BC">
                        <w:rPr>
                          <w:rFonts w:ascii="Tahoma" w:hAnsi="Tahoma" w:cs="Tahoma"/>
                          <w:b/>
                          <w:sz w:val="20"/>
                          <w:szCs w:val="20"/>
                        </w:rPr>
                        <w:t>Key resources</w:t>
                      </w:r>
                    </w:p>
                    <w:p w14:paraId="58E07664" w14:textId="77777777"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Qualified and trained academic staff</w:t>
                      </w:r>
                    </w:p>
                    <w:p w14:paraId="362AB691" w14:textId="77777777"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Learning leaders</w:t>
                      </w:r>
                    </w:p>
                    <w:p w14:paraId="2CACF9F7" w14:textId="77777777" w:rsidR="00A71D08" w:rsidRDefault="00AD43BC" w:rsidP="00250E39">
                      <w:pPr>
                        <w:spacing w:after="0" w:line="360" w:lineRule="auto"/>
                        <w:rPr>
                          <w:rFonts w:ascii="Tahoma" w:hAnsi="Tahoma" w:cs="Tahoma"/>
                          <w:sz w:val="20"/>
                          <w:szCs w:val="20"/>
                        </w:rPr>
                      </w:pPr>
                      <w:r w:rsidRPr="00AD43BC">
                        <w:rPr>
                          <w:rFonts w:ascii="Tahoma" w:hAnsi="Tahoma" w:cs="Tahoma"/>
                          <w:sz w:val="20"/>
                          <w:szCs w:val="20"/>
                        </w:rPr>
                        <w:t>Virtual Learning Environment</w:t>
                      </w:r>
                    </w:p>
                    <w:p w14:paraId="7041FE22" w14:textId="60515EC1" w:rsidR="00AD43BC" w:rsidRPr="00AD43BC" w:rsidRDefault="00AD43BC" w:rsidP="00250E39">
                      <w:pPr>
                        <w:spacing w:after="0" w:line="360" w:lineRule="auto"/>
                        <w:rPr>
                          <w:rFonts w:ascii="Tahoma" w:hAnsi="Tahoma" w:cs="Tahoma"/>
                          <w:sz w:val="20"/>
                          <w:szCs w:val="20"/>
                        </w:rPr>
                      </w:pPr>
                      <w:r w:rsidRPr="00AD43BC">
                        <w:rPr>
                          <w:rFonts w:ascii="Tahoma" w:hAnsi="Tahoma" w:cs="Tahoma"/>
                          <w:sz w:val="20"/>
                          <w:szCs w:val="20"/>
                        </w:rPr>
                        <w:t>Strategic plan</w:t>
                      </w:r>
                    </w:p>
                  </w:txbxContent>
                </v:textbox>
              </v:shape>
            </w:pict>
          </mc:Fallback>
        </mc:AlternateContent>
      </w:r>
    </w:p>
    <w:p w14:paraId="378528BF" w14:textId="77777777" w:rsidR="007145E6" w:rsidRPr="007E34A1" w:rsidRDefault="007145E6" w:rsidP="007E34A1">
      <w:pPr>
        <w:spacing w:line="360" w:lineRule="auto"/>
        <w:rPr>
          <w:rFonts w:ascii="Tahoma" w:eastAsia="Calibri" w:hAnsi="Tahoma" w:cs="Tahoma"/>
          <w:sz w:val="24"/>
          <w:szCs w:val="24"/>
        </w:rPr>
      </w:pPr>
    </w:p>
    <w:p w14:paraId="4CE6C947" w14:textId="107A507D" w:rsidR="00CE3B73" w:rsidRPr="007E34A1" w:rsidRDefault="00CE3B73" w:rsidP="007E34A1">
      <w:pPr>
        <w:spacing w:line="360" w:lineRule="auto"/>
        <w:rPr>
          <w:rFonts w:ascii="Tahoma" w:eastAsia="Calibri" w:hAnsi="Tahoma" w:cs="Tahoma"/>
          <w:sz w:val="24"/>
          <w:szCs w:val="24"/>
        </w:rPr>
      </w:pPr>
    </w:p>
    <w:p w14:paraId="0EB6DF7F" w14:textId="77777777" w:rsidR="0045469C" w:rsidRPr="007E34A1" w:rsidRDefault="0045469C" w:rsidP="007E34A1">
      <w:pPr>
        <w:spacing w:line="360" w:lineRule="auto"/>
        <w:rPr>
          <w:rFonts w:ascii="Tahoma" w:eastAsia="Calibri" w:hAnsi="Tahoma" w:cs="Tahoma"/>
          <w:sz w:val="24"/>
          <w:szCs w:val="24"/>
        </w:rPr>
      </w:pPr>
    </w:p>
    <w:p w14:paraId="60D9BEEF" w14:textId="30800051" w:rsidR="00250E39" w:rsidRDefault="00250E39" w:rsidP="00250E39">
      <w:pPr>
        <w:rPr>
          <w:rFonts w:ascii="Tahoma" w:eastAsia="Calibri" w:hAnsi="Tahoma" w:cs="Tahoma"/>
          <w:b/>
          <w:bCs/>
          <w:sz w:val="24"/>
          <w:szCs w:val="24"/>
        </w:rPr>
      </w:pPr>
      <w:r w:rsidRPr="0055166D">
        <w:rPr>
          <w:rFonts w:ascii="Tahoma" w:hAnsi="Tahoma" w:cs="Tahoma"/>
          <w:noProof/>
          <w:sz w:val="24"/>
          <w:szCs w:val="24"/>
          <w:lang w:eastAsia="en-GB"/>
        </w:rPr>
        <mc:AlternateContent>
          <mc:Choice Requires="wps">
            <w:drawing>
              <wp:anchor distT="0" distB="0" distL="114300" distR="114300" simplePos="0" relativeHeight="251681792" behindDoc="0" locked="0" layoutInCell="1" allowOverlap="1" wp14:anchorId="65CB1FD5" wp14:editId="211FC57D">
                <wp:simplePos x="0" y="0"/>
                <wp:positionH relativeFrom="column">
                  <wp:posOffset>4444112</wp:posOffset>
                </wp:positionH>
                <wp:positionV relativeFrom="paragraph">
                  <wp:posOffset>78455</wp:posOffset>
                </wp:positionV>
                <wp:extent cx="4505325" cy="893929"/>
                <wp:effectExtent l="0" t="0" r="28575" b="20955"/>
                <wp:wrapNone/>
                <wp:docPr id="4" name="Text Box 4"/>
                <wp:cNvGraphicFramePr/>
                <a:graphic xmlns:a="http://schemas.openxmlformats.org/drawingml/2006/main">
                  <a:graphicData uri="http://schemas.microsoft.com/office/word/2010/wordprocessingShape">
                    <wps:wsp>
                      <wps:cNvSpPr txBox="1"/>
                      <wps:spPr>
                        <a:xfrm>
                          <a:off x="0" y="0"/>
                          <a:ext cx="4505325" cy="8939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1193C" w14:textId="77777777" w:rsidR="00AD43BC" w:rsidRPr="00AD43BC" w:rsidRDefault="00AD43BC" w:rsidP="00A71D08">
                            <w:pPr>
                              <w:spacing w:after="0"/>
                              <w:rPr>
                                <w:rFonts w:ascii="Tahoma" w:hAnsi="Tahoma" w:cs="Tahoma"/>
                                <w:b/>
                                <w:sz w:val="20"/>
                                <w:szCs w:val="20"/>
                              </w:rPr>
                            </w:pPr>
                            <w:r w:rsidRPr="00AD43BC">
                              <w:rPr>
                                <w:rFonts w:ascii="Tahoma" w:hAnsi="Tahoma" w:cs="Tahoma"/>
                                <w:b/>
                                <w:sz w:val="20"/>
                                <w:szCs w:val="20"/>
                              </w:rPr>
                              <w:t>Revenue streams</w:t>
                            </w:r>
                          </w:p>
                          <w:p w14:paraId="7FE1DF72" w14:textId="77777777" w:rsidR="00AD43BC" w:rsidRPr="00A71D08" w:rsidRDefault="00AD43BC" w:rsidP="00250E39">
                            <w:pPr>
                              <w:spacing w:after="0" w:line="360" w:lineRule="auto"/>
                              <w:rPr>
                                <w:rFonts w:ascii="Tahoma" w:hAnsi="Tahoma" w:cs="Tahoma"/>
                                <w:sz w:val="20"/>
                                <w:szCs w:val="20"/>
                              </w:rPr>
                            </w:pPr>
                            <w:r w:rsidRPr="00A71D08">
                              <w:rPr>
                                <w:rFonts w:ascii="Tahoma" w:hAnsi="Tahoma" w:cs="Tahoma"/>
                                <w:sz w:val="20"/>
                                <w:szCs w:val="20"/>
                              </w:rPr>
                              <w:t>Flexible fee structure to recognise variety in the temporal content to learning journey</w:t>
                            </w:r>
                          </w:p>
                          <w:p w14:paraId="174611A7" w14:textId="77777777" w:rsidR="00AD43BC" w:rsidRPr="00A71D08" w:rsidRDefault="00AD43BC" w:rsidP="00250E39">
                            <w:pPr>
                              <w:spacing w:after="0" w:line="360" w:lineRule="auto"/>
                              <w:rPr>
                                <w:rFonts w:ascii="Tahoma" w:hAnsi="Tahoma" w:cs="Tahoma"/>
                                <w:sz w:val="20"/>
                                <w:szCs w:val="20"/>
                              </w:rPr>
                            </w:pPr>
                            <w:r w:rsidRPr="00A71D08">
                              <w:rPr>
                                <w:rFonts w:ascii="Tahoma" w:hAnsi="Tahoma" w:cs="Tahoma"/>
                                <w:sz w:val="20"/>
                                <w:szCs w:val="20"/>
                              </w:rPr>
                              <w:t>Organisational sponsorship of students</w:t>
                            </w:r>
                          </w:p>
                          <w:p w14:paraId="761FE33F" w14:textId="77777777" w:rsidR="00AD43BC" w:rsidRDefault="00AD43BC" w:rsidP="00AD43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B1FD5" id="Text Box 4" o:spid="_x0000_s1028" type="#_x0000_t202" style="position:absolute;margin-left:349.95pt;margin-top:6.2pt;width:354.75pt;height:7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" fillcolor="white [3201]" strokeweight=".5pt">
                <v:textbox>
                  <w:txbxContent>
                    <w:p w14:paraId="1A71193C" w14:textId="77777777" w:rsidR="00AD43BC" w:rsidRPr="00AD43BC" w:rsidRDefault="00AD43BC" w:rsidP="00A71D08">
                      <w:pPr>
                        <w:spacing w:after="0"/>
                        <w:rPr>
                          <w:rFonts w:ascii="Tahoma" w:hAnsi="Tahoma" w:cs="Tahoma"/>
                          <w:b/>
                          <w:sz w:val="20"/>
                          <w:szCs w:val="20"/>
                        </w:rPr>
                      </w:pPr>
                      <w:r w:rsidRPr="00AD43BC">
                        <w:rPr>
                          <w:rFonts w:ascii="Tahoma" w:hAnsi="Tahoma" w:cs="Tahoma"/>
                          <w:b/>
                          <w:sz w:val="20"/>
                          <w:szCs w:val="20"/>
                        </w:rPr>
                        <w:t>Revenue streams</w:t>
                      </w:r>
                    </w:p>
                    <w:p w14:paraId="7FE1DF72" w14:textId="77777777" w:rsidR="00AD43BC" w:rsidRPr="00A71D08" w:rsidRDefault="00AD43BC" w:rsidP="00250E39">
                      <w:pPr>
                        <w:spacing w:after="0" w:line="360" w:lineRule="auto"/>
                        <w:rPr>
                          <w:rFonts w:ascii="Tahoma" w:hAnsi="Tahoma" w:cs="Tahoma"/>
                          <w:sz w:val="20"/>
                          <w:szCs w:val="20"/>
                        </w:rPr>
                      </w:pPr>
                      <w:r w:rsidRPr="00A71D08">
                        <w:rPr>
                          <w:rFonts w:ascii="Tahoma" w:hAnsi="Tahoma" w:cs="Tahoma"/>
                          <w:sz w:val="20"/>
                          <w:szCs w:val="20"/>
                        </w:rPr>
                        <w:t>Flexible fee structure to recognise variety in the temporal content to learning journey</w:t>
                      </w:r>
                    </w:p>
                    <w:p w14:paraId="174611A7" w14:textId="77777777" w:rsidR="00AD43BC" w:rsidRPr="00A71D08" w:rsidRDefault="00AD43BC" w:rsidP="00250E39">
                      <w:pPr>
                        <w:spacing w:after="0" w:line="360" w:lineRule="auto"/>
                        <w:rPr>
                          <w:rFonts w:ascii="Tahoma" w:hAnsi="Tahoma" w:cs="Tahoma"/>
                          <w:sz w:val="20"/>
                          <w:szCs w:val="20"/>
                        </w:rPr>
                      </w:pPr>
                      <w:r w:rsidRPr="00A71D08">
                        <w:rPr>
                          <w:rFonts w:ascii="Tahoma" w:hAnsi="Tahoma" w:cs="Tahoma"/>
                          <w:sz w:val="20"/>
                          <w:szCs w:val="20"/>
                        </w:rPr>
                        <w:t>Organisational sponsorship of students</w:t>
                      </w:r>
                    </w:p>
                    <w:p w14:paraId="761FE33F" w14:textId="77777777" w:rsidR="00AD43BC" w:rsidRDefault="00AD43BC" w:rsidP="00AD43BC"/>
                  </w:txbxContent>
                </v:textbox>
              </v:shape>
            </w:pict>
          </mc:Fallback>
        </mc:AlternateContent>
      </w:r>
      <w:r w:rsidRPr="0055166D">
        <w:rPr>
          <w:rFonts w:ascii="Tahoma" w:hAnsi="Tahoma" w:cs="Tahoma"/>
          <w:noProof/>
          <w:sz w:val="24"/>
          <w:szCs w:val="24"/>
          <w:lang w:eastAsia="en-GB"/>
        </w:rPr>
        <mc:AlternateContent>
          <mc:Choice Requires="wps">
            <w:drawing>
              <wp:anchor distT="0" distB="0" distL="114300" distR="114300" simplePos="0" relativeHeight="251670528" behindDoc="0" locked="0" layoutInCell="1" allowOverlap="1" wp14:anchorId="243CCF46" wp14:editId="2A7D3946">
                <wp:simplePos x="0" y="0"/>
                <wp:positionH relativeFrom="column">
                  <wp:posOffset>-6394</wp:posOffset>
                </wp:positionH>
                <wp:positionV relativeFrom="paragraph">
                  <wp:posOffset>78456</wp:posOffset>
                </wp:positionV>
                <wp:extent cx="4467225" cy="896558"/>
                <wp:effectExtent l="0" t="0" r="28575" b="18415"/>
                <wp:wrapNone/>
                <wp:docPr id="3" name="Text Box 3"/>
                <wp:cNvGraphicFramePr/>
                <a:graphic xmlns:a="http://schemas.openxmlformats.org/drawingml/2006/main">
                  <a:graphicData uri="http://schemas.microsoft.com/office/word/2010/wordprocessingShape">
                    <wps:wsp>
                      <wps:cNvSpPr txBox="1"/>
                      <wps:spPr>
                        <a:xfrm>
                          <a:off x="0" y="0"/>
                          <a:ext cx="4467225" cy="8965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5DCED7" w14:textId="77777777" w:rsidR="00AD43BC" w:rsidRPr="00AD43BC" w:rsidRDefault="00AD43BC" w:rsidP="00A71D08">
                            <w:pPr>
                              <w:spacing w:after="0"/>
                              <w:rPr>
                                <w:rFonts w:ascii="Tahoma" w:hAnsi="Tahoma" w:cs="Tahoma"/>
                                <w:b/>
                                <w:sz w:val="20"/>
                                <w:szCs w:val="20"/>
                              </w:rPr>
                            </w:pPr>
                            <w:r w:rsidRPr="00AD43BC">
                              <w:rPr>
                                <w:rFonts w:ascii="Tahoma" w:hAnsi="Tahoma" w:cs="Tahoma"/>
                                <w:b/>
                                <w:sz w:val="20"/>
                                <w:szCs w:val="20"/>
                              </w:rPr>
                              <w:t>Cost structure</w:t>
                            </w:r>
                          </w:p>
                          <w:p w14:paraId="69D4D7C2" w14:textId="77777777" w:rsidR="00AD43BC" w:rsidRPr="00AD43BC" w:rsidRDefault="00AD43BC" w:rsidP="00250E39">
                            <w:pPr>
                              <w:spacing w:after="0" w:line="360" w:lineRule="auto"/>
                              <w:rPr>
                                <w:rFonts w:ascii="Tahoma" w:hAnsi="Tahoma" w:cs="Tahoma"/>
                                <w:b/>
                                <w:sz w:val="20"/>
                                <w:szCs w:val="20"/>
                              </w:rPr>
                            </w:pPr>
                            <w:r w:rsidRPr="00AD43BC">
                              <w:rPr>
                                <w:rFonts w:ascii="Tahoma" w:hAnsi="Tahoma" w:cs="Tahoma"/>
                                <w:sz w:val="20"/>
                                <w:szCs w:val="20"/>
                              </w:rPr>
                              <w:t>Costs for specialist learning leaders</w:t>
                            </w:r>
                          </w:p>
                          <w:p w14:paraId="25661C86" w14:textId="77777777" w:rsidR="00AD43BC" w:rsidRPr="00AD43BC" w:rsidRDefault="00AD43BC" w:rsidP="00250E39">
                            <w:pPr>
                              <w:spacing w:after="0" w:line="360" w:lineRule="auto"/>
                              <w:rPr>
                                <w:rFonts w:ascii="Tahoma" w:hAnsi="Tahoma" w:cs="Tahoma"/>
                                <w:b/>
                                <w:sz w:val="20"/>
                                <w:szCs w:val="20"/>
                              </w:rPr>
                            </w:pPr>
                            <w:r w:rsidRPr="00AD43BC">
                              <w:rPr>
                                <w:rFonts w:ascii="Tahoma" w:hAnsi="Tahoma" w:cs="Tahoma"/>
                                <w:sz w:val="20"/>
                                <w:szCs w:val="20"/>
                              </w:rPr>
                              <w:t>Development costs for staff training and learning resources</w:t>
                            </w:r>
                          </w:p>
                          <w:p w14:paraId="5960FB7F" w14:textId="77777777" w:rsidR="00AD43BC" w:rsidRPr="00AD43BC" w:rsidRDefault="00AD43BC" w:rsidP="00250E39">
                            <w:pPr>
                              <w:spacing w:after="0" w:line="360" w:lineRule="auto"/>
                              <w:rPr>
                                <w:rFonts w:ascii="Tahoma" w:hAnsi="Tahoma" w:cs="Tahoma"/>
                                <w:b/>
                                <w:sz w:val="20"/>
                                <w:szCs w:val="20"/>
                              </w:rPr>
                            </w:pPr>
                            <w:r w:rsidRPr="00AD43BC">
                              <w:rPr>
                                <w:rFonts w:ascii="Tahoma" w:hAnsi="Tahoma" w:cs="Tahoma"/>
                                <w:sz w:val="20"/>
                                <w:szCs w:val="20"/>
                              </w:rPr>
                              <w:t>Investment in a holistic support infrastructure</w:t>
                            </w:r>
                          </w:p>
                          <w:p w14:paraId="789D2787" w14:textId="77777777" w:rsidR="00AD43BC" w:rsidRPr="00AD43BC" w:rsidRDefault="00AD43BC" w:rsidP="00AD43B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CCF46" id="Text Box 3" o:spid="_x0000_s1029" type="#_x0000_t202" style="position:absolute;margin-left:-.5pt;margin-top:6.2pt;width:351.75pt;height:7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" fillcolor="white [3201]" strokeweight=".5pt">
                <v:textbox>
                  <w:txbxContent>
                    <w:p w14:paraId="405DCED7" w14:textId="77777777" w:rsidR="00AD43BC" w:rsidRPr="00AD43BC" w:rsidRDefault="00AD43BC" w:rsidP="00A71D08">
                      <w:pPr>
                        <w:spacing w:after="0"/>
                        <w:rPr>
                          <w:rFonts w:ascii="Tahoma" w:hAnsi="Tahoma" w:cs="Tahoma"/>
                          <w:b/>
                          <w:sz w:val="20"/>
                          <w:szCs w:val="20"/>
                        </w:rPr>
                      </w:pPr>
                      <w:r w:rsidRPr="00AD43BC">
                        <w:rPr>
                          <w:rFonts w:ascii="Tahoma" w:hAnsi="Tahoma" w:cs="Tahoma"/>
                          <w:b/>
                          <w:sz w:val="20"/>
                          <w:szCs w:val="20"/>
                        </w:rPr>
                        <w:t>Cost structure</w:t>
                      </w:r>
                    </w:p>
                    <w:p w14:paraId="69D4D7C2" w14:textId="77777777" w:rsidR="00AD43BC" w:rsidRPr="00AD43BC" w:rsidRDefault="00AD43BC" w:rsidP="00250E39">
                      <w:pPr>
                        <w:spacing w:after="0" w:line="360" w:lineRule="auto"/>
                        <w:rPr>
                          <w:rFonts w:ascii="Tahoma" w:hAnsi="Tahoma" w:cs="Tahoma"/>
                          <w:b/>
                          <w:sz w:val="20"/>
                          <w:szCs w:val="20"/>
                        </w:rPr>
                      </w:pPr>
                      <w:r w:rsidRPr="00AD43BC">
                        <w:rPr>
                          <w:rFonts w:ascii="Tahoma" w:hAnsi="Tahoma" w:cs="Tahoma"/>
                          <w:sz w:val="20"/>
                          <w:szCs w:val="20"/>
                        </w:rPr>
                        <w:t>Costs for specialist learning leaders</w:t>
                      </w:r>
                    </w:p>
                    <w:p w14:paraId="25661C86" w14:textId="77777777" w:rsidR="00AD43BC" w:rsidRPr="00AD43BC" w:rsidRDefault="00AD43BC" w:rsidP="00250E39">
                      <w:pPr>
                        <w:spacing w:after="0" w:line="360" w:lineRule="auto"/>
                        <w:rPr>
                          <w:rFonts w:ascii="Tahoma" w:hAnsi="Tahoma" w:cs="Tahoma"/>
                          <w:b/>
                          <w:sz w:val="20"/>
                          <w:szCs w:val="20"/>
                        </w:rPr>
                      </w:pPr>
                      <w:r w:rsidRPr="00AD43BC">
                        <w:rPr>
                          <w:rFonts w:ascii="Tahoma" w:hAnsi="Tahoma" w:cs="Tahoma"/>
                          <w:sz w:val="20"/>
                          <w:szCs w:val="20"/>
                        </w:rPr>
                        <w:t>Development costs for staff training and learning resources</w:t>
                      </w:r>
                    </w:p>
                    <w:p w14:paraId="5960FB7F" w14:textId="77777777" w:rsidR="00AD43BC" w:rsidRPr="00AD43BC" w:rsidRDefault="00AD43BC" w:rsidP="00250E39">
                      <w:pPr>
                        <w:spacing w:after="0" w:line="360" w:lineRule="auto"/>
                        <w:rPr>
                          <w:rFonts w:ascii="Tahoma" w:hAnsi="Tahoma" w:cs="Tahoma"/>
                          <w:b/>
                          <w:sz w:val="20"/>
                          <w:szCs w:val="20"/>
                        </w:rPr>
                      </w:pPr>
                      <w:r w:rsidRPr="00AD43BC">
                        <w:rPr>
                          <w:rFonts w:ascii="Tahoma" w:hAnsi="Tahoma" w:cs="Tahoma"/>
                          <w:sz w:val="20"/>
                          <w:szCs w:val="20"/>
                        </w:rPr>
                        <w:t>Investment in a holistic support infrastructure</w:t>
                      </w:r>
                    </w:p>
                    <w:p w14:paraId="789D2787" w14:textId="77777777" w:rsidR="00AD43BC" w:rsidRPr="00AD43BC" w:rsidRDefault="00AD43BC" w:rsidP="00AD43BC">
                      <w:pPr>
                        <w:rPr>
                          <w:sz w:val="18"/>
                          <w:szCs w:val="18"/>
                        </w:rPr>
                      </w:pPr>
                    </w:p>
                  </w:txbxContent>
                </v:textbox>
              </v:shape>
            </w:pict>
          </mc:Fallback>
        </mc:AlternateContent>
      </w:r>
    </w:p>
    <w:p w14:paraId="43C4F600" w14:textId="77777777" w:rsidR="00250E39" w:rsidRDefault="00250E39" w:rsidP="00250E39">
      <w:pPr>
        <w:rPr>
          <w:rFonts w:ascii="Tahoma" w:eastAsia="Calibri" w:hAnsi="Tahoma" w:cs="Tahoma"/>
          <w:b/>
          <w:bCs/>
          <w:sz w:val="24"/>
          <w:szCs w:val="24"/>
        </w:rPr>
      </w:pPr>
    </w:p>
    <w:p w14:paraId="7D4EA76F" w14:textId="77777777" w:rsidR="00250E39" w:rsidRDefault="00250E39" w:rsidP="00250E39">
      <w:pPr>
        <w:rPr>
          <w:rFonts w:ascii="Tahoma" w:eastAsia="Calibri" w:hAnsi="Tahoma" w:cs="Tahoma"/>
          <w:b/>
          <w:bCs/>
          <w:sz w:val="24"/>
          <w:szCs w:val="24"/>
        </w:rPr>
      </w:pPr>
    </w:p>
    <w:p w14:paraId="2E0A0964" w14:textId="4D7A4522" w:rsidR="00CE3B73" w:rsidRPr="00250E39" w:rsidRDefault="00CE3B73" w:rsidP="00250E39">
      <w:pPr>
        <w:rPr>
          <w:rFonts w:ascii="Tahoma" w:eastAsia="Calibri" w:hAnsi="Tahoma" w:cs="Tahoma"/>
          <w:b/>
          <w:bCs/>
          <w:sz w:val="24"/>
          <w:szCs w:val="24"/>
        </w:rPr>
      </w:pPr>
      <w:r w:rsidRPr="007E34A1">
        <w:rPr>
          <w:rFonts w:ascii="Tahoma" w:eastAsia="Calibri" w:hAnsi="Tahoma" w:cs="Tahoma"/>
          <w:sz w:val="24"/>
          <w:szCs w:val="24"/>
        </w:rPr>
        <w:t>Table 3 A business canvass model for heutagogic EE.</w:t>
      </w:r>
    </w:p>
    <w:p w14:paraId="3C2DFB7E" w14:textId="77777777" w:rsidR="00AD43BC" w:rsidRDefault="00AD43BC" w:rsidP="007E34A1">
      <w:pPr>
        <w:spacing w:line="360" w:lineRule="auto"/>
        <w:rPr>
          <w:rFonts w:ascii="Tahoma" w:eastAsia="Calibri" w:hAnsi="Tahoma" w:cs="Tahoma"/>
          <w:sz w:val="24"/>
          <w:szCs w:val="24"/>
        </w:rPr>
        <w:sectPr w:rsidR="00AD43BC" w:rsidSect="00AD43BC">
          <w:pgSz w:w="16838" w:h="11906" w:orient="landscape"/>
          <w:pgMar w:top="1440" w:right="1440" w:bottom="1440" w:left="1440" w:header="709" w:footer="709" w:gutter="0"/>
          <w:cols w:space="708"/>
          <w:docGrid w:linePitch="360"/>
        </w:sectPr>
      </w:pPr>
    </w:p>
    <w:p w14:paraId="0DB0568B" w14:textId="42E0DC8A" w:rsidR="007145E6"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lastRenderedPageBreak/>
        <w:t xml:space="preserve">BMC methodology has limitations, not least the time-limited nature of the analysis (Cosenz and Noto (2018). This is of particular relevance to partnerships which can be delimited through contracts or feasibility. Moreover, a BMC approach cannot take account of unforeseen events, such as the Covid-19 pandemic or rapid political change. </w:t>
      </w:r>
    </w:p>
    <w:p w14:paraId="3635827E" w14:textId="2560CD4A" w:rsidR="00C35BD2" w:rsidRPr="00250E39" w:rsidRDefault="00C35BD2" w:rsidP="007E34A1">
      <w:pPr>
        <w:spacing w:line="360" w:lineRule="auto"/>
        <w:rPr>
          <w:rFonts w:ascii="Tahoma" w:eastAsia="Calibri" w:hAnsi="Tahoma" w:cs="Tahoma"/>
          <w:b/>
          <w:bCs/>
          <w:sz w:val="24"/>
          <w:szCs w:val="24"/>
        </w:rPr>
      </w:pPr>
      <w:r w:rsidRPr="00250E39">
        <w:rPr>
          <w:rFonts w:ascii="Tahoma" w:eastAsia="Calibri" w:hAnsi="Tahoma" w:cs="Tahoma"/>
          <w:b/>
          <w:bCs/>
          <w:sz w:val="24"/>
          <w:szCs w:val="24"/>
        </w:rPr>
        <w:t>Recommendations</w:t>
      </w:r>
    </w:p>
    <w:p w14:paraId="3DDBF9CF" w14:textId="77777777"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The BMC approach as described in Table 3 offers an accessible overview of the market positioning of the heutagogic curriculum and possible value propositions to potential client groups. It takes account of the changing nature of provision in Higher Education, identifies key resources and delineates future actions. As such Table 3 represents a starting point and an idealised view of the future. The operationalisation of this vision will require significant change within Business Schools, not least in training academics and allocating resources to facilitate personalised learning. Such an endeavour will necessitate cultural change within Business Schools that can only be enacted through clear and purposeful leadership. In the short term, Business Schools may wish to explore short-term bespoke learning opportunities linked to micro-credentialism and mix-and-match options that enable individuals to design their own personalised curriculum. The use of digital technology will enhance the flexibility of the future curriculum offer and enable students to redefine the spatial and temporal context to their learning. All this will require significant investment and the vision to commit to heutagogic principles in a personalised curriculum.</w:t>
      </w:r>
    </w:p>
    <w:p w14:paraId="3B0B5277" w14:textId="77777777" w:rsidR="00C35BD2" w:rsidRPr="00250E39" w:rsidRDefault="00C35BD2" w:rsidP="007E34A1">
      <w:pPr>
        <w:spacing w:line="360" w:lineRule="auto"/>
        <w:rPr>
          <w:rFonts w:ascii="Tahoma" w:eastAsia="Calibri" w:hAnsi="Tahoma" w:cs="Tahoma"/>
          <w:b/>
          <w:bCs/>
          <w:sz w:val="24"/>
          <w:szCs w:val="24"/>
        </w:rPr>
      </w:pPr>
      <w:r w:rsidRPr="00250E39">
        <w:rPr>
          <w:rFonts w:ascii="Tahoma" w:eastAsia="Calibri" w:hAnsi="Tahoma" w:cs="Tahoma"/>
          <w:b/>
          <w:bCs/>
          <w:sz w:val="24"/>
          <w:szCs w:val="24"/>
        </w:rPr>
        <w:t>Future research</w:t>
      </w:r>
    </w:p>
    <w:p w14:paraId="3C677805" w14:textId="4B57A7A7"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Useful research could investigate the ways in which Business Schools use modelling techniques, such as the BMC. A key research question here is: is modelling something that Business Schools teach but do not practise? In specific terms, research could explore how, if at all, modelling fits into curriculum design. This line of enquiry would lead to inferences concerning the nature of innovation and change within curricula. </w:t>
      </w:r>
      <w:r w:rsidR="008F4A66" w:rsidRPr="007E34A1">
        <w:rPr>
          <w:rFonts w:ascii="Tahoma" w:eastAsia="Calibri" w:hAnsi="Tahoma" w:cs="Tahoma"/>
          <w:sz w:val="24"/>
          <w:szCs w:val="24"/>
        </w:rPr>
        <w:t xml:space="preserve">Perhaps most important though is the question of how far Business </w:t>
      </w:r>
      <w:r w:rsidR="008F4A66" w:rsidRPr="007E34A1">
        <w:rPr>
          <w:rFonts w:ascii="Tahoma" w:eastAsia="Calibri" w:hAnsi="Tahoma" w:cs="Tahoma"/>
          <w:sz w:val="24"/>
          <w:szCs w:val="24"/>
        </w:rPr>
        <w:lastRenderedPageBreak/>
        <w:t xml:space="preserve">Schools are prepared to change and introduce personalised forms of learning that echo the principles of heutagogy. </w:t>
      </w:r>
      <w:r w:rsidRPr="007E34A1">
        <w:rPr>
          <w:rFonts w:ascii="Tahoma" w:eastAsia="Calibri" w:hAnsi="Tahoma" w:cs="Tahoma"/>
          <w:sz w:val="24"/>
          <w:szCs w:val="24"/>
        </w:rPr>
        <w:t xml:space="preserve">In adopting a BMC methodology curriculum designers may have to include a broader range of stakeholders in the policy process, including marketing, financial analysts- and educational developers. This research could extend into wider sociological discourse concerning organisational behaviour and the micro-politics of decision-making. </w:t>
      </w:r>
      <w:r w:rsidR="000422C4" w:rsidRPr="00250E39">
        <w:rPr>
          <w:rFonts w:ascii="Tahoma" w:eastAsia="Calibri" w:hAnsi="Tahoma" w:cs="Tahoma"/>
          <w:sz w:val="24"/>
          <w:szCs w:val="24"/>
        </w:rPr>
        <w:t xml:space="preserve">In this respect, this approach could be extended beyond the Business School to other disciplines </w:t>
      </w:r>
      <w:r w:rsidR="008F4A66" w:rsidRPr="00250E39">
        <w:rPr>
          <w:rFonts w:ascii="Tahoma" w:eastAsia="Calibri" w:hAnsi="Tahoma" w:cs="Tahoma"/>
          <w:sz w:val="24"/>
          <w:szCs w:val="24"/>
        </w:rPr>
        <w:t>in</w:t>
      </w:r>
      <w:r w:rsidR="000422C4" w:rsidRPr="00250E39">
        <w:rPr>
          <w:rFonts w:ascii="Tahoma" w:eastAsia="Calibri" w:hAnsi="Tahoma" w:cs="Tahoma"/>
          <w:sz w:val="24"/>
          <w:szCs w:val="24"/>
        </w:rPr>
        <w:t xml:space="preserve"> the humanities and social sciences</w:t>
      </w:r>
      <w:r w:rsidR="008F4A66" w:rsidRPr="00250E39">
        <w:rPr>
          <w:rFonts w:ascii="Tahoma" w:eastAsia="Calibri" w:hAnsi="Tahoma" w:cs="Tahoma"/>
          <w:sz w:val="24"/>
          <w:szCs w:val="24"/>
        </w:rPr>
        <w:t xml:space="preserve"> where policy formulation processes are explored in terms of cultural norms and power relationships. </w:t>
      </w:r>
    </w:p>
    <w:p w14:paraId="4E091B89" w14:textId="77777777" w:rsidR="00C35BD2" w:rsidRPr="007E34A1" w:rsidRDefault="00C35BD2" w:rsidP="007E34A1">
      <w:pPr>
        <w:spacing w:line="360" w:lineRule="auto"/>
        <w:rPr>
          <w:rFonts w:ascii="Tahoma" w:eastAsia="Calibri" w:hAnsi="Tahoma" w:cs="Tahoma"/>
          <w:b/>
          <w:bCs/>
          <w:sz w:val="28"/>
          <w:szCs w:val="28"/>
        </w:rPr>
      </w:pPr>
      <w:r w:rsidRPr="007E34A1">
        <w:rPr>
          <w:rFonts w:ascii="Tahoma" w:eastAsia="Calibri" w:hAnsi="Tahoma" w:cs="Tahoma"/>
          <w:b/>
          <w:bCs/>
          <w:sz w:val="28"/>
          <w:szCs w:val="28"/>
        </w:rPr>
        <w:t>Conclusion</w:t>
      </w:r>
    </w:p>
    <w:p w14:paraId="4E72461D" w14:textId="77777777"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EE is undergoing change, not all of which Business Schools are fully conversant with or control. Although it is tempting to point to the Covid-19 pandemic as a pivotal driver of change, such a view would be myopic. The response from educational institutions to the pandemic has served to accelerate changes that were already in play. Online delivery of the curriculum is not new and the shift towards blended learning was not initiated without an understanding of how digital technology can inform curriculum design and delivery. Indeed, the growth of e-learning platforms, particularly in the United States, and the entry by alternative providers into the EE market may represent a more potent challenge to traditional business models than the pandemic. </w:t>
      </w:r>
    </w:p>
    <w:p w14:paraId="10F89D3B" w14:textId="2E190B64" w:rsidR="00C35BD2" w:rsidRPr="007E34A1" w:rsidRDefault="00250E39" w:rsidP="007E34A1">
      <w:pPr>
        <w:spacing w:line="360" w:lineRule="auto"/>
        <w:rPr>
          <w:rFonts w:ascii="Tahoma" w:eastAsia="Calibri" w:hAnsi="Tahoma" w:cs="Tahoma"/>
          <w:sz w:val="24"/>
          <w:szCs w:val="24"/>
        </w:rPr>
      </w:pPr>
      <w:r>
        <w:rPr>
          <w:rFonts w:ascii="Tahoma" w:eastAsia="Calibri" w:hAnsi="Tahoma" w:cs="Tahoma"/>
          <w:sz w:val="24"/>
          <w:szCs w:val="24"/>
        </w:rPr>
        <w:t>I</w:t>
      </w:r>
      <w:r w:rsidR="00C35BD2" w:rsidRPr="007E34A1">
        <w:rPr>
          <w:rFonts w:ascii="Tahoma" w:eastAsia="Calibri" w:hAnsi="Tahoma" w:cs="Tahoma"/>
          <w:sz w:val="24"/>
          <w:szCs w:val="24"/>
        </w:rPr>
        <w:t xml:space="preserve">f digital technology represents one disruptive factor to the traditional business model of EE, then the way in which we conceive learning must also be recognised as a powerful driver of change. The environment within which business operates is increasingly complex and unpredictable. Traditional pedagogical approaches that deliver abstract and menu-like solutions to organisational problems are of limited utility in such circumstances. Future EE will be concerned with the development of individual capability and responsiveness to context much more than in the past. Heutagogy is one example of emergent theories of learning that can inform future EE. As a learner-centred approach that originates in the vocational education, </w:t>
      </w:r>
      <w:r w:rsidR="00C35BD2" w:rsidRPr="007E34A1">
        <w:rPr>
          <w:rFonts w:ascii="Tahoma" w:eastAsia="Calibri" w:hAnsi="Tahoma" w:cs="Tahoma"/>
          <w:sz w:val="24"/>
          <w:szCs w:val="24"/>
        </w:rPr>
        <w:lastRenderedPageBreak/>
        <w:t xml:space="preserve">heutagogy offers the prospect of personalised-control over learning in an authentic manner. Moreover, those constraints on personalised learning that have been associated with campus-based, time-limited and cohort-centred enrolment can be obviated through a shift to digital learning. </w:t>
      </w:r>
    </w:p>
    <w:p w14:paraId="2CB499FB" w14:textId="00FC59DF"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This paper has addressed the research question: how can the BMC encapsulate a heutagogic framework for EE? In doing so, it makes an original contribution both to EE and management practice. The exemplar presented in this paper provides an original contribution to the development of heutagogic approaches to EE. The co-incidence of disruptive factors in the EE market necessitates a review of traditional business models for Business Schools. The BMC offers one way of conceptualising the complex factors that are involved in curriculum planning in an accessible format. </w:t>
      </w:r>
    </w:p>
    <w:p w14:paraId="0CEE34F6" w14:textId="562EA27B" w:rsidR="00C35BD2" w:rsidRPr="007E34A1" w:rsidRDefault="00C35BD2" w:rsidP="007E34A1">
      <w:pPr>
        <w:spacing w:line="360" w:lineRule="auto"/>
        <w:rPr>
          <w:rFonts w:ascii="Tahoma" w:eastAsia="Calibri" w:hAnsi="Tahoma" w:cs="Tahoma"/>
          <w:b/>
          <w:bCs/>
          <w:sz w:val="28"/>
          <w:szCs w:val="28"/>
        </w:rPr>
      </w:pPr>
      <w:r w:rsidRPr="007E34A1">
        <w:rPr>
          <w:rFonts w:ascii="Tahoma" w:eastAsia="Calibri" w:hAnsi="Tahoma" w:cs="Tahoma"/>
          <w:b/>
          <w:bCs/>
          <w:sz w:val="28"/>
          <w:szCs w:val="28"/>
        </w:rPr>
        <w:t>Disclosure statement</w:t>
      </w:r>
    </w:p>
    <w:p w14:paraId="29728794" w14:textId="025FD2E3" w:rsidR="00C35BD2" w:rsidRPr="007E34A1" w:rsidRDefault="00C35BD2" w:rsidP="007E34A1">
      <w:pPr>
        <w:spacing w:line="360" w:lineRule="auto"/>
        <w:rPr>
          <w:rFonts w:ascii="Tahoma" w:eastAsia="Calibri" w:hAnsi="Tahoma" w:cs="Tahoma"/>
          <w:sz w:val="24"/>
          <w:szCs w:val="24"/>
        </w:rPr>
      </w:pPr>
      <w:r w:rsidRPr="007E34A1">
        <w:rPr>
          <w:rFonts w:ascii="Tahoma" w:eastAsia="Calibri" w:hAnsi="Tahoma" w:cs="Tahoma"/>
          <w:sz w:val="24"/>
          <w:szCs w:val="24"/>
        </w:rPr>
        <w:t>There is no funding or conflict of interest to report for this paper.</w:t>
      </w:r>
      <w:r w:rsidR="007703E3" w:rsidRPr="007E34A1">
        <w:rPr>
          <w:rFonts w:ascii="Tahoma" w:eastAsia="Calibri" w:hAnsi="Tahoma" w:cs="Tahoma"/>
          <w:sz w:val="24"/>
          <w:szCs w:val="24"/>
        </w:rPr>
        <w:t xml:space="preserve"> This original paper is entirely the work of the author and has not been published previously. The reference list details all sources referred to in the paper.</w:t>
      </w:r>
    </w:p>
    <w:p w14:paraId="1E8571E6" w14:textId="77777777" w:rsidR="00250E39" w:rsidRDefault="00250E39" w:rsidP="007E34A1">
      <w:pPr>
        <w:spacing w:line="360" w:lineRule="auto"/>
        <w:rPr>
          <w:rFonts w:ascii="Tahoma" w:eastAsia="Calibri" w:hAnsi="Tahoma" w:cs="Tahoma"/>
          <w:b/>
          <w:bCs/>
          <w:sz w:val="28"/>
          <w:szCs w:val="28"/>
        </w:rPr>
      </w:pPr>
    </w:p>
    <w:p w14:paraId="56F38FB5" w14:textId="09445BE1" w:rsidR="00D50397" w:rsidRPr="007E34A1" w:rsidRDefault="00D50397" w:rsidP="007E34A1">
      <w:pPr>
        <w:spacing w:line="360" w:lineRule="auto"/>
        <w:rPr>
          <w:rFonts w:ascii="Tahoma" w:eastAsia="Calibri" w:hAnsi="Tahoma" w:cs="Tahoma"/>
          <w:b/>
          <w:bCs/>
          <w:sz w:val="28"/>
          <w:szCs w:val="28"/>
        </w:rPr>
      </w:pPr>
      <w:r w:rsidRPr="007E34A1">
        <w:rPr>
          <w:rFonts w:ascii="Tahoma" w:eastAsia="Calibri" w:hAnsi="Tahoma" w:cs="Tahoma"/>
          <w:b/>
          <w:bCs/>
          <w:sz w:val="28"/>
          <w:szCs w:val="28"/>
        </w:rPr>
        <w:t>References</w:t>
      </w:r>
    </w:p>
    <w:p w14:paraId="58DCEB65" w14:textId="4D895E97"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Agarwal, A. (2022) </w:t>
      </w:r>
      <w:r w:rsidR="000E0FDA" w:rsidRPr="007E34A1">
        <w:rPr>
          <w:rFonts w:ascii="Tahoma" w:eastAsia="Calibri" w:hAnsi="Tahoma" w:cs="Tahoma"/>
          <w:sz w:val="24"/>
          <w:szCs w:val="24"/>
        </w:rPr>
        <w:t>‘</w:t>
      </w:r>
      <w:r w:rsidRPr="007E34A1">
        <w:rPr>
          <w:rFonts w:ascii="Tahoma" w:eastAsia="Calibri" w:hAnsi="Tahoma" w:cs="Tahoma"/>
          <w:sz w:val="24"/>
          <w:szCs w:val="24"/>
        </w:rPr>
        <w:t>Learning platforms: edX</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Iniguez, S. and Lorange, P. (Eds.) </w:t>
      </w:r>
      <w:r w:rsidRPr="007E34A1">
        <w:rPr>
          <w:rFonts w:ascii="Tahoma" w:eastAsia="Calibri" w:hAnsi="Tahoma" w:cs="Tahoma"/>
          <w:i/>
          <w:sz w:val="24"/>
          <w:szCs w:val="24"/>
        </w:rPr>
        <w:t>Executive Education After the Pandemic: A Vision for the Future</w:t>
      </w:r>
      <w:r w:rsidR="00590E3F">
        <w:rPr>
          <w:rFonts w:ascii="Tahoma" w:eastAsia="Calibri" w:hAnsi="Tahoma" w:cs="Tahoma"/>
          <w:sz w:val="24"/>
          <w:szCs w:val="24"/>
        </w:rPr>
        <w:t>.</w:t>
      </w:r>
      <w:r w:rsidRPr="007E34A1">
        <w:rPr>
          <w:rFonts w:ascii="Tahoma" w:eastAsia="Calibri" w:hAnsi="Tahoma" w:cs="Tahoma"/>
          <w:sz w:val="24"/>
          <w:szCs w:val="24"/>
        </w:rPr>
        <w:t xml:space="preserve"> Palgrave</w:t>
      </w:r>
      <w:r w:rsidR="00590E3F">
        <w:rPr>
          <w:rFonts w:ascii="Tahoma" w:eastAsia="Calibri" w:hAnsi="Tahoma" w:cs="Tahoma"/>
          <w:sz w:val="24"/>
          <w:szCs w:val="24"/>
        </w:rPr>
        <w:t>:</w:t>
      </w:r>
      <w:r w:rsidRPr="007E34A1">
        <w:rPr>
          <w:rFonts w:ascii="Tahoma" w:eastAsia="Calibri" w:hAnsi="Tahoma" w:cs="Tahoma"/>
          <w:sz w:val="24"/>
          <w:szCs w:val="24"/>
        </w:rPr>
        <w:t xml:space="preserve"> London</w:t>
      </w:r>
      <w:r w:rsidR="00590E3F">
        <w:rPr>
          <w:rFonts w:ascii="Tahoma" w:eastAsia="Calibri" w:hAnsi="Tahoma" w:cs="Tahoma"/>
          <w:sz w:val="24"/>
          <w:szCs w:val="24"/>
        </w:rPr>
        <w:t>, pp</w:t>
      </w:r>
      <w:r w:rsidRPr="007E34A1">
        <w:rPr>
          <w:rFonts w:ascii="Tahoma" w:eastAsia="Calibri" w:hAnsi="Tahoma" w:cs="Tahoma"/>
          <w:sz w:val="24"/>
          <w:szCs w:val="24"/>
        </w:rPr>
        <w:t>. 277-286</w:t>
      </w:r>
      <w:r w:rsidR="00590E3F">
        <w:rPr>
          <w:rFonts w:ascii="Tahoma" w:eastAsia="Calibri" w:hAnsi="Tahoma" w:cs="Tahoma"/>
          <w:sz w:val="24"/>
          <w:szCs w:val="24"/>
        </w:rPr>
        <w:t>.</w:t>
      </w:r>
    </w:p>
    <w:p w14:paraId="4EF7E9F7" w14:textId="1365B50F" w:rsidR="009D43E7" w:rsidRPr="007E34A1" w:rsidRDefault="009D43E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Alario-Hoyos, </w:t>
      </w:r>
      <w:r w:rsidR="00AB02A9" w:rsidRPr="007E34A1">
        <w:rPr>
          <w:rFonts w:ascii="Tahoma" w:eastAsia="Calibri" w:hAnsi="Tahoma" w:cs="Tahoma"/>
          <w:sz w:val="24"/>
          <w:szCs w:val="24"/>
        </w:rPr>
        <w:t xml:space="preserve">C., </w:t>
      </w:r>
      <w:r w:rsidRPr="007E34A1">
        <w:rPr>
          <w:rFonts w:ascii="Tahoma" w:eastAsia="Calibri" w:hAnsi="Tahoma" w:cs="Tahoma"/>
          <w:sz w:val="24"/>
          <w:szCs w:val="24"/>
        </w:rPr>
        <w:t xml:space="preserve">Perez-Sanagustin, </w:t>
      </w:r>
      <w:r w:rsidR="00AB02A9" w:rsidRPr="007E34A1">
        <w:rPr>
          <w:rFonts w:ascii="Tahoma" w:eastAsia="Calibri" w:hAnsi="Tahoma" w:cs="Tahoma"/>
          <w:sz w:val="24"/>
          <w:szCs w:val="24"/>
        </w:rPr>
        <w:t xml:space="preserve">M., </w:t>
      </w:r>
      <w:r w:rsidRPr="007E34A1">
        <w:rPr>
          <w:rFonts w:ascii="Tahoma" w:eastAsia="Calibri" w:hAnsi="Tahoma" w:cs="Tahoma"/>
          <w:sz w:val="24"/>
          <w:szCs w:val="24"/>
        </w:rPr>
        <w:t>Cormier</w:t>
      </w:r>
      <w:r w:rsidR="00AB02A9" w:rsidRPr="007E34A1">
        <w:rPr>
          <w:rFonts w:ascii="Tahoma" w:eastAsia="Calibri" w:hAnsi="Tahoma" w:cs="Tahoma"/>
          <w:sz w:val="24"/>
          <w:szCs w:val="24"/>
        </w:rPr>
        <w:t>, D.,</w:t>
      </w:r>
      <w:r w:rsidRPr="007E34A1">
        <w:rPr>
          <w:rFonts w:ascii="Tahoma" w:eastAsia="Calibri" w:hAnsi="Tahoma" w:cs="Tahoma"/>
          <w:sz w:val="24"/>
          <w:szCs w:val="24"/>
        </w:rPr>
        <w:t xml:space="preserve"> an</w:t>
      </w:r>
      <w:r w:rsidR="00AB02A9" w:rsidRPr="007E34A1">
        <w:rPr>
          <w:rFonts w:ascii="Tahoma" w:eastAsia="Calibri" w:hAnsi="Tahoma" w:cs="Tahoma"/>
          <w:sz w:val="24"/>
          <w:szCs w:val="24"/>
        </w:rPr>
        <w:t>d Delgado-Kloos, C. (2014</w:t>
      </w:r>
      <w:r w:rsidR="00590E3F">
        <w:rPr>
          <w:rFonts w:ascii="Tahoma" w:eastAsia="Calibri" w:hAnsi="Tahoma" w:cs="Tahoma"/>
          <w:sz w:val="24"/>
          <w:szCs w:val="24"/>
        </w:rPr>
        <w:t>)</w:t>
      </w:r>
      <w:r w:rsidR="00AB02A9" w:rsidRPr="007E34A1">
        <w:rPr>
          <w:rFonts w:ascii="Tahoma" w:eastAsia="Calibri" w:hAnsi="Tahoma" w:cs="Tahoma"/>
          <w:sz w:val="24"/>
          <w:szCs w:val="24"/>
        </w:rPr>
        <w:t xml:space="preserve"> </w:t>
      </w:r>
      <w:r w:rsidR="000E0FDA" w:rsidRPr="007E34A1">
        <w:rPr>
          <w:rFonts w:ascii="Tahoma" w:eastAsia="Calibri" w:hAnsi="Tahoma" w:cs="Tahoma"/>
          <w:sz w:val="24"/>
          <w:szCs w:val="24"/>
        </w:rPr>
        <w:t>‘</w:t>
      </w:r>
      <w:r w:rsidR="00AB02A9" w:rsidRPr="007E34A1">
        <w:rPr>
          <w:rFonts w:ascii="Tahoma" w:eastAsia="Calibri" w:hAnsi="Tahoma" w:cs="Tahoma"/>
          <w:sz w:val="24"/>
          <w:szCs w:val="24"/>
        </w:rPr>
        <w:t>Proposal for a conceptual framework for educators to describe and design MOOCs</w:t>
      </w:r>
      <w:r w:rsidR="000E0FDA" w:rsidRPr="007E34A1">
        <w:rPr>
          <w:rFonts w:ascii="Tahoma" w:eastAsia="Calibri" w:hAnsi="Tahoma" w:cs="Tahoma"/>
          <w:sz w:val="24"/>
          <w:szCs w:val="24"/>
        </w:rPr>
        <w:t>’</w:t>
      </w:r>
      <w:r w:rsidR="00AB02A9" w:rsidRPr="007E34A1">
        <w:rPr>
          <w:rFonts w:ascii="Tahoma" w:eastAsia="Calibri" w:hAnsi="Tahoma" w:cs="Tahoma"/>
          <w:sz w:val="24"/>
          <w:szCs w:val="24"/>
        </w:rPr>
        <w:t xml:space="preserve">, </w:t>
      </w:r>
      <w:r w:rsidR="00AB02A9" w:rsidRPr="007E34A1">
        <w:rPr>
          <w:rFonts w:ascii="Tahoma" w:eastAsia="Calibri" w:hAnsi="Tahoma" w:cs="Tahoma"/>
          <w:i/>
          <w:sz w:val="24"/>
          <w:szCs w:val="24"/>
        </w:rPr>
        <w:t>Journal of Universal Computer Science</w:t>
      </w:r>
      <w:r w:rsidR="00AB02A9" w:rsidRPr="007E34A1">
        <w:rPr>
          <w:rFonts w:ascii="Tahoma" w:eastAsia="Calibri" w:hAnsi="Tahoma" w:cs="Tahoma"/>
          <w:sz w:val="24"/>
          <w:szCs w:val="24"/>
        </w:rPr>
        <w:t xml:space="preserve">, </w:t>
      </w:r>
      <w:r w:rsidR="00590E3F">
        <w:rPr>
          <w:rFonts w:ascii="Tahoma" w:eastAsia="Calibri" w:hAnsi="Tahoma" w:cs="Tahoma"/>
          <w:sz w:val="24"/>
          <w:szCs w:val="24"/>
        </w:rPr>
        <w:t>20(1)</w:t>
      </w:r>
      <w:r w:rsidR="00AB02A9" w:rsidRPr="007E34A1">
        <w:rPr>
          <w:rFonts w:ascii="Tahoma" w:eastAsia="Calibri" w:hAnsi="Tahoma" w:cs="Tahoma"/>
          <w:sz w:val="24"/>
          <w:szCs w:val="24"/>
        </w:rPr>
        <w:t>, pp. 6-23.</w:t>
      </w:r>
    </w:p>
    <w:p w14:paraId="44D528E3" w14:textId="33158F6E" w:rsidR="00955BAB" w:rsidRPr="007E34A1" w:rsidRDefault="00955BAB"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Amit, R., and Zott, C. (2010) </w:t>
      </w:r>
      <w:r w:rsidR="000E0FDA" w:rsidRPr="007E34A1">
        <w:rPr>
          <w:rFonts w:ascii="Tahoma" w:eastAsia="Calibri" w:hAnsi="Tahoma" w:cs="Tahoma"/>
          <w:sz w:val="24"/>
          <w:szCs w:val="24"/>
        </w:rPr>
        <w:t>‘</w:t>
      </w:r>
      <w:r w:rsidRPr="007E34A1">
        <w:rPr>
          <w:rFonts w:ascii="Tahoma" w:eastAsia="Calibri" w:hAnsi="Tahoma" w:cs="Tahoma"/>
          <w:sz w:val="24"/>
          <w:szCs w:val="24"/>
        </w:rPr>
        <w:t>Business Model design: An activity system perspective</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Long</w:t>
      </w:r>
      <w:r w:rsidR="00250E39">
        <w:rPr>
          <w:rFonts w:ascii="Tahoma" w:eastAsia="Calibri" w:hAnsi="Tahoma" w:cs="Tahoma"/>
          <w:i/>
          <w:sz w:val="24"/>
          <w:szCs w:val="24"/>
        </w:rPr>
        <w:t xml:space="preserve"> </w:t>
      </w:r>
      <w:r w:rsidRPr="007E34A1">
        <w:rPr>
          <w:rFonts w:ascii="Tahoma" w:eastAsia="Calibri" w:hAnsi="Tahoma" w:cs="Tahoma"/>
          <w:i/>
          <w:sz w:val="24"/>
          <w:szCs w:val="24"/>
        </w:rPr>
        <w:t>Range Planning</w:t>
      </w:r>
      <w:r w:rsidRPr="007E34A1">
        <w:rPr>
          <w:rFonts w:ascii="Tahoma" w:eastAsia="Calibri" w:hAnsi="Tahoma" w:cs="Tahoma"/>
          <w:sz w:val="24"/>
          <w:szCs w:val="24"/>
        </w:rPr>
        <w:t xml:space="preserve">, </w:t>
      </w:r>
      <w:r w:rsidR="00590E3F">
        <w:rPr>
          <w:rFonts w:ascii="Tahoma" w:eastAsia="Calibri" w:hAnsi="Tahoma" w:cs="Tahoma"/>
          <w:sz w:val="24"/>
          <w:szCs w:val="24"/>
        </w:rPr>
        <w:t>43(2/3)</w:t>
      </w:r>
      <w:r w:rsidRPr="007E34A1">
        <w:rPr>
          <w:rFonts w:ascii="Tahoma" w:eastAsia="Calibri" w:hAnsi="Tahoma" w:cs="Tahoma"/>
          <w:sz w:val="24"/>
          <w:szCs w:val="24"/>
        </w:rPr>
        <w:t>, pp. 216-226.</w:t>
      </w:r>
    </w:p>
    <w:p w14:paraId="408E6F38" w14:textId="77777777" w:rsidR="00527186" w:rsidRPr="007E34A1" w:rsidRDefault="00527186" w:rsidP="007E34A1">
      <w:pPr>
        <w:spacing w:line="360" w:lineRule="auto"/>
        <w:rPr>
          <w:rFonts w:ascii="Tahoma" w:eastAsia="Calibri" w:hAnsi="Tahoma" w:cs="Tahoma"/>
          <w:sz w:val="24"/>
          <w:szCs w:val="24"/>
        </w:rPr>
      </w:pPr>
    </w:p>
    <w:p w14:paraId="334DA09E" w14:textId="4B7337A1"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lastRenderedPageBreak/>
        <w:t xml:space="preserve">Anderson, L., Hibbert, P., Mason, K., and Rivers, C. (2018) </w:t>
      </w:r>
      <w:r w:rsidR="000E0FDA" w:rsidRPr="007E34A1">
        <w:rPr>
          <w:rFonts w:ascii="Tahoma" w:eastAsia="Calibri" w:hAnsi="Tahoma" w:cs="Tahoma"/>
          <w:sz w:val="24"/>
          <w:szCs w:val="24"/>
        </w:rPr>
        <w:t>‘</w:t>
      </w:r>
      <w:r w:rsidRPr="007E34A1">
        <w:rPr>
          <w:rFonts w:ascii="Tahoma" w:eastAsia="Calibri" w:hAnsi="Tahoma" w:cs="Tahoma"/>
          <w:sz w:val="24"/>
          <w:szCs w:val="24"/>
        </w:rPr>
        <w:t>Management Education in Turbulent Times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iCs/>
          <w:sz w:val="24"/>
          <w:szCs w:val="24"/>
        </w:rPr>
        <w:t>Journal of Management Education</w:t>
      </w:r>
      <w:r w:rsidRPr="007E34A1">
        <w:rPr>
          <w:rFonts w:ascii="Tahoma" w:eastAsia="Calibri" w:hAnsi="Tahoma" w:cs="Tahoma"/>
          <w:sz w:val="24"/>
          <w:szCs w:val="24"/>
        </w:rPr>
        <w:t xml:space="preserve">, </w:t>
      </w:r>
      <w:r w:rsidR="00590E3F">
        <w:rPr>
          <w:rFonts w:ascii="Tahoma" w:eastAsia="Calibri" w:hAnsi="Tahoma" w:cs="Tahoma"/>
          <w:sz w:val="24"/>
          <w:szCs w:val="24"/>
        </w:rPr>
        <w:t xml:space="preserve">42(4), </w:t>
      </w:r>
      <w:r w:rsidRPr="007E34A1">
        <w:rPr>
          <w:rFonts w:ascii="Tahoma" w:eastAsia="Calibri" w:hAnsi="Tahoma" w:cs="Tahoma"/>
          <w:sz w:val="24"/>
          <w:szCs w:val="24"/>
        </w:rPr>
        <w:t>pp. 423–440</w:t>
      </w:r>
      <w:r w:rsidR="00590E3F">
        <w:rPr>
          <w:rFonts w:ascii="Tahoma" w:eastAsia="Calibri" w:hAnsi="Tahoma" w:cs="Tahoma"/>
          <w:sz w:val="24"/>
          <w:szCs w:val="24"/>
        </w:rPr>
        <w:t>. Doi:</w:t>
      </w:r>
      <w:r w:rsidRPr="007E34A1">
        <w:rPr>
          <w:rFonts w:ascii="Tahoma" w:eastAsia="Calibri" w:hAnsi="Tahoma" w:cs="Tahoma"/>
          <w:sz w:val="24"/>
          <w:szCs w:val="24"/>
        </w:rPr>
        <w:t xml:space="preserve"> </w:t>
      </w:r>
      <w:hyperlink r:id="rId14" w:history="1">
        <w:r w:rsidRPr="007E34A1">
          <w:rPr>
            <w:rFonts w:ascii="Tahoma" w:eastAsia="Calibri" w:hAnsi="Tahoma" w:cs="Tahoma"/>
            <w:color w:val="0563C1"/>
            <w:sz w:val="24"/>
            <w:szCs w:val="24"/>
            <w:u w:val="single"/>
          </w:rPr>
          <w:t>https://doi.org/10.1177/1052562918779421</w:t>
        </w:r>
      </w:hyperlink>
      <w:r w:rsidR="003920DF">
        <w:rPr>
          <w:rFonts w:ascii="Tahoma" w:eastAsia="Calibri" w:hAnsi="Tahoma" w:cs="Tahoma"/>
          <w:sz w:val="24"/>
          <w:szCs w:val="24"/>
        </w:rPr>
        <w:t xml:space="preserve"> </w:t>
      </w:r>
    </w:p>
    <w:p w14:paraId="5BA57340" w14:textId="62457B81"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Baden-Fuller, C. and Morgan, M. S. (2010) </w:t>
      </w:r>
      <w:r w:rsidR="000E0FDA" w:rsidRPr="007E34A1">
        <w:rPr>
          <w:rFonts w:ascii="Tahoma" w:eastAsia="Calibri" w:hAnsi="Tahoma" w:cs="Tahoma"/>
          <w:sz w:val="24"/>
          <w:szCs w:val="24"/>
        </w:rPr>
        <w:t>‘</w:t>
      </w:r>
      <w:r w:rsidRPr="007E34A1">
        <w:rPr>
          <w:rFonts w:ascii="Tahoma" w:eastAsia="Calibri" w:hAnsi="Tahoma" w:cs="Tahoma"/>
          <w:sz w:val="24"/>
          <w:szCs w:val="24"/>
        </w:rPr>
        <w:t>Business models as models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Long Range Planning</w:t>
      </w:r>
      <w:r w:rsidRPr="007E34A1">
        <w:rPr>
          <w:rFonts w:ascii="Tahoma" w:eastAsia="Calibri" w:hAnsi="Tahoma" w:cs="Tahoma"/>
          <w:sz w:val="24"/>
          <w:szCs w:val="24"/>
        </w:rPr>
        <w:t>, 43, pp. 156-171</w:t>
      </w:r>
      <w:r w:rsidR="00590E3F">
        <w:rPr>
          <w:rFonts w:ascii="Tahoma" w:eastAsia="Calibri" w:hAnsi="Tahoma" w:cs="Tahoma"/>
          <w:sz w:val="24"/>
          <w:szCs w:val="24"/>
        </w:rPr>
        <w:t>. Doi:</w:t>
      </w:r>
      <w:r w:rsidRPr="007E34A1">
        <w:rPr>
          <w:rFonts w:ascii="Tahoma" w:eastAsia="Calibri" w:hAnsi="Tahoma" w:cs="Tahoma"/>
          <w:sz w:val="24"/>
          <w:szCs w:val="24"/>
        </w:rPr>
        <w:t xml:space="preserve"> </w:t>
      </w:r>
      <w:hyperlink r:id="rId15" w:history="1">
        <w:r w:rsidRPr="007E34A1">
          <w:rPr>
            <w:rFonts w:ascii="Tahoma" w:eastAsia="Calibri" w:hAnsi="Tahoma" w:cs="Tahoma"/>
            <w:color w:val="0563C1"/>
            <w:sz w:val="24"/>
            <w:szCs w:val="24"/>
            <w:u w:val="single"/>
          </w:rPr>
          <w:t>https://doi.org/10.1016/j.lrp.2010.02.005</w:t>
        </w:r>
      </w:hyperlink>
      <w:r w:rsidRPr="007E34A1">
        <w:rPr>
          <w:rFonts w:ascii="Tahoma" w:eastAsia="Calibri" w:hAnsi="Tahoma" w:cs="Tahoma"/>
          <w:sz w:val="24"/>
          <w:szCs w:val="24"/>
        </w:rPr>
        <w:t xml:space="preserve"> </w:t>
      </w:r>
    </w:p>
    <w:p w14:paraId="32DF0D15" w14:textId="1B2BE9ED" w:rsidR="00527186" w:rsidRPr="007E34A1" w:rsidRDefault="00527186" w:rsidP="007E34A1">
      <w:pPr>
        <w:spacing w:line="360" w:lineRule="auto"/>
        <w:rPr>
          <w:rFonts w:ascii="Tahoma" w:eastAsia="Calibri" w:hAnsi="Tahoma" w:cs="Tahoma"/>
          <w:color w:val="000000" w:themeColor="text1"/>
          <w:sz w:val="24"/>
          <w:szCs w:val="24"/>
        </w:rPr>
      </w:pPr>
      <w:r w:rsidRPr="007E34A1">
        <w:rPr>
          <w:rFonts w:ascii="Tahoma" w:eastAsia="Calibri" w:hAnsi="Tahoma" w:cs="Tahoma"/>
          <w:color w:val="000000" w:themeColor="text1"/>
          <w:sz w:val="24"/>
          <w:szCs w:val="24"/>
        </w:rPr>
        <w:t xml:space="preserve">Bagheri, M., and Movahed, M. (2017) </w:t>
      </w:r>
      <w:r w:rsidR="000E0FDA" w:rsidRPr="007E34A1">
        <w:rPr>
          <w:rFonts w:ascii="Tahoma" w:eastAsia="Calibri" w:hAnsi="Tahoma" w:cs="Tahoma"/>
          <w:color w:val="000000" w:themeColor="text1"/>
          <w:sz w:val="24"/>
          <w:szCs w:val="24"/>
        </w:rPr>
        <w:t>‘</w:t>
      </w:r>
      <w:r w:rsidRPr="007E34A1">
        <w:rPr>
          <w:rFonts w:ascii="Tahoma" w:eastAsia="Calibri" w:hAnsi="Tahoma" w:cs="Tahoma"/>
          <w:color w:val="000000" w:themeColor="text1"/>
          <w:sz w:val="24"/>
          <w:szCs w:val="24"/>
        </w:rPr>
        <w:t>The effect of the Internet of Things (IoT) on education business model</w:t>
      </w:r>
      <w:r w:rsidR="000E0FDA" w:rsidRPr="007E34A1">
        <w:rPr>
          <w:rFonts w:ascii="Tahoma" w:eastAsia="Calibri" w:hAnsi="Tahoma" w:cs="Tahoma"/>
          <w:color w:val="000000" w:themeColor="text1"/>
          <w:sz w:val="24"/>
          <w:szCs w:val="24"/>
        </w:rPr>
        <w:t>’</w:t>
      </w:r>
      <w:r w:rsidR="00590E3F">
        <w:rPr>
          <w:rFonts w:ascii="Tahoma" w:eastAsia="Calibri" w:hAnsi="Tahoma" w:cs="Tahoma"/>
          <w:color w:val="000000" w:themeColor="text1"/>
          <w:sz w:val="24"/>
          <w:szCs w:val="24"/>
        </w:rPr>
        <w:t>.</w:t>
      </w:r>
      <w:r w:rsidRPr="007E34A1">
        <w:rPr>
          <w:rFonts w:ascii="Tahoma" w:eastAsia="Calibri" w:hAnsi="Tahoma" w:cs="Tahoma"/>
          <w:i/>
          <w:color w:val="000000" w:themeColor="text1"/>
          <w:sz w:val="24"/>
          <w:szCs w:val="24"/>
        </w:rPr>
        <w:t>2016 12</w:t>
      </w:r>
      <w:r w:rsidRPr="007E34A1">
        <w:rPr>
          <w:rFonts w:ascii="Tahoma" w:eastAsia="Calibri" w:hAnsi="Tahoma" w:cs="Tahoma"/>
          <w:i/>
          <w:color w:val="000000" w:themeColor="text1"/>
          <w:sz w:val="24"/>
          <w:szCs w:val="24"/>
          <w:vertAlign w:val="superscript"/>
        </w:rPr>
        <w:t>th</w:t>
      </w:r>
      <w:r w:rsidRPr="007E34A1">
        <w:rPr>
          <w:rFonts w:ascii="Tahoma" w:eastAsia="Calibri" w:hAnsi="Tahoma" w:cs="Tahoma"/>
          <w:i/>
          <w:color w:val="000000" w:themeColor="text1"/>
          <w:sz w:val="24"/>
          <w:szCs w:val="24"/>
        </w:rPr>
        <w:t xml:space="preserve"> International Conference on Signal-Image Technology &amp; Internet-based Systems (SITIS). IEEE Computer Society</w:t>
      </w:r>
      <w:r w:rsidRPr="007E34A1">
        <w:rPr>
          <w:rFonts w:ascii="Tahoma" w:eastAsia="Calibri" w:hAnsi="Tahoma" w:cs="Tahoma"/>
          <w:color w:val="000000" w:themeColor="text1"/>
          <w:sz w:val="24"/>
          <w:szCs w:val="24"/>
        </w:rPr>
        <w:t xml:space="preserve">, </w:t>
      </w:r>
      <w:r w:rsidR="00BC1D7D" w:rsidRPr="007E34A1">
        <w:rPr>
          <w:rFonts w:ascii="Tahoma" w:eastAsia="Calibri" w:hAnsi="Tahoma" w:cs="Tahoma"/>
          <w:color w:val="000000" w:themeColor="text1"/>
          <w:sz w:val="24"/>
          <w:szCs w:val="24"/>
        </w:rPr>
        <w:t xml:space="preserve">Naples, Italy, </w:t>
      </w:r>
      <w:r w:rsidR="00590E3F">
        <w:rPr>
          <w:rFonts w:ascii="Tahoma" w:eastAsia="Calibri" w:hAnsi="Tahoma" w:cs="Tahoma"/>
          <w:color w:val="000000" w:themeColor="text1"/>
          <w:sz w:val="24"/>
          <w:szCs w:val="24"/>
        </w:rPr>
        <w:t>2016</w:t>
      </w:r>
      <w:r w:rsidR="00BC1D7D" w:rsidRPr="007E34A1">
        <w:rPr>
          <w:rFonts w:ascii="Tahoma" w:eastAsia="Calibri" w:hAnsi="Tahoma" w:cs="Tahoma"/>
          <w:color w:val="000000" w:themeColor="text1"/>
          <w:sz w:val="24"/>
          <w:szCs w:val="24"/>
        </w:rPr>
        <w:t xml:space="preserve">pp. </w:t>
      </w:r>
      <w:r w:rsidRPr="007E34A1">
        <w:rPr>
          <w:rFonts w:ascii="Tahoma" w:eastAsia="Calibri" w:hAnsi="Tahoma" w:cs="Tahoma"/>
          <w:color w:val="000000" w:themeColor="text1"/>
          <w:sz w:val="24"/>
          <w:szCs w:val="24"/>
        </w:rPr>
        <w:t>435-441.</w:t>
      </w:r>
    </w:p>
    <w:p w14:paraId="207CE587" w14:textId="7141A38B"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Birkenshaw, J. (2022) </w:t>
      </w:r>
      <w:r w:rsidR="000E0FDA" w:rsidRPr="007E34A1">
        <w:rPr>
          <w:rFonts w:ascii="Tahoma" w:eastAsia="Calibri" w:hAnsi="Tahoma" w:cs="Tahoma"/>
          <w:sz w:val="24"/>
          <w:szCs w:val="24"/>
        </w:rPr>
        <w:t>‘</w:t>
      </w:r>
      <w:r w:rsidRPr="007E34A1">
        <w:rPr>
          <w:rFonts w:ascii="Tahoma" w:eastAsia="Calibri" w:hAnsi="Tahoma" w:cs="Tahoma"/>
          <w:sz w:val="24"/>
          <w:szCs w:val="24"/>
        </w:rPr>
        <w:t>Rethinking executive education for the virtual world</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Iniguez, S. and Lorange, P. (Eds.) </w:t>
      </w:r>
      <w:r w:rsidRPr="007E34A1">
        <w:rPr>
          <w:rFonts w:ascii="Tahoma" w:eastAsia="Calibri" w:hAnsi="Tahoma" w:cs="Tahoma"/>
          <w:i/>
          <w:sz w:val="24"/>
          <w:szCs w:val="24"/>
        </w:rPr>
        <w:t>Executive Education After the Pandemic: A Vision for the Future</w:t>
      </w:r>
      <w:r w:rsidR="006A07C8">
        <w:rPr>
          <w:rFonts w:ascii="Tahoma" w:eastAsia="Calibri" w:hAnsi="Tahoma" w:cs="Tahoma"/>
          <w:sz w:val="24"/>
          <w:szCs w:val="24"/>
        </w:rPr>
        <w:t>.</w:t>
      </w:r>
      <w:r w:rsidRPr="007E34A1">
        <w:rPr>
          <w:rFonts w:ascii="Tahoma" w:eastAsia="Calibri" w:hAnsi="Tahoma" w:cs="Tahoma"/>
          <w:sz w:val="24"/>
          <w:szCs w:val="24"/>
        </w:rPr>
        <w:t xml:space="preserve"> Palgrave</w:t>
      </w:r>
      <w:r w:rsidR="006A07C8">
        <w:rPr>
          <w:rFonts w:ascii="Tahoma" w:eastAsia="Calibri" w:hAnsi="Tahoma" w:cs="Tahoma"/>
          <w:sz w:val="24"/>
          <w:szCs w:val="24"/>
        </w:rPr>
        <w:t>:</w:t>
      </w:r>
      <w:r w:rsidRPr="007E34A1">
        <w:rPr>
          <w:rFonts w:ascii="Tahoma" w:eastAsia="Calibri" w:hAnsi="Tahoma" w:cs="Tahoma"/>
          <w:sz w:val="24"/>
          <w:szCs w:val="24"/>
        </w:rPr>
        <w:t xml:space="preserve"> London</w:t>
      </w:r>
      <w:r w:rsidR="006A07C8">
        <w:rPr>
          <w:rFonts w:ascii="Tahoma" w:eastAsia="Calibri" w:hAnsi="Tahoma" w:cs="Tahoma"/>
          <w:sz w:val="24"/>
          <w:szCs w:val="24"/>
        </w:rPr>
        <w:t>,</w:t>
      </w:r>
      <w:r w:rsidRPr="007E34A1">
        <w:rPr>
          <w:rFonts w:ascii="Tahoma" w:eastAsia="Calibri" w:hAnsi="Tahoma" w:cs="Tahoma"/>
          <w:sz w:val="24"/>
          <w:szCs w:val="24"/>
        </w:rPr>
        <w:t xml:space="preserve"> pp. 3-11.</w:t>
      </w:r>
    </w:p>
    <w:p w14:paraId="129B0C0C" w14:textId="62864BA1" w:rsidR="002C452D"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Blaschke, L.M. (2012) </w:t>
      </w:r>
      <w:r w:rsidR="000E0FDA" w:rsidRPr="007E34A1">
        <w:rPr>
          <w:rFonts w:ascii="Tahoma" w:eastAsia="Calibri" w:hAnsi="Tahoma" w:cs="Tahoma"/>
          <w:sz w:val="24"/>
          <w:szCs w:val="24"/>
        </w:rPr>
        <w:t>‘</w:t>
      </w:r>
      <w:r w:rsidRPr="007E34A1">
        <w:rPr>
          <w:rFonts w:ascii="Tahoma" w:eastAsia="Calibri" w:hAnsi="Tahoma" w:cs="Tahoma"/>
          <w:sz w:val="24"/>
          <w:szCs w:val="24"/>
        </w:rPr>
        <w:t>Heutagogy and lifelong learning: A review of heutagogic practice and self-determined learning</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The International Review of Research in Open and Distance Learning</w:t>
      </w:r>
      <w:r w:rsidRPr="007E34A1">
        <w:rPr>
          <w:rFonts w:ascii="Tahoma" w:eastAsia="Calibri" w:hAnsi="Tahoma" w:cs="Tahoma"/>
          <w:sz w:val="24"/>
          <w:szCs w:val="24"/>
        </w:rPr>
        <w:t xml:space="preserve">, </w:t>
      </w:r>
      <w:r w:rsidR="006A07C8">
        <w:rPr>
          <w:rFonts w:ascii="Tahoma" w:eastAsia="Calibri" w:hAnsi="Tahoma" w:cs="Tahoma"/>
          <w:sz w:val="24"/>
          <w:szCs w:val="24"/>
        </w:rPr>
        <w:t>13(1)</w:t>
      </w:r>
      <w:r w:rsidRPr="007E34A1">
        <w:rPr>
          <w:rFonts w:ascii="Tahoma" w:eastAsia="Calibri" w:hAnsi="Tahoma" w:cs="Tahoma"/>
          <w:sz w:val="24"/>
          <w:szCs w:val="24"/>
        </w:rPr>
        <w:t>, pp. 56-71.</w:t>
      </w:r>
    </w:p>
    <w:p w14:paraId="28E9161A" w14:textId="51F35F6A"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Blaschke L.M. (2017) </w:t>
      </w:r>
      <w:r w:rsidR="000E0FDA" w:rsidRPr="007E34A1">
        <w:rPr>
          <w:rFonts w:ascii="Tahoma" w:eastAsia="Calibri" w:hAnsi="Tahoma" w:cs="Tahoma"/>
          <w:sz w:val="24"/>
          <w:szCs w:val="24"/>
        </w:rPr>
        <w:t>‘</w:t>
      </w:r>
      <w:r w:rsidRPr="007E34A1">
        <w:rPr>
          <w:rFonts w:ascii="Tahoma" w:eastAsia="Calibri" w:hAnsi="Tahoma" w:cs="Tahoma"/>
          <w:sz w:val="24"/>
          <w:szCs w:val="24"/>
        </w:rPr>
        <w:t xml:space="preserve">Self-determined Learning (Heutagogy) and Digital Media Creating </w:t>
      </w:r>
      <w:r w:rsidR="002F3576" w:rsidRPr="007E34A1">
        <w:rPr>
          <w:rFonts w:ascii="Tahoma" w:eastAsia="Calibri" w:hAnsi="Tahoma" w:cs="Tahoma"/>
          <w:sz w:val="24"/>
          <w:szCs w:val="24"/>
        </w:rPr>
        <w:t>I</w:t>
      </w:r>
      <w:r w:rsidRPr="007E34A1">
        <w:rPr>
          <w:rFonts w:ascii="Tahoma" w:eastAsia="Calibri" w:hAnsi="Tahoma" w:cs="Tahoma"/>
          <w:sz w:val="24"/>
          <w:szCs w:val="24"/>
        </w:rPr>
        <w:t>ntegrated Educational Environments for Developing Lifelong Learning Skills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Kergel, D., Heidkamp, B., Telléus, P., Rachwal, T., Nowakowski, S. (Eds.) </w:t>
      </w:r>
      <w:r w:rsidRPr="007E34A1">
        <w:rPr>
          <w:rFonts w:ascii="Tahoma" w:eastAsia="Calibri" w:hAnsi="Tahoma" w:cs="Tahoma"/>
          <w:i/>
          <w:sz w:val="24"/>
          <w:szCs w:val="24"/>
        </w:rPr>
        <w:t>The Digital Turn in Higher Education</w:t>
      </w:r>
      <w:r w:rsidRPr="007E34A1">
        <w:rPr>
          <w:rFonts w:ascii="Tahoma" w:eastAsia="Calibri" w:hAnsi="Tahoma" w:cs="Tahoma"/>
          <w:sz w:val="24"/>
          <w:szCs w:val="24"/>
        </w:rPr>
        <w:t>. Springer VS, Wiesbaden, pp. 129-140</w:t>
      </w:r>
      <w:r w:rsidR="006A07C8">
        <w:rPr>
          <w:rFonts w:ascii="Tahoma" w:eastAsia="Calibri" w:hAnsi="Tahoma" w:cs="Tahoma"/>
          <w:sz w:val="24"/>
          <w:szCs w:val="24"/>
        </w:rPr>
        <w:t>.</w:t>
      </w:r>
    </w:p>
    <w:p w14:paraId="0B1507B4" w14:textId="55ADEC5F"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Blaschke, L. M. and Hase, S. (2021)</w:t>
      </w:r>
      <w:r w:rsidR="006A07C8">
        <w:rPr>
          <w:rFonts w:ascii="Tahoma" w:eastAsia="Calibri" w:hAnsi="Tahoma" w:cs="Tahoma"/>
          <w:sz w:val="24"/>
          <w:szCs w:val="24"/>
        </w:rPr>
        <w:t xml:space="preserve"> </w:t>
      </w:r>
      <w:r w:rsidR="000E0FDA" w:rsidRPr="007E34A1">
        <w:rPr>
          <w:rFonts w:ascii="Tahoma" w:eastAsia="Calibri" w:hAnsi="Tahoma" w:cs="Tahoma"/>
          <w:sz w:val="24"/>
          <w:szCs w:val="24"/>
        </w:rPr>
        <w:t>’</w:t>
      </w:r>
      <w:r w:rsidRPr="007E34A1">
        <w:rPr>
          <w:rFonts w:ascii="Tahoma" w:eastAsia="Calibri" w:hAnsi="Tahoma" w:cs="Tahoma"/>
          <w:sz w:val="24"/>
          <w:szCs w:val="24"/>
        </w:rPr>
        <w:t>So, you want to do heutagogy: Principles and practice</w:t>
      </w:r>
      <w:r w:rsidR="000E0FDA" w:rsidRPr="007E34A1">
        <w:rPr>
          <w:rFonts w:ascii="Tahoma" w:eastAsia="Calibri" w:hAnsi="Tahoma" w:cs="Tahoma"/>
          <w:sz w:val="24"/>
          <w:szCs w:val="24"/>
        </w:rPr>
        <w:t>’</w:t>
      </w:r>
      <w:r w:rsidRPr="007E34A1">
        <w:rPr>
          <w:rFonts w:ascii="Tahoma" w:eastAsia="Calibri" w:hAnsi="Tahoma" w:cs="Tahoma"/>
          <w:sz w:val="24"/>
          <w:szCs w:val="24"/>
        </w:rPr>
        <w:t>, in Hase, S. and Blaschke, L. M. (Eds</w:t>
      </w:r>
      <w:r w:rsidR="006A07C8">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Unleashing the Power of Learner Agency</w:t>
      </w:r>
      <w:r w:rsidRPr="007E34A1">
        <w:rPr>
          <w:rFonts w:ascii="Tahoma" w:eastAsia="Calibri" w:hAnsi="Tahoma" w:cs="Tahoma"/>
          <w:sz w:val="24"/>
          <w:szCs w:val="24"/>
        </w:rPr>
        <w:t>. EdTech Books</w:t>
      </w:r>
      <w:r w:rsidR="006A07C8">
        <w:rPr>
          <w:rFonts w:ascii="Tahoma" w:eastAsia="Calibri" w:hAnsi="Tahoma" w:cs="Tahoma"/>
          <w:sz w:val="24"/>
          <w:szCs w:val="24"/>
        </w:rPr>
        <w:t>.</w:t>
      </w:r>
    </w:p>
    <w:p w14:paraId="266CAA29" w14:textId="4925DB2A"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Cochrane, T., Antonczak, L., Guinibert, M., and Mulrennan, D. (2014)</w:t>
      </w:r>
      <w:r w:rsidR="00953648">
        <w:rPr>
          <w:rFonts w:ascii="Tahoma" w:eastAsia="Calibri" w:hAnsi="Tahoma" w:cs="Tahoma"/>
          <w:sz w:val="24"/>
          <w:szCs w:val="24"/>
        </w:rPr>
        <w:t xml:space="preserve"> ‘</w:t>
      </w:r>
      <w:r w:rsidRPr="007E34A1">
        <w:rPr>
          <w:rFonts w:ascii="Tahoma" w:eastAsia="Calibri" w:hAnsi="Tahoma" w:cs="Tahoma"/>
          <w:sz w:val="24"/>
          <w:szCs w:val="24"/>
        </w:rPr>
        <w:t>Developing a mobile social media framework for creative pedagogies</w:t>
      </w:r>
      <w:r w:rsidR="006A07C8">
        <w:rPr>
          <w:rFonts w:ascii="Tahoma" w:eastAsia="Calibri" w:hAnsi="Tahoma" w:cs="Tahoma"/>
          <w:sz w:val="24"/>
          <w:szCs w:val="24"/>
        </w:rPr>
        <w:t>’.</w:t>
      </w:r>
      <w:r w:rsidR="00953648">
        <w:rPr>
          <w:rFonts w:ascii="Tahoma" w:eastAsia="Calibri" w:hAnsi="Tahoma" w:cs="Tahoma"/>
          <w:sz w:val="24"/>
          <w:szCs w:val="24"/>
        </w:rPr>
        <w:t xml:space="preserve"> </w:t>
      </w:r>
      <w:r w:rsidRPr="00435774">
        <w:rPr>
          <w:rFonts w:ascii="Tahoma" w:eastAsia="Calibri" w:hAnsi="Tahoma" w:cs="Tahoma"/>
          <w:i/>
          <w:iCs/>
          <w:sz w:val="24"/>
          <w:szCs w:val="24"/>
        </w:rPr>
        <w:t>10th International Conference on Mobile Learning</w:t>
      </w:r>
      <w:r w:rsidR="00435774">
        <w:rPr>
          <w:rFonts w:ascii="Tahoma" w:eastAsia="Calibri" w:hAnsi="Tahoma" w:cs="Tahoma"/>
          <w:sz w:val="24"/>
          <w:szCs w:val="24"/>
        </w:rPr>
        <w:t>.</w:t>
      </w:r>
      <w:r w:rsidRPr="007E34A1">
        <w:rPr>
          <w:rFonts w:ascii="Tahoma" w:eastAsia="Calibri" w:hAnsi="Tahoma" w:cs="Tahoma"/>
          <w:sz w:val="24"/>
          <w:szCs w:val="24"/>
        </w:rPr>
        <w:t xml:space="preserve"> </w:t>
      </w:r>
      <w:r w:rsidRPr="006A07C8">
        <w:rPr>
          <w:rFonts w:ascii="Tahoma" w:eastAsia="Calibri" w:hAnsi="Tahoma" w:cs="Tahoma"/>
          <w:i/>
          <w:iCs/>
          <w:sz w:val="24"/>
          <w:szCs w:val="24"/>
        </w:rPr>
        <w:t>Madrid, Spain</w:t>
      </w:r>
      <w:r w:rsidR="00435774">
        <w:rPr>
          <w:rFonts w:ascii="Tahoma" w:eastAsia="Calibri" w:hAnsi="Tahoma" w:cs="Tahoma"/>
          <w:sz w:val="24"/>
          <w:szCs w:val="24"/>
        </w:rPr>
        <w:t>. A</w:t>
      </w:r>
      <w:r w:rsidRPr="007E34A1">
        <w:rPr>
          <w:rFonts w:ascii="Tahoma" w:eastAsia="Calibri" w:hAnsi="Tahoma" w:cs="Tahoma"/>
          <w:sz w:val="24"/>
          <w:szCs w:val="24"/>
        </w:rPr>
        <w:t xml:space="preserve">vailable at: </w:t>
      </w:r>
      <w:hyperlink r:id="rId16" w:history="1">
        <w:r w:rsidRPr="007E34A1">
          <w:rPr>
            <w:rFonts w:ascii="Tahoma" w:eastAsia="Calibri" w:hAnsi="Tahoma" w:cs="Tahoma"/>
            <w:color w:val="0563C1"/>
            <w:sz w:val="24"/>
            <w:szCs w:val="24"/>
            <w:u w:val="single"/>
          </w:rPr>
          <w:t>https://files.eric.ed.gov/fulltext/ED557241.pdf</w:t>
        </w:r>
      </w:hyperlink>
      <w:r w:rsidR="003920DF">
        <w:rPr>
          <w:rFonts w:ascii="Tahoma" w:eastAsia="Calibri" w:hAnsi="Tahoma" w:cs="Tahoma"/>
          <w:sz w:val="24"/>
          <w:szCs w:val="24"/>
        </w:rPr>
        <w:t xml:space="preserve"> </w:t>
      </w:r>
      <w:r w:rsidRPr="007E34A1">
        <w:rPr>
          <w:rFonts w:ascii="Tahoma" w:eastAsia="Calibri" w:hAnsi="Tahoma" w:cs="Tahoma"/>
          <w:sz w:val="24"/>
          <w:szCs w:val="24"/>
        </w:rPr>
        <w:t>(</w:t>
      </w:r>
      <w:r w:rsidR="006A07C8">
        <w:rPr>
          <w:rFonts w:ascii="Tahoma" w:eastAsia="Calibri" w:hAnsi="Tahoma" w:cs="Tahoma"/>
          <w:sz w:val="24"/>
          <w:szCs w:val="24"/>
        </w:rPr>
        <w:t>A</w:t>
      </w:r>
      <w:r w:rsidRPr="007E34A1">
        <w:rPr>
          <w:rFonts w:ascii="Tahoma" w:eastAsia="Calibri" w:hAnsi="Tahoma" w:cs="Tahoma"/>
          <w:sz w:val="24"/>
          <w:szCs w:val="24"/>
        </w:rPr>
        <w:t>ccessed 9 March 2022)</w:t>
      </w:r>
      <w:r w:rsidR="00435774">
        <w:rPr>
          <w:rFonts w:ascii="Tahoma" w:eastAsia="Calibri" w:hAnsi="Tahoma" w:cs="Tahoma"/>
          <w:sz w:val="24"/>
          <w:szCs w:val="24"/>
        </w:rPr>
        <w:t>.</w:t>
      </w:r>
    </w:p>
    <w:p w14:paraId="78135D77" w14:textId="05A11E7D"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lastRenderedPageBreak/>
        <w:t xml:space="preserve">Conger, J. A. and Xin, K. (2000) </w:t>
      </w:r>
      <w:r w:rsidR="000E0FDA" w:rsidRPr="007E34A1">
        <w:rPr>
          <w:rFonts w:ascii="Tahoma" w:eastAsia="Calibri" w:hAnsi="Tahoma" w:cs="Tahoma"/>
          <w:sz w:val="24"/>
          <w:szCs w:val="24"/>
        </w:rPr>
        <w:t>‘</w:t>
      </w:r>
      <w:r w:rsidRPr="007E34A1">
        <w:rPr>
          <w:rFonts w:ascii="Tahoma" w:eastAsia="Calibri" w:hAnsi="Tahoma" w:cs="Tahoma"/>
          <w:sz w:val="24"/>
          <w:szCs w:val="24"/>
        </w:rPr>
        <w:t>Executive education in the 21</w:t>
      </w:r>
      <w:r w:rsidRPr="007E34A1">
        <w:rPr>
          <w:rFonts w:ascii="Tahoma" w:eastAsia="Calibri" w:hAnsi="Tahoma" w:cs="Tahoma"/>
          <w:sz w:val="24"/>
          <w:szCs w:val="24"/>
          <w:vertAlign w:val="superscript"/>
        </w:rPr>
        <w:t>st</w:t>
      </w:r>
      <w:r w:rsidRPr="007E34A1">
        <w:rPr>
          <w:rFonts w:ascii="Tahoma" w:eastAsia="Calibri" w:hAnsi="Tahoma" w:cs="Tahoma"/>
          <w:sz w:val="24"/>
          <w:szCs w:val="24"/>
        </w:rPr>
        <w:t xml:space="preserve"> Century</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iCs/>
          <w:sz w:val="24"/>
          <w:szCs w:val="24"/>
        </w:rPr>
        <w:t>Journal of Management Education</w:t>
      </w:r>
      <w:r w:rsidRPr="007E34A1">
        <w:rPr>
          <w:rFonts w:ascii="Tahoma" w:eastAsia="Calibri" w:hAnsi="Tahoma" w:cs="Tahoma"/>
          <w:sz w:val="24"/>
          <w:szCs w:val="24"/>
        </w:rPr>
        <w:t xml:space="preserve">, </w:t>
      </w:r>
      <w:r w:rsidR="006A07C8">
        <w:rPr>
          <w:rFonts w:ascii="Tahoma" w:eastAsia="Calibri" w:hAnsi="Tahoma" w:cs="Tahoma"/>
          <w:sz w:val="24"/>
          <w:szCs w:val="24"/>
        </w:rPr>
        <w:t>24(1)</w:t>
      </w:r>
      <w:r w:rsidRPr="007E34A1">
        <w:rPr>
          <w:rFonts w:ascii="Tahoma" w:eastAsia="Calibri" w:hAnsi="Tahoma" w:cs="Tahoma"/>
          <w:sz w:val="24"/>
          <w:szCs w:val="24"/>
        </w:rPr>
        <w:t xml:space="preserve">, pp. 73-101. </w:t>
      </w:r>
    </w:p>
    <w:p w14:paraId="2EF23F19" w14:textId="473A8B48" w:rsidR="00CD72E6" w:rsidRPr="007E34A1" w:rsidRDefault="00CD72E6"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Cosenz, F. and Noto, G. (2018) </w:t>
      </w:r>
      <w:r w:rsidR="000E0FDA" w:rsidRPr="007E34A1">
        <w:rPr>
          <w:rFonts w:ascii="Tahoma" w:eastAsia="Calibri" w:hAnsi="Tahoma" w:cs="Tahoma"/>
          <w:sz w:val="24"/>
          <w:szCs w:val="24"/>
        </w:rPr>
        <w:t>‘</w:t>
      </w:r>
      <w:r w:rsidRPr="007E34A1">
        <w:rPr>
          <w:rFonts w:ascii="Tahoma" w:eastAsia="Calibri" w:hAnsi="Tahoma" w:cs="Tahoma"/>
          <w:sz w:val="24"/>
          <w:szCs w:val="24"/>
        </w:rPr>
        <w:t>A dynamic business modelling approach to design and experiment new business venture strategies</w:t>
      </w:r>
      <w:r w:rsidR="006A07C8">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Long Range Planning</w:t>
      </w:r>
      <w:r w:rsidRPr="007E34A1">
        <w:rPr>
          <w:rFonts w:ascii="Tahoma" w:eastAsia="Calibri" w:hAnsi="Tahoma" w:cs="Tahoma"/>
          <w:sz w:val="24"/>
          <w:szCs w:val="24"/>
        </w:rPr>
        <w:t xml:space="preserve">, 51, pp. 127-140. </w:t>
      </w:r>
    </w:p>
    <w:p w14:paraId="493B8275" w14:textId="711AE55A" w:rsidR="003400C0" w:rsidRPr="007E34A1" w:rsidRDefault="003400C0"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Cosenz, F. and Bivona, E. (2021) </w:t>
      </w:r>
      <w:r w:rsidR="000E0FDA" w:rsidRPr="007E34A1">
        <w:rPr>
          <w:rFonts w:ascii="Tahoma" w:eastAsia="Calibri" w:hAnsi="Tahoma" w:cs="Tahoma"/>
          <w:sz w:val="24"/>
          <w:szCs w:val="24"/>
        </w:rPr>
        <w:t>‘</w:t>
      </w:r>
      <w:r w:rsidRPr="007E34A1">
        <w:rPr>
          <w:rFonts w:ascii="Tahoma" w:eastAsia="Calibri" w:hAnsi="Tahoma" w:cs="Tahoma"/>
          <w:sz w:val="24"/>
          <w:szCs w:val="24"/>
        </w:rPr>
        <w:t>Fostering growth patterns of SMEs through business model innovation. A tailored dynamic business modelling approach</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Journal of Business Research</w:t>
      </w:r>
      <w:r w:rsidRPr="007E34A1">
        <w:rPr>
          <w:rFonts w:ascii="Tahoma" w:eastAsia="Calibri" w:hAnsi="Tahoma" w:cs="Tahoma"/>
          <w:sz w:val="24"/>
          <w:szCs w:val="24"/>
        </w:rPr>
        <w:t>, 130, pp. 658-669</w:t>
      </w:r>
      <w:r w:rsidR="006A07C8">
        <w:rPr>
          <w:rFonts w:ascii="Tahoma" w:eastAsia="Calibri" w:hAnsi="Tahoma" w:cs="Tahoma"/>
          <w:sz w:val="24"/>
          <w:szCs w:val="24"/>
        </w:rPr>
        <w:t xml:space="preserve">. Doi: </w:t>
      </w:r>
      <w:hyperlink r:id="rId17" w:history="1">
        <w:r w:rsidRPr="007E34A1">
          <w:rPr>
            <w:rStyle w:val="Hyperlink"/>
            <w:rFonts w:ascii="Tahoma" w:eastAsia="Calibri" w:hAnsi="Tahoma" w:cs="Tahoma"/>
            <w:sz w:val="24"/>
            <w:szCs w:val="24"/>
          </w:rPr>
          <w:t>https://doi.org/10.1016/j.jbusres.2020.03.003</w:t>
        </w:r>
      </w:hyperlink>
    </w:p>
    <w:p w14:paraId="7D420BDC" w14:textId="420606EF" w:rsidR="00A7319F" w:rsidRPr="007E34A1" w:rsidRDefault="00A7319F" w:rsidP="007E34A1">
      <w:pPr>
        <w:spacing w:line="360" w:lineRule="auto"/>
        <w:rPr>
          <w:rFonts w:ascii="Tahoma" w:hAnsi="Tahoma" w:cs="Tahoma"/>
          <w:sz w:val="24"/>
          <w:szCs w:val="24"/>
        </w:rPr>
      </w:pPr>
      <w:r w:rsidRPr="007E34A1">
        <w:rPr>
          <w:rFonts w:ascii="Tahoma" w:hAnsi="Tahoma" w:cs="Tahoma"/>
          <w:sz w:val="24"/>
          <w:szCs w:val="24"/>
        </w:rPr>
        <w:t xml:space="preserve">Cropanzano, R. (2009) </w:t>
      </w:r>
      <w:r w:rsidR="000E0FDA" w:rsidRPr="007E34A1">
        <w:rPr>
          <w:rFonts w:ascii="Tahoma" w:hAnsi="Tahoma" w:cs="Tahoma"/>
          <w:sz w:val="24"/>
          <w:szCs w:val="24"/>
        </w:rPr>
        <w:t>‘</w:t>
      </w:r>
      <w:r w:rsidRPr="007E34A1">
        <w:rPr>
          <w:rFonts w:ascii="Tahoma" w:hAnsi="Tahoma" w:cs="Tahoma"/>
          <w:sz w:val="24"/>
          <w:szCs w:val="24"/>
        </w:rPr>
        <w:t>Writing nonempirical articles for journal of Management: General thoughts and suggestions</w:t>
      </w:r>
      <w:r w:rsidR="000E0FDA" w:rsidRPr="007E34A1">
        <w:rPr>
          <w:rFonts w:ascii="Tahoma" w:hAnsi="Tahoma" w:cs="Tahoma"/>
          <w:sz w:val="24"/>
          <w:szCs w:val="24"/>
        </w:rPr>
        <w:t>’</w:t>
      </w:r>
      <w:r w:rsidRPr="007E34A1">
        <w:rPr>
          <w:rFonts w:ascii="Tahoma" w:hAnsi="Tahoma" w:cs="Tahoma"/>
          <w:sz w:val="24"/>
          <w:szCs w:val="24"/>
        </w:rPr>
        <w:t xml:space="preserve">, </w:t>
      </w:r>
      <w:r w:rsidRPr="007E34A1">
        <w:rPr>
          <w:rFonts w:ascii="Tahoma" w:hAnsi="Tahoma" w:cs="Tahoma"/>
          <w:i/>
          <w:iCs/>
          <w:sz w:val="24"/>
          <w:szCs w:val="24"/>
        </w:rPr>
        <w:t>Journal of Management</w:t>
      </w:r>
      <w:r w:rsidRPr="007E34A1">
        <w:rPr>
          <w:rFonts w:ascii="Tahoma" w:hAnsi="Tahoma" w:cs="Tahoma"/>
          <w:sz w:val="24"/>
          <w:szCs w:val="24"/>
        </w:rPr>
        <w:t xml:space="preserve">, </w:t>
      </w:r>
      <w:r w:rsidR="006A07C8">
        <w:rPr>
          <w:rFonts w:ascii="Tahoma" w:hAnsi="Tahoma" w:cs="Tahoma"/>
          <w:sz w:val="24"/>
          <w:szCs w:val="24"/>
        </w:rPr>
        <w:t>35(6)</w:t>
      </w:r>
      <w:r w:rsidRPr="007E34A1">
        <w:rPr>
          <w:rFonts w:ascii="Tahoma" w:hAnsi="Tahoma" w:cs="Tahoma"/>
          <w:sz w:val="24"/>
          <w:szCs w:val="24"/>
        </w:rPr>
        <w:t>, pp. 1304-1311.</w:t>
      </w:r>
      <w:r w:rsidR="00C91BF4">
        <w:rPr>
          <w:rFonts w:ascii="Tahoma" w:hAnsi="Tahoma" w:cs="Tahoma"/>
          <w:sz w:val="24"/>
          <w:szCs w:val="24"/>
        </w:rPr>
        <w:t xml:space="preserve"> Doi:</w:t>
      </w:r>
      <w:r w:rsidRPr="007E34A1">
        <w:rPr>
          <w:rFonts w:ascii="Tahoma" w:hAnsi="Tahoma" w:cs="Tahoma"/>
          <w:sz w:val="24"/>
          <w:szCs w:val="24"/>
        </w:rPr>
        <w:t xml:space="preserve"> </w:t>
      </w:r>
      <w:hyperlink r:id="rId18" w:history="1">
        <w:r w:rsidRPr="007E34A1">
          <w:rPr>
            <w:rStyle w:val="Hyperlink"/>
            <w:rFonts w:ascii="Tahoma" w:hAnsi="Tahoma" w:cs="Tahoma"/>
            <w:sz w:val="24"/>
            <w:szCs w:val="24"/>
          </w:rPr>
          <w:t>https://doi.org/10.1177/014920630944118</w:t>
        </w:r>
      </w:hyperlink>
    </w:p>
    <w:p w14:paraId="4F9FDA1A" w14:textId="1C681EFB"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Dakduk, S., Santalla-Banderali, Z., and van der Woude, D. (2018) </w:t>
      </w:r>
      <w:r w:rsidR="000E0FDA" w:rsidRPr="007E34A1">
        <w:rPr>
          <w:rFonts w:ascii="Tahoma" w:eastAsia="Calibri" w:hAnsi="Tahoma" w:cs="Tahoma"/>
          <w:sz w:val="24"/>
          <w:szCs w:val="24"/>
        </w:rPr>
        <w:t>‘</w:t>
      </w:r>
      <w:r w:rsidRPr="007E34A1">
        <w:rPr>
          <w:rFonts w:ascii="Tahoma" w:eastAsia="Calibri" w:hAnsi="Tahoma" w:cs="Tahoma"/>
          <w:sz w:val="24"/>
          <w:szCs w:val="24"/>
        </w:rPr>
        <w:t>Acceptance of blended learning in executive education</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C91BF4">
        <w:rPr>
          <w:rFonts w:ascii="Tahoma" w:eastAsia="Calibri" w:hAnsi="Tahoma" w:cs="Tahoma"/>
          <w:i/>
          <w:iCs/>
          <w:sz w:val="24"/>
          <w:szCs w:val="24"/>
        </w:rPr>
        <w:t>SAGE Open</w:t>
      </w:r>
      <w:r w:rsidR="00C91BF4">
        <w:rPr>
          <w:rFonts w:ascii="Tahoma" w:eastAsia="Calibri" w:hAnsi="Tahoma" w:cs="Tahoma"/>
          <w:sz w:val="24"/>
          <w:szCs w:val="24"/>
        </w:rPr>
        <w:t xml:space="preserve">. Doi: </w:t>
      </w:r>
      <w:hyperlink r:id="rId19" w:history="1">
        <w:r w:rsidRPr="007E34A1">
          <w:rPr>
            <w:rFonts w:ascii="Tahoma" w:eastAsia="Calibri" w:hAnsi="Tahoma" w:cs="Tahoma"/>
            <w:color w:val="0563C1"/>
            <w:sz w:val="24"/>
            <w:szCs w:val="24"/>
            <w:u w:val="single"/>
          </w:rPr>
          <w:t>https://doi.org/10/1177/2158244018800647</w:t>
        </w:r>
      </w:hyperlink>
    </w:p>
    <w:p w14:paraId="1D821218" w14:textId="07272AF4"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Del Alcazar-Benjumea, D. and Iniguez, S. (2022) </w:t>
      </w:r>
      <w:r w:rsidR="000E0FDA" w:rsidRPr="007E34A1">
        <w:rPr>
          <w:rFonts w:ascii="Tahoma" w:eastAsia="Calibri" w:hAnsi="Tahoma" w:cs="Tahoma"/>
          <w:sz w:val="24"/>
          <w:szCs w:val="24"/>
        </w:rPr>
        <w:t>‘</w:t>
      </w:r>
      <w:r w:rsidRPr="007E34A1">
        <w:rPr>
          <w:rFonts w:ascii="Tahoma" w:eastAsia="Calibri" w:hAnsi="Tahoma" w:cs="Tahoma"/>
          <w:sz w:val="24"/>
          <w:szCs w:val="24"/>
        </w:rPr>
        <w:t>Abracadabra: How technology-enhanced education personalizes learning</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Iniguez, S. and Lorange, P. (Eds.) </w:t>
      </w:r>
      <w:r w:rsidRPr="007E34A1">
        <w:rPr>
          <w:rFonts w:ascii="Tahoma" w:eastAsia="Calibri" w:hAnsi="Tahoma" w:cs="Tahoma"/>
          <w:i/>
          <w:sz w:val="24"/>
          <w:szCs w:val="24"/>
        </w:rPr>
        <w:t>Executive Education After the Pandemic: A Vision for the Future</w:t>
      </w:r>
      <w:r w:rsidR="00C91BF4">
        <w:rPr>
          <w:rFonts w:ascii="Tahoma" w:eastAsia="Calibri" w:hAnsi="Tahoma" w:cs="Tahoma"/>
          <w:i/>
          <w:sz w:val="24"/>
          <w:szCs w:val="24"/>
        </w:rPr>
        <w:t>.</w:t>
      </w:r>
      <w:r w:rsidRPr="007E34A1">
        <w:rPr>
          <w:rFonts w:ascii="Tahoma" w:eastAsia="Calibri" w:hAnsi="Tahoma" w:cs="Tahoma"/>
          <w:sz w:val="24"/>
          <w:szCs w:val="24"/>
        </w:rPr>
        <w:t xml:space="preserve"> Palgrave</w:t>
      </w:r>
      <w:r w:rsidR="00C91BF4">
        <w:rPr>
          <w:rFonts w:ascii="Tahoma" w:eastAsia="Calibri" w:hAnsi="Tahoma" w:cs="Tahoma"/>
          <w:sz w:val="24"/>
          <w:szCs w:val="24"/>
        </w:rPr>
        <w:t>:</w:t>
      </w:r>
      <w:r w:rsidRPr="007E34A1">
        <w:rPr>
          <w:rFonts w:ascii="Tahoma" w:eastAsia="Calibri" w:hAnsi="Tahoma" w:cs="Tahoma"/>
          <w:sz w:val="24"/>
          <w:szCs w:val="24"/>
        </w:rPr>
        <w:t xml:space="preserve"> London</w:t>
      </w:r>
      <w:r w:rsidR="00C91BF4">
        <w:rPr>
          <w:rFonts w:ascii="Tahoma" w:eastAsia="Calibri" w:hAnsi="Tahoma" w:cs="Tahoma"/>
          <w:sz w:val="24"/>
          <w:szCs w:val="24"/>
        </w:rPr>
        <w:t>,</w:t>
      </w:r>
      <w:r w:rsidRPr="007E34A1">
        <w:rPr>
          <w:rFonts w:ascii="Tahoma" w:eastAsia="Calibri" w:hAnsi="Tahoma" w:cs="Tahoma"/>
          <w:sz w:val="24"/>
          <w:szCs w:val="24"/>
        </w:rPr>
        <w:t xml:space="preserve"> pp. 121-134.</w:t>
      </w:r>
    </w:p>
    <w:p w14:paraId="026DD998" w14:textId="2994A14A"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Dover, P. A., Manwani, S., and Munn, D. (2018) </w:t>
      </w:r>
      <w:r w:rsidR="000E0FDA" w:rsidRPr="007E34A1">
        <w:rPr>
          <w:rFonts w:ascii="Tahoma" w:eastAsia="Calibri" w:hAnsi="Tahoma" w:cs="Tahoma"/>
          <w:sz w:val="24"/>
          <w:szCs w:val="24"/>
        </w:rPr>
        <w:t>‘</w:t>
      </w:r>
      <w:r w:rsidRPr="007E34A1">
        <w:rPr>
          <w:rFonts w:ascii="Tahoma" w:eastAsia="Calibri" w:hAnsi="Tahoma" w:cs="Tahoma"/>
          <w:sz w:val="24"/>
          <w:szCs w:val="24"/>
        </w:rPr>
        <w:t>Creating learning solutions for executive education programs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The International Journal of Management Education,</w:t>
      </w:r>
      <w:r w:rsidRPr="007E34A1">
        <w:rPr>
          <w:rFonts w:ascii="Tahoma" w:eastAsia="Calibri" w:hAnsi="Tahoma" w:cs="Tahoma"/>
          <w:sz w:val="24"/>
          <w:szCs w:val="24"/>
        </w:rPr>
        <w:t xml:space="preserve"> 16, pp. 80-91. </w:t>
      </w:r>
    </w:p>
    <w:p w14:paraId="2192E8C0" w14:textId="52522D6F"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Haanaes, K. and Brown, K. (2022) </w:t>
      </w:r>
      <w:r w:rsidR="000E0FDA" w:rsidRPr="007E34A1">
        <w:rPr>
          <w:rFonts w:ascii="Tahoma" w:eastAsia="Calibri" w:hAnsi="Tahoma" w:cs="Tahoma"/>
          <w:sz w:val="24"/>
          <w:szCs w:val="24"/>
        </w:rPr>
        <w:t>‘</w:t>
      </w:r>
      <w:r w:rsidRPr="007E34A1">
        <w:rPr>
          <w:rFonts w:ascii="Tahoma" w:eastAsia="Calibri" w:hAnsi="Tahoma" w:cs="Tahoma"/>
          <w:sz w:val="24"/>
          <w:szCs w:val="24"/>
        </w:rPr>
        <w:t>How the pandemic has demonstrated the importance of system leadership in executive education</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Iniguez, S. and Lorange, P. (Eds.) </w:t>
      </w:r>
      <w:r w:rsidRPr="007E34A1">
        <w:rPr>
          <w:rFonts w:ascii="Tahoma" w:eastAsia="Calibri" w:hAnsi="Tahoma" w:cs="Tahoma"/>
          <w:i/>
          <w:sz w:val="24"/>
          <w:szCs w:val="24"/>
        </w:rPr>
        <w:t>Executive Education After the Pandemic: A Vision for the Future</w:t>
      </w:r>
      <w:r w:rsidR="00C91BF4">
        <w:rPr>
          <w:rFonts w:ascii="Tahoma" w:eastAsia="Calibri" w:hAnsi="Tahoma" w:cs="Tahoma"/>
          <w:i/>
          <w:sz w:val="24"/>
          <w:szCs w:val="24"/>
        </w:rPr>
        <w:t>.</w:t>
      </w:r>
      <w:r w:rsidRPr="007E34A1">
        <w:rPr>
          <w:rFonts w:ascii="Tahoma" w:eastAsia="Calibri" w:hAnsi="Tahoma" w:cs="Tahoma"/>
          <w:sz w:val="24"/>
          <w:szCs w:val="24"/>
        </w:rPr>
        <w:t xml:space="preserve"> Palgrave</w:t>
      </w:r>
      <w:r w:rsidR="00C91BF4">
        <w:rPr>
          <w:rFonts w:ascii="Tahoma" w:eastAsia="Calibri" w:hAnsi="Tahoma" w:cs="Tahoma"/>
          <w:sz w:val="24"/>
          <w:szCs w:val="24"/>
        </w:rPr>
        <w:t>:</w:t>
      </w:r>
      <w:r w:rsidRPr="007E34A1">
        <w:rPr>
          <w:rFonts w:ascii="Tahoma" w:eastAsia="Calibri" w:hAnsi="Tahoma" w:cs="Tahoma"/>
          <w:sz w:val="24"/>
          <w:szCs w:val="24"/>
        </w:rPr>
        <w:t xml:space="preserve"> London</w:t>
      </w:r>
      <w:r w:rsidR="00C91BF4">
        <w:rPr>
          <w:rFonts w:ascii="Tahoma" w:eastAsia="Calibri" w:hAnsi="Tahoma" w:cs="Tahoma"/>
          <w:sz w:val="24"/>
          <w:szCs w:val="24"/>
        </w:rPr>
        <w:t xml:space="preserve">, </w:t>
      </w:r>
      <w:r w:rsidRPr="007E34A1">
        <w:rPr>
          <w:rFonts w:ascii="Tahoma" w:eastAsia="Calibri" w:hAnsi="Tahoma" w:cs="Tahoma"/>
          <w:sz w:val="24"/>
          <w:szCs w:val="24"/>
        </w:rPr>
        <w:t>pp. 237 -244</w:t>
      </w:r>
      <w:r w:rsidR="00C91BF4">
        <w:rPr>
          <w:rFonts w:ascii="Tahoma" w:eastAsia="Calibri" w:hAnsi="Tahoma" w:cs="Tahoma"/>
          <w:sz w:val="24"/>
          <w:szCs w:val="24"/>
        </w:rPr>
        <w:t>.</w:t>
      </w:r>
    </w:p>
    <w:p w14:paraId="65AFB3A9" w14:textId="4838CDD0" w:rsidR="00D50397" w:rsidRPr="007E34A1" w:rsidRDefault="00D50397" w:rsidP="007E34A1">
      <w:pPr>
        <w:autoSpaceDE w:val="0"/>
        <w:autoSpaceDN w:val="0"/>
        <w:adjustRightInd w:val="0"/>
        <w:spacing w:line="360" w:lineRule="auto"/>
        <w:rPr>
          <w:rFonts w:ascii="Tahoma" w:eastAsia="Calibri" w:hAnsi="Tahoma" w:cs="Tahoma"/>
          <w:color w:val="000000"/>
          <w:sz w:val="24"/>
          <w:szCs w:val="24"/>
        </w:rPr>
      </w:pPr>
      <w:r w:rsidRPr="007E34A1">
        <w:rPr>
          <w:rFonts w:ascii="Tahoma" w:eastAsia="Calibri" w:hAnsi="Tahoma" w:cs="Tahoma"/>
          <w:color w:val="000000"/>
          <w:sz w:val="24"/>
          <w:szCs w:val="24"/>
        </w:rPr>
        <w:lastRenderedPageBreak/>
        <w:t xml:space="preserve">Hallinger, P. (2013) </w:t>
      </w:r>
      <w:r w:rsidR="000E0FDA" w:rsidRPr="007E34A1">
        <w:rPr>
          <w:rFonts w:ascii="Tahoma" w:eastAsia="Calibri" w:hAnsi="Tahoma" w:cs="Tahoma"/>
          <w:color w:val="000000"/>
          <w:sz w:val="24"/>
          <w:szCs w:val="24"/>
        </w:rPr>
        <w:t>‘</w:t>
      </w:r>
      <w:r w:rsidRPr="007E34A1">
        <w:rPr>
          <w:rFonts w:ascii="Tahoma" w:eastAsia="Calibri" w:hAnsi="Tahoma" w:cs="Tahoma"/>
          <w:color w:val="000000"/>
          <w:sz w:val="24"/>
          <w:szCs w:val="24"/>
        </w:rPr>
        <w:t>A conceptual framework for systematic reviews of research in educational leadership and management</w:t>
      </w:r>
      <w:r w:rsidR="000E0FDA" w:rsidRPr="007E34A1">
        <w:rPr>
          <w:rFonts w:ascii="Tahoma" w:eastAsia="Calibri" w:hAnsi="Tahoma" w:cs="Tahoma"/>
          <w:color w:val="000000"/>
          <w:sz w:val="24"/>
          <w:szCs w:val="24"/>
        </w:rPr>
        <w:t>’</w:t>
      </w:r>
      <w:r w:rsidRPr="007E34A1">
        <w:rPr>
          <w:rFonts w:ascii="Tahoma" w:eastAsia="Calibri" w:hAnsi="Tahoma" w:cs="Tahoma"/>
          <w:color w:val="000000"/>
          <w:sz w:val="24"/>
          <w:szCs w:val="24"/>
        </w:rPr>
        <w:t xml:space="preserve"> </w:t>
      </w:r>
      <w:r w:rsidRPr="007E34A1">
        <w:rPr>
          <w:rFonts w:ascii="Tahoma" w:eastAsia="Calibri" w:hAnsi="Tahoma" w:cs="Tahoma"/>
          <w:i/>
          <w:color w:val="000000"/>
          <w:sz w:val="24"/>
          <w:szCs w:val="24"/>
        </w:rPr>
        <w:t>Journal of Educational Administration</w:t>
      </w:r>
      <w:r w:rsidRPr="007E34A1">
        <w:rPr>
          <w:rFonts w:ascii="Tahoma" w:eastAsia="Calibri" w:hAnsi="Tahoma" w:cs="Tahoma"/>
          <w:color w:val="000000"/>
          <w:sz w:val="24"/>
          <w:szCs w:val="24"/>
        </w:rPr>
        <w:t>, 51, pp. 126-149</w:t>
      </w:r>
      <w:r w:rsidR="00C91BF4">
        <w:rPr>
          <w:rFonts w:ascii="Tahoma" w:eastAsia="Calibri" w:hAnsi="Tahoma" w:cs="Tahoma"/>
          <w:color w:val="000000"/>
          <w:sz w:val="24"/>
          <w:szCs w:val="24"/>
        </w:rPr>
        <w:t>.</w:t>
      </w:r>
      <w:r w:rsidRPr="007E34A1">
        <w:rPr>
          <w:rFonts w:ascii="Tahoma" w:eastAsia="Calibri" w:hAnsi="Tahoma" w:cs="Tahoma"/>
          <w:color w:val="000000"/>
          <w:sz w:val="24"/>
          <w:szCs w:val="24"/>
        </w:rPr>
        <w:t xml:space="preserve"> </w:t>
      </w:r>
    </w:p>
    <w:p w14:paraId="42A4DAF4" w14:textId="463C90D5" w:rsidR="00955BAB" w:rsidRPr="007E34A1" w:rsidRDefault="00955BAB" w:rsidP="007E34A1">
      <w:pPr>
        <w:spacing w:line="360" w:lineRule="auto"/>
        <w:rPr>
          <w:rFonts w:ascii="Tahoma" w:eastAsia="Calibri" w:hAnsi="Tahoma" w:cs="Tahoma"/>
          <w:color w:val="000000"/>
          <w:sz w:val="24"/>
          <w:szCs w:val="24"/>
        </w:rPr>
      </w:pPr>
      <w:r w:rsidRPr="007E34A1">
        <w:rPr>
          <w:rFonts w:ascii="Tahoma" w:eastAsia="Calibri" w:hAnsi="Tahoma" w:cs="Tahoma"/>
          <w:color w:val="000000"/>
          <w:sz w:val="24"/>
          <w:szCs w:val="24"/>
        </w:rPr>
        <w:t xml:space="preserve">Hamel, G. (2000) </w:t>
      </w:r>
      <w:r w:rsidRPr="007E34A1">
        <w:rPr>
          <w:rFonts w:ascii="Tahoma" w:eastAsia="Calibri" w:hAnsi="Tahoma" w:cs="Tahoma"/>
          <w:i/>
          <w:color w:val="000000"/>
          <w:sz w:val="24"/>
          <w:szCs w:val="24"/>
        </w:rPr>
        <w:t>Leading the Revolution</w:t>
      </w:r>
      <w:r w:rsidRPr="007E34A1">
        <w:rPr>
          <w:rFonts w:ascii="Tahoma" w:eastAsia="Calibri" w:hAnsi="Tahoma" w:cs="Tahoma"/>
          <w:color w:val="000000"/>
          <w:sz w:val="24"/>
          <w:szCs w:val="24"/>
        </w:rPr>
        <w:t>. Harvard Business School Press, Boston, MA.</w:t>
      </w:r>
    </w:p>
    <w:p w14:paraId="6AC7A16C" w14:textId="0E751A0F" w:rsidR="0074110C" w:rsidRPr="007E34A1" w:rsidRDefault="0074110C" w:rsidP="007E34A1">
      <w:pPr>
        <w:spacing w:line="360" w:lineRule="auto"/>
        <w:rPr>
          <w:rFonts w:ascii="Tahoma" w:hAnsi="Tahoma" w:cs="Tahoma"/>
          <w:sz w:val="24"/>
          <w:szCs w:val="24"/>
        </w:rPr>
      </w:pPr>
      <w:r w:rsidRPr="007E34A1">
        <w:rPr>
          <w:rFonts w:ascii="Tahoma" w:hAnsi="Tahoma" w:cs="Tahoma"/>
          <w:sz w:val="24"/>
          <w:szCs w:val="24"/>
        </w:rPr>
        <w:t>Hammergren, L. (2021)</w:t>
      </w:r>
      <w:r w:rsidR="00E43C62">
        <w:rPr>
          <w:rFonts w:ascii="Tahoma" w:hAnsi="Tahoma" w:cs="Tahoma"/>
          <w:sz w:val="24"/>
          <w:szCs w:val="24"/>
        </w:rPr>
        <w:t xml:space="preserve"> </w:t>
      </w:r>
      <w:r w:rsidRPr="00E43C62">
        <w:rPr>
          <w:rFonts w:ascii="Tahoma" w:hAnsi="Tahoma" w:cs="Tahoma"/>
          <w:i/>
          <w:iCs/>
          <w:sz w:val="24"/>
          <w:szCs w:val="24"/>
        </w:rPr>
        <w:t>Executive education is changing from good</w:t>
      </w:r>
      <w:r w:rsidR="00E43C62">
        <w:rPr>
          <w:rFonts w:ascii="Tahoma" w:hAnsi="Tahoma" w:cs="Tahoma"/>
          <w:i/>
          <w:iCs/>
          <w:sz w:val="24"/>
          <w:szCs w:val="24"/>
        </w:rPr>
        <w:t>.</w:t>
      </w:r>
      <w:r w:rsidRPr="007E34A1">
        <w:rPr>
          <w:rFonts w:ascii="Tahoma" w:hAnsi="Tahoma" w:cs="Tahoma"/>
          <w:sz w:val="24"/>
          <w:szCs w:val="24"/>
        </w:rPr>
        <w:t xml:space="preserve"> </w:t>
      </w:r>
      <w:r w:rsidR="00E43C62">
        <w:rPr>
          <w:rFonts w:ascii="Tahoma" w:hAnsi="Tahoma" w:cs="Tahoma"/>
          <w:sz w:val="24"/>
          <w:szCs w:val="24"/>
        </w:rPr>
        <w:t>A</w:t>
      </w:r>
      <w:r w:rsidRPr="007E34A1">
        <w:rPr>
          <w:rFonts w:ascii="Tahoma" w:hAnsi="Tahoma" w:cs="Tahoma"/>
          <w:sz w:val="24"/>
          <w:szCs w:val="24"/>
        </w:rPr>
        <w:t xml:space="preserve">vailable at: </w:t>
      </w:r>
      <w:hyperlink r:id="rId20" w:history="1">
        <w:r w:rsidR="000E6D02" w:rsidRPr="002B29F6">
          <w:rPr>
            <w:rStyle w:val="Hyperlink"/>
            <w:rFonts w:ascii="Tahoma" w:hAnsi="Tahoma" w:cs="Tahoma"/>
            <w:sz w:val="24"/>
            <w:szCs w:val="24"/>
          </w:rPr>
          <w:t>https://www.aacsb.edu/insights/articles/2021/02/executive-education-is-changing-for-good</w:t>
        </w:r>
      </w:hyperlink>
      <w:r w:rsidR="003920DF">
        <w:rPr>
          <w:rFonts w:ascii="Tahoma" w:hAnsi="Tahoma" w:cs="Tahoma"/>
          <w:sz w:val="24"/>
          <w:szCs w:val="24"/>
        </w:rPr>
        <w:t xml:space="preserve"> </w:t>
      </w:r>
      <w:r w:rsidRPr="007E34A1">
        <w:rPr>
          <w:rFonts w:ascii="Tahoma" w:hAnsi="Tahoma" w:cs="Tahoma"/>
          <w:sz w:val="24"/>
          <w:szCs w:val="24"/>
        </w:rPr>
        <w:t>(Accessed 12 March 2022)</w:t>
      </w:r>
      <w:r w:rsidR="00E43C62">
        <w:rPr>
          <w:rFonts w:ascii="Tahoma" w:hAnsi="Tahoma" w:cs="Tahoma"/>
          <w:sz w:val="24"/>
          <w:szCs w:val="24"/>
        </w:rPr>
        <w:t>.</w:t>
      </w:r>
    </w:p>
    <w:p w14:paraId="00720963" w14:textId="1C8D2747" w:rsidR="00D50397" w:rsidRPr="007E34A1" w:rsidRDefault="00D50397" w:rsidP="007E34A1">
      <w:pPr>
        <w:spacing w:line="360" w:lineRule="auto"/>
        <w:rPr>
          <w:rFonts w:ascii="Tahoma" w:eastAsia="Calibri" w:hAnsi="Tahoma" w:cs="Tahoma"/>
          <w:color w:val="232323"/>
          <w:sz w:val="24"/>
          <w:szCs w:val="24"/>
          <w:shd w:val="clear" w:color="auto" w:fill="FFFFFF"/>
        </w:rPr>
      </w:pPr>
      <w:r w:rsidRPr="007E34A1">
        <w:rPr>
          <w:rFonts w:ascii="Tahoma" w:eastAsia="Calibri" w:hAnsi="Tahoma" w:cs="Tahoma"/>
          <w:color w:val="000000" w:themeColor="text1"/>
          <w:sz w:val="24"/>
          <w:szCs w:val="24"/>
          <w:shd w:val="clear" w:color="auto" w:fill="F7FBFE"/>
        </w:rPr>
        <w:t xml:space="preserve">Hase, S. and Kenyon, C. (2000) </w:t>
      </w:r>
      <w:r w:rsidR="000E0FDA" w:rsidRPr="007E34A1">
        <w:rPr>
          <w:rFonts w:ascii="Tahoma" w:eastAsia="Calibri" w:hAnsi="Tahoma" w:cs="Tahoma"/>
          <w:color w:val="000000" w:themeColor="text1"/>
          <w:sz w:val="24"/>
          <w:szCs w:val="24"/>
          <w:shd w:val="clear" w:color="auto" w:fill="F7FBFE"/>
        </w:rPr>
        <w:t>‘</w:t>
      </w:r>
      <w:r w:rsidRPr="007E34A1">
        <w:rPr>
          <w:rFonts w:ascii="Tahoma" w:eastAsia="Calibri" w:hAnsi="Tahoma" w:cs="Tahoma"/>
          <w:color w:val="000000" w:themeColor="text1"/>
          <w:sz w:val="24"/>
          <w:szCs w:val="24"/>
          <w:shd w:val="clear" w:color="auto" w:fill="F7FBFE"/>
        </w:rPr>
        <w:t>From andragogy to heutagogy</w:t>
      </w:r>
      <w:r w:rsidR="000E0FDA" w:rsidRPr="007E34A1">
        <w:rPr>
          <w:rFonts w:ascii="Tahoma" w:eastAsia="Calibri" w:hAnsi="Tahoma" w:cs="Tahoma"/>
          <w:color w:val="000000" w:themeColor="text1"/>
          <w:sz w:val="24"/>
          <w:szCs w:val="24"/>
          <w:shd w:val="clear" w:color="auto" w:fill="F7FBFE"/>
        </w:rPr>
        <w:t>’</w:t>
      </w:r>
      <w:r w:rsidRPr="007E34A1">
        <w:rPr>
          <w:rFonts w:ascii="Tahoma" w:eastAsia="Calibri" w:hAnsi="Tahoma" w:cs="Tahoma"/>
          <w:color w:val="000000" w:themeColor="text1"/>
          <w:sz w:val="24"/>
          <w:szCs w:val="24"/>
          <w:shd w:val="clear" w:color="auto" w:fill="F7FBFE"/>
        </w:rPr>
        <w:t>, </w:t>
      </w:r>
      <w:r w:rsidRPr="007E34A1">
        <w:rPr>
          <w:rFonts w:ascii="Tahoma" w:eastAsia="Calibri" w:hAnsi="Tahoma" w:cs="Tahoma"/>
          <w:i/>
          <w:iCs/>
          <w:color w:val="000000" w:themeColor="text1"/>
          <w:sz w:val="24"/>
          <w:szCs w:val="24"/>
        </w:rPr>
        <w:t>Ultibase Articles</w:t>
      </w:r>
      <w:r w:rsidRPr="007E34A1">
        <w:rPr>
          <w:rFonts w:ascii="Tahoma" w:eastAsia="Calibri" w:hAnsi="Tahoma" w:cs="Tahoma"/>
          <w:color w:val="000000" w:themeColor="text1"/>
          <w:sz w:val="24"/>
          <w:szCs w:val="24"/>
          <w:shd w:val="clear" w:color="auto" w:fill="F7FBFE"/>
        </w:rPr>
        <w:t>, </w:t>
      </w:r>
      <w:r w:rsidR="00867B9C">
        <w:rPr>
          <w:rFonts w:ascii="Tahoma" w:eastAsia="Calibri" w:hAnsi="Tahoma" w:cs="Tahoma"/>
          <w:color w:val="000000" w:themeColor="text1"/>
          <w:sz w:val="24"/>
          <w:szCs w:val="24"/>
          <w:shd w:val="clear" w:color="auto" w:fill="F7FBFE"/>
        </w:rPr>
        <w:t>5(3)</w:t>
      </w:r>
      <w:r w:rsidR="00AD0039" w:rsidRPr="007E34A1">
        <w:rPr>
          <w:rFonts w:ascii="Tahoma" w:eastAsia="Calibri" w:hAnsi="Tahoma" w:cs="Tahoma"/>
          <w:color w:val="000000" w:themeColor="text1"/>
          <w:sz w:val="24"/>
          <w:szCs w:val="24"/>
          <w:shd w:val="clear" w:color="auto" w:fill="F7FBFE"/>
        </w:rPr>
        <w:t>, pp. 1-</w:t>
      </w:r>
      <w:r w:rsidRPr="007E34A1">
        <w:rPr>
          <w:rFonts w:ascii="Tahoma" w:eastAsia="Calibri" w:hAnsi="Tahoma" w:cs="Tahoma"/>
          <w:color w:val="000000" w:themeColor="text1"/>
          <w:sz w:val="24"/>
          <w:szCs w:val="24"/>
          <w:shd w:val="clear" w:color="auto" w:fill="F7FBFE"/>
        </w:rPr>
        <w:t>10</w:t>
      </w:r>
      <w:r w:rsidR="00867B9C">
        <w:rPr>
          <w:rFonts w:ascii="Tahoma" w:eastAsia="Calibri" w:hAnsi="Tahoma" w:cs="Tahoma"/>
          <w:color w:val="000000" w:themeColor="text1"/>
          <w:sz w:val="24"/>
          <w:szCs w:val="24"/>
          <w:shd w:val="clear" w:color="auto" w:fill="F7FBFE"/>
        </w:rPr>
        <w:t>.</w:t>
      </w:r>
    </w:p>
    <w:p w14:paraId="270A65D6" w14:textId="3ECA9B8D"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Hase, S, Tay, B. H., and Goh, E. (2006) </w:t>
      </w:r>
      <w:r w:rsidR="000E0FDA" w:rsidRPr="007E34A1">
        <w:rPr>
          <w:rFonts w:ascii="Tahoma" w:eastAsia="Calibri" w:hAnsi="Tahoma" w:cs="Tahoma"/>
          <w:sz w:val="24"/>
          <w:szCs w:val="24"/>
        </w:rPr>
        <w:t>‘</w:t>
      </w:r>
      <w:r w:rsidRPr="007E34A1">
        <w:rPr>
          <w:rFonts w:ascii="Tahoma" w:eastAsia="Calibri" w:hAnsi="Tahoma" w:cs="Tahoma"/>
          <w:sz w:val="24"/>
          <w:szCs w:val="24"/>
        </w:rPr>
        <w:t>Developing learner capability through action research: from pedagogy to heutagogy in the workplace</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867B9C">
        <w:rPr>
          <w:rFonts w:ascii="Tahoma" w:eastAsia="Calibri" w:hAnsi="Tahoma" w:cs="Tahoma"/>
          <w:i/>
          <w:iCs/>
          <w:sz w:val="24"/>
          <w:szCs w:val="24"/>
        </w:rPr>
        <w:t>Australian Vocational Education and Training Research Association Conference</w:t>
      </w:r>
      <w:r w:rsidRPr="007E34A1">
        <w:rPr>
          <w:rFonts w:ascii="Tahoma" w:eastAsia="Calibri" w:hAnsi="Tahoma" w:cs="Tahoma"/>
          <w:sz w:val="24"/>
          <w:szCs w:val="24"/>
        </w:rPr>
        <w:t>, Wollongong, April.</w:t>
      </w:r>
    </w:p>
    <w:p w14:paraId="55CB962B" w14:textId="6FDEE1CD"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Hase, S. and Blaschke, L. M. (2021) </w:t>
      </w:r>
      <w:r w:rsidR="000E0FDA" w:rsidRPr="007E34A1">
        <w:rPr>
          <w:rFonts w:ascii="Tahoma" w:eastAsia="Calibri" w:hAnsi="Tahoma" w:cs="Tahoma"/>
          <w:sz w:val="24"/>
          <w:szCs w:val="24"/>
        </w:rPr>
        <w:t>‘</w:t>
      </w:r>
      <w:r w:rsidRPr="007E34A1">
        <w:rPr>
          <w:rFonts w:ascii="Tahoma" w:eastAsia="Calibri" w:hAnsi="Tahoma" w:cs="Tahoma"/>
          <w:sz w:val="24"/>
          <w:szCs w:val="24"/>
        </w:rPr>
        <w:t>Heutagogy and work</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Hase, S. and Blaschke, L. M. (Eds.), </w:t>
      </w:r>
      <w:r w:rsidRPr="007E34A1">
        <w:rPr>
          <w:rFonts w:ascii="Tahoma" w:eastAsia="Calibri" w:hAnsi="Tahoma" w:cs="Tahoma"/>
          <w:i/>
          <w:sz w:val="24"/>
          <w:szCs w:val="24"/>
        </w:rPr>
        <w:t>Unleashing the Power of Learner Agency</w:t>
      </w:r>
      <w:r w:rsidRPr="007E34A1">
        <w:rPr>
          <w:rFonts w:ascii="Tahoma" w:eastAsia="Calibri" w:hAnsi="Tahoma" w:cs="Tahoma"/>
          <w:sz w:val="24"/>
          <w:szCs w:val="24"/>
        </w:rPr>
        <w:t>. EdTech Books</w:t>
      </w:r>
      <w:r w:rsidR="00867B9C">
        <w:rPr>
          <w:rFonts w:ascii="Tahoma" w:eastAsia="Calibri" w:hAnsi="Tahoma" w:cs="Tahoma"/>
          <w:sz w:val="24"/>
          <w:szCs w:val="24"/>
        </w:rPr>
        <w:t>.</w:t>
      </w:r>
    </w:p>
    <w:p w14:paraId="64BF4FAE" w14:textId="10B167C3" w:rsidR="00955BAB" w:rsidRPr="007E34A1" w:rsidRDefault="00955BAB" w:rsidP="007E34A1">
      <w:pPr>
        <w:spacing w:line="360" w:lineRule="auto"/>
        <w:rPr>
          <w:rFonts w:ascii="Tahoma" w:eastAsia="Calibri" w:hAnsi="Tahoma" w:cs="Tahoma"/>
          <w:sz w:val="24"/>
          <w:szCs w:val="24"/>
        </w:rPr>
      </w:pPr>
      <w:r w:rsidRPr="007E34A1">
        <w:rPr>
          <w:rFonts w:ascii="Tahoma" w:eastAsia="Calibri" w:hAnsi="Tahoma" w:cs="Tahoma"/>
          <w:sz w:val="24"/>
          <w:szCs w:val="24"/>
        </w:rPr>
        <w:t>Hedman</w:t>
      </w:r>
      <w:r w:rsidR="00271699" w:rsidRPr="007E34A1">
        <w:rPr>
          <w:rFonts w:ascii="Tahoma" w:eastAsia="Calibri" w:hAnsi="Tahoma" w:cs="Tahoma"/>
          <w:sz w:val="24"/>
          <w:szCs w:val="24"/>
        </w:rPr>
        <w:t>, J.</w:t>
      </w:r>
      <w:r w:rsidRPr="007E34A1">
        <w:rPr>
          <w:rFonts w:ascii="Tahoma" w:eastAsia="Calibri" w:hAnsi="Tahoma" w:cs="Tahoma"/>
          <w:sz w:val="24"/>
          <w:szCs w:val="24"/>
        </w:rPr>
        <w:t xml:space="preserve"> </w:t>
      </w:r>
      <w:r w:rsidR="00271699" w:rsidRPr="007E34A1">
        <w:rPr>
          <w:rFonts w:ascii="Tahoma" w:eastAsia="Calibri" w:hAnsi="Tahoma" w:cs="Tahoma"/>
          <w:sz w:val="24"/>
          <w:szCs w:val="24"/>
        </w:rPr>
        <w:t xml:space="preserve">and Kalling, T. </w:t>
      </w:r>
      <w:r w:rsidRPr="007E34A1">
        <w:rPr>
          <w:rFonts w:ascii="Tahoma" w:eastAsia="Calibri" w:hAnsi="Tahoma" w:cs="Tahoma"/>
          <w:sz w:val="24"/>
          <w:szCs w:val="24"/>
        </w:rPr>
        <w:t>(2003)</w:t>
      </w:r>
      <w:r w:rsidR="00867B9C">
        <w:rPr>
          <w:rFonts w:ascii="Tahoma" w:eastAsia="Calibri" w:hAnsi="Tahoma" w:cs="Tahoma"/>
          <w:sz w:val="24"/>
          <w:szCs w:val="24"/>
        </w:rPr>
        <w:t xml:space="preserve"> ‘</w:t>
      </w:r>
      <w:r w:rsidRPr="007E34A1">
        <w:rPr>
          <w:rFonts w:ascii="Tahoma" w:eastAsia="Calibri" w:hAnsi="Tahoma" w:cs="Tahoma"/>
          <w:sz w:val="24"/>
          <w:szCs w:val="24"/>
        </w:rPr>
        <w:t>The business model concept: Theoreti</w:t>
      </w:r>
      <w:r w:rsidR="00271699" w:rsidRPr="007E34A1">
        <w:rPr>
          <w:rFonts w:ascii="Tahoma" w:eastAsia="Calibri" w:hAnsi="Tahoma" w:cs="Tahoma"/>
          <w:sz w:val="24"/>
          <w:szCs w:val="24"/>
        </w:rPr>
        <w:t>c</w:t>
      </w:r>
      <w:r w:rsidRPr="007E34A1">
        <w:rPr>
          <w:rFonts w:ascii="Tahoma" w:eastAsia="Calibri" w:hAnsi="Tahoma" w:cs="Tahoma"/>
          <w:sz w:val="24"/>
          <w:szCs w:val="24"/>
        </w:rPr>
        <w:t>al underpinnings and empirical illustrations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European Journal of Information Systems</w:t>
      </w:r>
      <w:r w:rsidRPr="007E34A1">
        <w:rPr>
          <w:rFonts w:ascii="Tahoma" w:eastAsia="Calibri" w:hAnsi="Tahoma" w:cs="Tahoma"/>
          <w:sz w:val="24"/>
          <w:szCs w:val="24"/>
        </w:rPr>
        <w:t xml:space="preserve">, </w:t>
      </w:r>
      <w:r w:rsidR="00867B9C">
        <w:rPr>
          <w:rFonts w:ascii="Tahoma" w:eastAsia="Calibri" w:hAnsi="Tahoma" w:cs="Tahoma"/>
          <w:sz w:val="24"/>
          <w:szCs w:val="24"/>
        </w:rPr>
        <w:t>4(1)</w:t>
      </w:r>
      <w:r w:rsidRPr="007E34A1">
        <w:rPr>
          <w:rFonts w:ascii="Tahoma" w:eastAsia="Calibri" w:hAnsi="Tahoma" w:cs="Tahoma"/>
          <w:sz w:val="24"/>
          <w:szCs w:val="24"/>
        </w:rPr>
        <w:t xml:space="preserve">, pp. 49-59. </w:t>
      </w:r>
    </w:p>
    <w:p w14:paraId="0CB72D0C" w14:textId="269D09A0" w:rsidR="002A62A9" w:rsidRPr="007E34A1" w:rsidRDefault="002A62A9" w:rsidP="007E34A1">
      <w:pPr>
        <w:spacing w:line="360" w:lineRule="auto"/>
        <w:rPr>
          <w:rFonts w:ascii="Tahoma" w:eastAsia="Calibri" w:hAnsi="Tahoma" w:cs="Tahoma"/>
          <w:sz w:val="24"/>
          <w:szCs w:val="24"/>
        </w:rPr>
      </w:pPr>
      <w:r w:rsidRPr="007E34A1">
        <w:rPr>
          <w:rFonts w:ascii="Tahoma" w:eastAsia="Calibri" w:hAnsi="Tahoma" w:cs="Tahoma"/>
          <w:sz w:val="24"/>
          <w:szCs w:val="24"/>
        </w:rPr>
        <w:t>Hoveskog, M., Halila, F., Mattsson, M., Upward, A., and Karlsson, N</w:t>
      </w:r>
      <w:r w:rsidR="009C1882" w:rsidRPr="007E34A1">
        <w:rPr>
          <w:rFonts w:ascii="Tahoma" w:eastAsia="Calibri" w:hAnsi="Tahoma" w:cs="Tahoma"/>
          <w:sz w:val="24"/>
          <w:szCs w:val="24"/>
        </w:rPr>
        <w:t xml:space="preserve">. (2018) </w:t>
      </w:r>
      <w:r w:rsidR="000E0FDA" w:rsidRPr="007E34A1">
        <w:rPr>
          <w:rFonts w:ascii="Tahoma" w:eastAsia="Calibri" w:hAnsi="Tahoma" w:cs="Tahoma"/>
          <w:sz w:val="24"/>
          <w:szCs w:val="24"/>
        </w:rPr>
        <w:t>‘</w:t>
      </w:r>
      <w:r w:rsidR="009C1882" w:rsidRPr="007E34A1">
        <w:rPr>
          <w:rFonts w:ascii="Tahoma" w:eastAsia="Calibri" w:hAnsi="Tahoma" w:cs="Tahoma"/>
          <w:sz w:val="24"/>
          <w:szCs w:val="24"/>
        </w:rPr>
        <w:t>Education for sustain</w:t>
      </w:r>
      <w:r w:rsidRPr="007E34A1">
        <w:rPr>
          <w:rFonts w:ascii="Tahoma" w:eastAsia="Calibri" w:hAnsi="Tahoma" w:cs="Tahoma"/>
          <w:sz w:val="24"/>
          <w:szCs w:val="24"/>
        </w:rPr>
        <w:t>able development: Business modelling for flourishing</w:t>
      </w:r>
      <w:r w:rsidR="000E0FDA" w:rsidRPr="007E34A1">
        <w:rPr>
          <w:rFonts w:ascii="Tahoma" w:eastAsia="Calibri" w:hAnsi="Tahoma" w:cs="Tahoma"/>
          <w:sz w:val="24"/>
          <w:szCs w:val="24"/>
        </w:rPr>
        <w:t>’</w:t>
      </w:r>
      <w:r w:rsidR="000C2E3F">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Journal of Cleaner Production</w:t>
      </w:r>
      <w:r w:rsidRPr="007E34A1">
        <w:rPr>
          <w:rFonts w:ascii="Tahoma" w:eastAsia="Calibri" w:hAnsi="Tahoma" w:cs="Tahoma"/>
          <w:sz w:val="24"/>
          <w:szCs w:val="24"/>
        </w:rPr>
        <w:t>, 172</w:t>
      </w:r>
      <w:r w:rsidR="00C91BF4">
        <w:rPr>
          <w:rFonts w:ascii="Tahoma" w:eastAsia="Calibri" w:hAnsi="Tahoma" w:cs="Tahoma"/>
          <w:sz w:val="24"/>
          <w:szCs w:val="24"/>
        </w:rPr>
        <w:t>, pp.</w:t>
      </w:r>
      <w:r w:rsidRPr="007E34A1">
        <w:rPr>
          <w:rFonts w:ascii="Tahoma" w:eastAsia="Calibri" w:hAnsi="Tahoma" w:cs="Tahoma"/>
          <w:sz w:val="24"/>
          <w:szCs w:val="24"/>
        </w:rPr>
        <w:t xml:space="preserve"> 4383-4396</w:t>
      </w:r>
      <w:r w:rsidR="00C91BF4">
        <w:rPr>
          <w:rFonts w:ascii="Tahoma" w:eastAsia="Calibri" w:hAnsi="Tahoma" w:cs="Tahoma"/>
          <w:sz w:val="24"/>
          <w:szCs w:val="24"/>
        </w:rPr>
        <w:t>. Doi:</w:t>
      </w:r>
      <w:r w:rsidRPr="007E34A1">
        <w:rPr>
          <w:rFonts w:ascii="Tahoma" w:eastAsia="Calibri" w:hAnsi="Tahoma" w:cs="Tahoma"/>
          <w:sz w:val="24"/>
          <w:szCs w:val="24"/>
        </w:rPr>
        <w:t xml:space="preserve"> </w:t>
      </w:r>
      <w:hyperlink r:id="rId21" w:history="1">
        <w:r w:rsidRPr="007E34A1">
          <w:rPr>
            <w:rStyle w:val="Hyperlink"/>
            <w:rFonts w:ascii="Tahoma" w:eastAsia="Calibri" w:hAnsi="Tahoma" w:cs="Tahoma"/>
            <w:sz w:val="24"/>
            <w:szCs w:val="24"/>
          </w:rPr>
          <w:t>https://dx.doi.org/10.1016/j.clepro.2017.04.112</w:t>
        </w:r>
      </w:hyperlink>
    </w:p>
    <w:p w14:paraId="61679AA3" w14:textId="4A03403B"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Iniguez, S. and Lorange, P. (2022)</w:t>
      </w:r>
      <w:r w:rsidR="000C2E3F">
        <w:rPr>
          <w:rFonts w:ascii="Tahoma" w:eastAsia="Calibri" w:hAnsi="Tahoma" w:cs="Tahoma"/>
          <w:sz w:val="24"/>
          <w:szCs w:val="24"/>
        </w:rPr>
        <w:t xml:space="preserve"> </w:t>
      </w:r>
      <w:r w:rsidR="000E0FDA" w:rsidRPr="007E34A1">
        <w:rPr>
          <w:rFonts w:ascii="Tahoma" w:eastAsia="Calibri" w:hAnsi="Tahoma" w:cs="Tahoma"/>
          <w:sz w:val="24"/>
          <w:szCs w:val="24"/>
        </w:rPr>
        <w:t>‘</w:t>
      </w:r>
      <w:r w:rsidRPr="007E34A1">
        <w:rPr>
          <w:rFonts w:ascii="Tahoma" w:eastAsia="Calibri" w:hAnsi="Tahoma" w:cs="Tahoma"/>
          <w:sz w:val="24"/>
          <w:szCs w:val="24"/>
        </w:rPr>
        <w:t>Introduction: Business education in times of disruption and resilience</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Iniguez, S. and Lorange, P. (Eds.) </w:t>
      </w:r>
      <w:r w:rsidRPr="007E34A1">
        <w:rPr>
          <w:rFonts w:ascii="Tahoma" w:eastAsia="Calibri" w:hAnsi="Tahoma" w:cs="Tahoma"/>
          <w:i/>
          <w:sz w:val="24"/>
          <w:szCs w:val="24"/>
        </w:rPr>
        <w:t>Executive Education After the Pandemic: A Vision for the Future</w:t>
      </w:r>
      <w:r w:rsidR="00C91BF4">
        <w:rPr>
          <w:rFonts w:ascii="Tahoma" w:eastAsia="Calibri" w:hAnsi="Tahoma" w:cs="Tahoma"/>
          <w:sz w:val="24"/>
          <w:szCs w:val="24"/>
        </w:rPr>
        <w:t>.</w:t>
      </w:r>
      <w:r w:rsidRPr="007E34A1">
        <w:rPr>
          <w:rFonts w:ascii="Tahoma" w:eastAsia="Calibri" w:hAnsi="Tahoma" w:cs="Tahoma"/>
          <w:sz w:val="24"/>
          <w:szCs w:val="24"/>
        </w:rPr>
        <w:t xml:space="preserve"> Palgrave</w:t>
      </w:r>
      <w:r w:rsidR="00C91BF4">
        <w:rPr>
          <w:rFonts w:ascii="Tahoma" w:eastAsia="Calibri" w:hAnsi="Tahoma" w:cs="Tahoma"/>
          <w:sz w:val="24"/>
          <w:szCs w:val="24"/>
        </w:rPr>
        <w:t xml:space="preserve">: </w:t>
      </w:r>
      <w:r w:rsidRPr="007E34A1">
        <w:rPr>
          <w:rFonts w:ascii="Tahoma" w:eastAsia="Calibri" w:hAnsi="Tahoma" w:cs="Tahoma"/>
          <w:sz w:val="24"/>
          <w:szCs w:val="24"/>
        </w:rPr>
        <w:t>London</w:t>
      </w:r>
      <w:r w:rsidR="00C91BF4">
        <w:rPr>
          <w:rFonts w:ascii="Tahoma" w:eastAsia="Calibri" w:hAnsi="Tahoma" w:cs="Tahoma"/>
          <w:sz w:val="24"/>
          <w:szCs w:val="24"/>
        </w:rPr>
        <w:t xml:space="preserve">, pp. </w:t>
      </w:r>
      <w:r w:rsidRPr="007E34A1">
        <w:rPr>
          <w:rFonts w:ascii="Tahoma" w:eastAsia="Calibri" w:hAnsi="Tahoma" w:cs="Tahoma"/>
          <w:sz w:val="24"/>
          <w:szCs w:val="24"/>
        </w:rPr>
        <w:t>vii- xiv</w:t>
      </w:r>
      <w:r w:rsidR="00C91BF4">
        <w:rPr>
          <w:rFonts w:ascii="Tahoma" w:eastAsia="Calibri" w:hAnsi="Tahoma" w:cs="Tahoma"/>
          <w:sz w:val="24"/>
          <w:szCs w:val="24"/>
        </w:rPr>
        <w:t>.</w:t>
      </w:r>
    </w:p>
    <w:p w14:paraId="5F2788FF" w14:textId="68D1A05F" w:rsidR="00863B89" w:rsidRPr="007E34A1" w:rsidRDefault="00863B89" w:rsidP="007E34A1">
      <w:pPr>
        <w:spacing w:line="360" w:lineRule="auto"/>
        <w:rPr>
          <w:rFonts w:ascii="Tahoma" w:eastAsia="Calibri" w:hAnsi="Tahoma" w:cs="Tahoma"/>
          <w:color w:val="000000" w:themeColor="text1"/>
          <w:sz w:val="24"/>
          <w:szCs w:val="24"/>
        </w:rPr>
      </w:pPr>
      <w:r w:rsidRPr="007E34A1">
        <w:rPr>
          <w:rFonts w:ascii="Tahoma" w:eastAsia="Calibri" w:hAnsi="Tahoma" w:cs="Tahoma"/>
          <w:color w:val="000000" w:themeColor="text1"/>
          <w:sz w:val="24"/>
          <w:szCs w:val="24"/>
        </w:rPr>
        <w:t xml:space="preserve">Irwansyah, S., H., Rahmadsyah, A., </w:t>
      </w:r>
      <w:bookmarkStart w:id="1" w:name="_Hlk102649275"/>
      <w:r w:rsidRPr="007E34A1">
        <w:rPr>
          <w:rFonts w:ascii="Tahoma" w:eastAsia="Calibri" w:hAnsi="Tahoma" w:cs="Tahoma"/>
          <w:color w:val="000000" w:themeColor="text1"/>
          <w:sz w:val="24"/>
          <w:szCs w:val="24"/>
        </w:rPr>
        <w:t>Fachry</w:t>
      </w:r>
      <w:bookmarkEnd w:id="1"/>
      <w:r w:rsidRPr="007E34A1">
        <w:rPr>
          <w:rFonts w:ascii="Tahoma" w:eastAsia="Calibri" w:hAnsi="Tahoma" w:cs="Tahoma"/>
          <w:color w:val="000000" w:themeColor="text1"/>
          <w:sz w:val="24"/>
          <w:szCs w:val="24"/>
        </w:rPr>
        <w:t xml:space="preserve"> Hasution, M., and Aditia, R. (2020) </w:t>
      </w:r>
      <w:r w:rsidR="000E0FDA" w:rsidRPr="007E34A1">
        <w:rPr>
          <w:rFonts w:ascii="Tahoma" w:eastAsia="Calibri" w:hAnsi="Tahoma" w:cs="Tahoma"/>
          <w:color w:val="000000" w:themeColor="text1"/>
          <w:sz w:val="24"/>
          <w:szCs w:val="24"/>
        </w:rPr>
        <w:t>‘</w:t>
      </w:r>
      <w:r w:rsidRPr="007E34A1">
        <w:rPr>
          <w:rFonts w:ascii="Tahoma" w:eastAsia="Calibri" w:hAnsi="Tahoma" w:cs="Tahoma"/>
          <w:color w:val="000000" w:themeColor="text1"/>
          <w:sz w:val="24"/>
          <w:szCs w:val="24"/>
        </w:rPr>
        <w:t xml:space="preserve">Impact of the implementation of </w:t>
      </w:r>
      <w:r w:rsidR="00207674" w:rsidRPr="007E34A1">
        <w:rPr>
          <w:rFonts w:ascii="Tahoma" w:eastAsia="Calibri" w:hAnsi="Tahoma" w:cs="Tahoma"/>
          <w:color w:val="000000" w:themeColor="text1"/>
          <w:sz w:val="24"/>
          <w:szCs w:val="24"/>
        </w:rPr>
        <w:t>BMC</w:t>
      </w:r>
      <w:r w:rsidRPr="007E34A1">
        <w:rPr>
          <w:rFonts w:ascii="Tahoma" w:eastAsia="Calibri" w:hAnsi="Tahoma" w:cs="Tahoma"/>
          <w:color w:val="000000" w:themeColor="text1"/>
          <w:sz w:val="24"/>
          <w:szCs w:val="24"/>
        </w:rPr>
        <w:t xml:space="preserve"> (BMC) on improving student entrepreneurship </w:t>
      </w:r>
      <w:r w:rsidRPr="007E34A1">
        <w:rPr>
          <w:rFonts w:ascii="Tahoma" w:eastAsia="Calibri" w:hAnsi="Tahoma" w:cs="Tahoma"/>
          <w:color w:val="000000" w:themeColor="text1"/>
          <w:sz w:val="24"/>
          <w:szCs w:val="24"/>
        </w:rPr>
        <w:lastRenderedPageBreak/>
        <w:t>learning outcomes</w:t>
      </w:r>
      <w:r w:rsidR="000E0FDA" w:rsidRPr="007E34A1">
        <w:rPr>
          <w:rFonts w:ascii="Tahoma" w:eastAsia="Calibri" w:hAnsi="Tahoma" w:cs="Tahoma"/>
          <w:color w:val="000000" w:themeColor="text1"/>
          <w:sz w:val="24"/>
          <w:szCs w:val="24"/>
        </w:rPr>
        <w:t>’</w:t>
      </w:r>
      <w:r w:rsidRPr="007E34A1">
        <w:rPr>
          <w:rFonts w:ascii="Tahoma" w:eastAsia="Calibri" w:hAnsi="Tahoma" w:cs="Tahoma"/>
          <w:color w:val="000000" w:themeColor="text1"/>
          <w:sz w:val="24"/>
          <w:szCs w:val="24"/>
        </w:rPr>
        <w:t xml:space="preserve">, </w:t>
      </w:r>
      <w:r w:rsidRPr="007E34A1">
        <w:rPr>
          <w:rFonts w:ascii="Tahoma" w:eastAsia="Calibri" w:hAnsi="Tahoma" w:cs="Tahoma"/>
          <w:i/>
          <w:color w:val="000000" w:themeColor="text1"/>
          <w:sz w:val="24"/>
          <w:szCs w:val="24"/>
        </w:rPr>
        <w:t>Proceedings of the 1</w:t>
      </w:r>
      <w:r w:rsidRPr="007E34A1">
        <w:rPr>
          <w:rFonts w:ascii="Tahoma" w:eastAsia="Calibri" w:hAnsi="Tahoma" w:cs="Tahoma"/>
          <w:i/>
          <w:color w:val="000000" w:themeColor="text1"/>
          <w:sz w:val="24"/>
          <w:szCs w:val="24"/>
          <w:vertAlign w:val="superscript"/>
        </w:rPr>
        <w:t>st</w:t>
      </w:r>
      <w:r w:rsidRPr="007E34A1">
        <w:rPr>
          <w:rFonts w:ascii="Tahoma" w:eastAsia="Calibri" w:hAnsi="Tahoma" w:cs="Tahoma"/>
          <w:i/>
          <w:color w:val="000000" w:themeColor="text1"/>
          <w:sz w:val="24"/>
          <w:szCs w:val="24"/>
        </w:rPr>
        <w:t xml:space="preserve"> Unimed International Conference on Economics Education and Social Sciences (UNICESS- 2018)</w:t>
      </w:r>
      <w:r w:rsidR="00C91BF4">
        <w:rPr>
          <w:rFonts w:ascii="Tahoma" w:eastAsia="Calibri" w:hAnsi="Tahoma" w:cs="Tahoma"/>
          <w:color w:val="000000" w:themeColor="text1"/>
          <w:sz w:val="24"/>
          <w:szCs w:val="24"/>
        </w:rPr>
        <w:t>.</w:t>
      </w:r>
      <w:r w:rsidRPr="007E34A1">
        <w:rPr>
          <w:rFonts w:ascii="Tahoma" w:eastAsia="Calibri" w:hAnsi="Tahoma" w:cs="Tahoma"/>
          <w:color w:val="000000" w:themeColor="text1"/>
          <w:sz w:val="24"/>
          <w:szCs w:val="24"/>
        </w:rPr>
        <w:t xml:space="preserve"> </w:t>
      </w:r>
      <w:r w:rsidR="00BC1D7D" w:rsidRPr="00C91BF4">
        <w:rPr>
          <w:rFonts w:ascii="Tahoma" w:eastAsia="Calibri" w:hAnsi="Tahoma" w:cs="Tahoma"/>
          <w:i/>
          <w:iCs/>
          <w:color w:val="000000" w:themeColor="text1"/>
          <w:sz w:val="24"/>
          <w:szCs w:val="24"/>
        </w:rPr>
        <w:t>Medan, Indonesia,</w:t>
      </w:r>
      <w:r w:rsidR="00BC1D7D" w:rsidRPr="007E34A1">
        <w:rPr>
          <w:rFonts w:ascii="Tahoma" w:eastAsia="Calibri" w:hAnsi="Tahoma" w:cs="Tahoma"/>
          <w:color w:val="000000" w:themeColor="text1"/>
          <w:sz w:val="24"/>
          <w:szCs w:val="24"/>
        </w:rPr>
        <w:t xml:space="preserve"> pp. </w:t>
      </w:r>
      <w:r w:rsidRPr="007E34A1">
        <w:rPr>
          <w:rFonts w:ascii="Tahoma" w:eastAsia="Calibri" w:hAnsi="Tahoma" w:cs="Tahoma"/>
          <w:color w:val="000000" w:themeColor="text1"/>
          <w:sz w:val="24"/>
          <w:szCs w:val="24"/>
        </w:rPr>
        <w:t>43-48.</w:t>
      </w:r>
    </w:p>
    <w:p w14:paraId="0ABF7BA0" w14:textId="20E908C8" w:rsidR="00D50397" w:rsidRPr="007E34A1" w:rsidRDefault="00C4774A"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Kearney, A., Harrington, D., and Rajwani, T. (2021) </w:t>
      </w:r>
      <w:r w:rsidR="000E0FDA" w:rsidRPr="007E34A1">
        <w:rPr>
          <w:rFonts w:ascii="Tahoma" w:eastAsia="Calibri" w:hAnsi="Tahoma" w:cs="Tahoma"/>
          <w:sz w:val="24"/>
          <w:szCs w:val="24"/>
        </w:rPr>
        <w:t>‘</w:t>
      </w:r>
      <w:r w:rsidRPr="007E34A1">
        <w:rPr>
          <w:rFonts w:ascii="Tahoma" w:eastAsia="Calibri" w:hAnsi="Tahoma" w:cs="Tahoma"/>
          <w:sz w:val="24"/>
          <w:szCs w:val="24"/>
        </w:rPr>
        <w:t>Group behaviour process and learning: A review and assessment of emerging online technologies in executive education</w:t>
      </w:r>
      <w:r w:rsidR="000E0FDA" w:rsidRPr="007E34A1">
        <w:rPr>
          <w:rFonts w:ascii="Tahoma" w:eastAsia="Calibri" w:hAnsi="Tahoma" w:cs="Tahoma"/>
          <w:sz w:val="24"/>
          <w:szCs w:val="24"/>
        </w:rPr>
        <w:t>’</w:t>
      </w:r>
      <w:r w:rsidR="00C91BF4">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European Journal of Training and Development</w:t>
      </w:r>
      <w:r w:rsidR="00C91BF4">
        <w:rPr>
          <w:rFonts w:ascii="Tahoma" w:eastAsia="Calibri" w:hAnsi="Tahoma" w:cs="Tahoma"/>
          <w:i/>
          <w:sz w:val="24"/>
          <w:szCs w:val="24"/>
        </w:rPr>
        <w:t xml:space="preserve">. Doi: </w:t>
      </w:r>
      <w:hyperlink r:id="rId22" w:history="1">
        <w:r w:rsidRPr="007E34A1">
          <w:rPr>
            <w:rStyle w:val="Hyperlink"/>
            <w:rFonts w:ascii="Tahoma" w:eastAsia="Calibri" w:hAnsi="Tahoma" w:cs="Tahoma"/>
            <w:sz w:val="24"/>
            <w:szCs w:val="24"/>
          </w:rPr>
          <w:t>https://doi.org/10.1108/EJTD-03-2021-0044</w:t>
        </w:r>
      </w:hyperlink>
    </w:p>
    <w:p w14:paraId="2EE22F2C" w14:textId="6E4023FD" w:rsidR="0074110C" w:rsidRPr="007E34A1" w:rsidRDefault="0074110C" w:rsidP="007E34A1">
      <w:pPr>
        <w:spacing w:line="360" w:lineRule="auto"/>
        <w:rPr>
          <w:rFonts w:ascii="Tahoma" w:hAnsi="Tahoma" w:cs="Tahoma"/>
          <w:sz w:val="24"/>
          <w:szCs w:val="24"/>
        </w:rPr>
      </w:pPr>
      <w:r w:rsidRPr="007E34A1">
        <w:rPr>
          <w:rFonts w:ascii="Tahoma" w:hAnsi="Tahoma" w:cs="Tahoma"/>
          <w:sz w:val="24"/>
          <w:szCs w:val="24"/>
        </w:rPr>
        <w:t>Jack, A. (2021)</w:t>
      </w:r>
      <w:r w:rsidR="000C2E3F">
        <w:rPr>
          <w:rFonts w:ascii="Tahoma" w:hAnsi="Tahoma" w:cs="Tahoma"/>
          <w:sz w:val="24"/>
          <w:szCs w:val="24"/>
        </w:rPr>
        <w:t xml:space="preserve"> </w:t>
      </w:r>
      <w:r w:rsidRPr="007E34A1">
        <w:rPr>
          <w:rFonts w:ascii="Tahoma" w:hAnsi="Tahoma" w:cs="Tahoma"/>
          <w:i/>
          <w:sz w:val="24"/>
          <w:szCs w:val="24"/>
        </w:rPr>
        <w:t>Executive education 2021: FT survey shows what employers want</w:t>
      </w:r>
      <w:r w:rsidR="000C2E3F">
        <w:rPr>
          <w:rFonts w:ascii="Tahoma" w:hAnsi="Tahoma" w:cs="Tahoma"/>
          <w:sz w:val="24"/>
          <w:szCs w:val="24"/>
        </w:rPr>
        <w:t>.</w:t>
      </w:r>
      <w:r w:rsidRPr="007E34A1">
        <w:rPr>
          <w:rFonts w:ascii="Tahoma" w:hAnsi="Tahoma" w:cs="Tahoma"/>
          <w:sz w:val="24"/>
          <w:szCs w:val="24"/>
        </w:rPr>
        <w:t xml:space="preserve"> </w:t>
      </w:r>
      <w:r w:rsidR="000C2E3F">
        <w:rPr>
          <w:rFonts w:ascii="Tahoma" w:hAnsi="Tahoma" w:cs="Tahoma"/>
          <w:sz w:val="24"/>
          <w:szCs w:val="24"/>
        </w:rPr>
        <w:t>A</w:t>
      </w:r>
      <w:r w:rsidRPr="007E34A1">
        <w:rPr>
          <w:rFonts w:ascii="Tahoma" w:hAnsi="Tahoma" w:cs="Tahoma"/>
          <w:sz w:val="24"/>
          <w:szCs w:val="24"/>
        </w:rPr>
        <w:t xml:space="preserve">vailable at: </w:t>
      </w:r>
      <w:hyperlink r:id="rId23" w:history="1">
        <w:r w:rsidRPr="007E34A1">
          <w:rPr>
            <w:rStyle w:val="Hyperlink"/>
            <w:rFonts w:ascii="Tahoma" w:hAnsi="Tahoma" w:cs="Tahoma"/>
            <w:sz w:val="24"/>
            <w:szCs w:val="24"/>
          </w:rPr>
          <w:t>https://www.ft.com/content/0c4a7b50-4226-45f7-8433-ed6cbdde9202</w:t>
        </w:r>
      </w:hyperlink>
      <w:r w:rsidRPr="007E34A1">
        <w:rPr>
          <w:rFonts w:ascii="Tahoma" w:hAnsi="Tahoma" w:cs="Tahoma"/>
          <w:sz w:val="24"/>
          <w:szCs w:val="24"/>
        </w:rPr>
        <w:t xml:space="preserve"> (Accessed 12 March 2022)</w:t>
      </w:r>
      <w:r w:rsidR="000C2E3F">
        <w:rPr>
          <w:rFonts w:ascii="Tahoma" w:hAnsi="Tahoma" w:cs="Tahoma"/>
          <w:sz w:val="24"/>
          <w:szCs w:val="24"/>
        </w:rPr>
        <w:t>.</w:t>
      </w:r>
    </w:p>
    <w:p w14:paraId="532A465A" w14:textId="6EFD54D1" w:rsidR="0074110C" w:rsidRPr="007E34A1" w:rsidRDefault="0074110C" w:rsidP="007E34A1">
      <w:pPr>
        <w:spacing w:line="360" w:lineRule="auto"/>
        <w:rPr>
          <w:rFonts w:ascii="Tahoma" w:hAnsi="Tahoma" w:cs="Tahoma"/>
          <w:sz w:val="24"/>
          <w:szCs w:val="24"/>
        </w:rPr>
      </w:pPr>
      <w:r w:rsidRPr="007E34A1">
        <w:rPr>
          <w:rFonts w:ascii="Tahoma" w:hAnsi="Tahoma" w:cs="Tahoma"/>
          <w:sz w:val="24"/>
          <w:szCs w:val="24"/>
        </w:rPr>
        <w:t xml:space="preserve">Kearney, A., Harrington, D., and Rajwani, T. (2021) </w:t>
      </w:r>
      <w:r w:rsidR="000E0FDA" w:rsidRPr="007E34A1">
        <w:rPr>
          <w:rFonts w:ascii="Tahoma" w:hAnsi="Tahoma" w:cs="Tahoma"/>
          <w:sz w:val="24"/>
          <w:szCs w:val="24"/>
        </w:rPr>
        <w:t>‘</w:t>
      </w:r>
      <w:r w:rsidRPr="007E34A1">
        <w:rPr>
          <w:rFonts w:ascii="Tahoma" w:hAnsi="Tahoma" w:cs="Tahoma"/>
          <w:sz w:val="24"/>
          <w:szCs w:val="24"/>
        </w:rPr>
        <w:t>Group behaviour process and learning: A review and assessment of emerging online technologies in executive education</w:t>
      </w:r>
      <w:r w:rsidR="000E0FDA" w:rsidRPr="007E34A1">
        <w:rPr>
          <w:rFonts w:ascii="Tahoma" w:hAnsi="Tahoma" w:cs="Tahoma"/>
          <w:sz w:val="24"/>
          <w:szCs w:val="24"/>
        </w:rPr>
        <w:t>’</w:t>
      </w:r>
      <w:r w:rsidR="00C91BF4">
        <w:rPr>
          <w:rFonts w:ascii="Tahoma" w:hAnsi="Tahoma" w:cs="Tahoma"/>
          <w:sz w:val="24"/>
          <w:szCs w:val="24"/>
        </w:rPr>
        <w:t>,</w:t>
      </w:r>
      <w:r w:rsidRPr="007E34A1">
        <w:rPr>
          <w:rFonts w:ascii="Tahoma" w:hAnsi="Tahoma" w:cs="Tahoma"/>
          <w:sz w:val="24"/>
          <w:szCs w:val="24"/>
        </w:rPr>
        <w:t xml:space="preserve"> </w:t>
      </w:r>
      <w:r w:rsidRPr="007E34A1">
        <w:rPr>
          <w:rFonts w:ascii="Tahoma" w:hAnsi="Tahoma" w:cs="Tahoma"/>
          <w:i/>
          <w:sz w:val="24"/>
          <w:szCs w:val="24"/>
        </w:rPr>
        <w:t>European Journal of Training and Development</w:t>
      </w:r>
      <w:r w:rsidR="00C91BF4">
        <w:rPr>
          <w:rFonts w:ascii="Tahoma" w:hAnsi="Tahoma" w:cs="Tahoma"/>
          <w:sz w:val="24"/>
          <w:szCs w:val="24"/>
        </w:rPr>
        <w:t xml:space="preserve">. Doi: </w:t>
      </w:r>
      <w:hyperlink r:id="rId24" w:history="1">
        <w:r w:rsidRPr="007E34A1">
          <w:rPr>
            <w:rStyle w:val="Hyperlink"/>
            <w:rFonts w:ascii="Tahoma" w:hAnsi="Tahoma" w:cs="Tahoma"/>
            <w:sz w:val="24"/>
            <w:szCs w:val="24"/>
          </w:rPr>
          <w:t>https://doi.org/10.1108/EJTD-03-2021-0044</w:t>
        </w:r>
      </w:hyperlink>
      <w:r w:rsidRPr="007E34A1">
        <w:rPr>
          <w:rFonts w:ascii="Tahoma" w:hAnsi="Tahoma" w:cs="Tahoma"/>
          <w:sz w:val="24"/>
          <w:szCs w:val="24"/>
        </w:rPr>
        <w:t xml:space="preserve"> </w:t>
      </w:r>
    </w:p>
    <w:p w14:paraId="6EF66C8F" w14:textId="6EEB3FED"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Kets de Vries, M. F. R. and Korotov, K. (2007) </w:t>
      </w:r>
      <w:r w:rsidR="000E0FDA" w:rsidRPr="007E34A1">
        <w:rPr>
          <w:rFonts w:ascii="Tahoma" w:eastAsia="Calibri" w:hAnsi="Tahoma" w:cs="Tahoma"/>
          <w:sz w:val="24"/>
          <w:szCs w:val="24"/>
        </w:rPr>
        <w:t>‘</w:t>
      </w:r>
      <w:r w:rsidRPr="007E34A1">
        <w:rPr>
          <w:rFonts w:ascii="Tahoma" w:eastAsia="Calibri" w:hAnsi="Tahoma" w:cs="Tahoma"/>
          <w:sz w:val="24"/>
          <w:szCs w:val="24"/>
        </w:rPr>
        <w:t>Creating transformational executive education programs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iCs/>
          <w:sz w:val="24"/>
          <w:szCs w:val="24"/>
        </w:rPr>
        <w:t>Academy of Management Learning and Education</w:t>
      </w:r>
      <w:r w:rsidRPr="007E34A1">
        <w:rPr>
          <w:rFonts w:ascii="Tahoma" w:eastAsia="Calibri" w:hAnsi="Tahoma" w:cs="Tahoma"/>
          <w:sz w:val="24"/>
          <w:szCs w:val="24"/>
        </w:rPr>
        <w:t xml:space="preserve">, </w:t>
      </w:r>
      <w:r w:rsidR="00C91BF4">
        <w:rPr>
          <w:rFonts w:ascii="Tahoma" w:eastAsia="Calibri" w:hAnsi="Tahoma" w:cs="Tahoma"/>
          <w:sz w:val="24"/>
          <w:szCs w:val="24"/>
        </w:rPr>
        <w:t>6(3)</w:t>
      </w:r>
      <w:r w:rsidRPr="007E34A1">
        <w:rPr>
          <w:rFonts w:ascii="Tahoma" w:eastAsia="Calibri" w:hAnsi="Tahoma" w:cs="Tahoma"/>
          <w:sz w:val="24"/>
          <w:szCs w:val="24"/>
        </w:rPr>
        <w:t xml:space="preserve">, pp. 375-387. </w:t>
      </w:r>
    </w:p>
    <w:p w14:paraId="311D0E93" w14:textId="630A982F"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Knowles, M. S. (1968) </w:t>
      </w:r>
      <w:r w:rsidR="000E0FDA" w:rsidRPr="007E34A1">
        <w:rPr>
          <w:rFonts w:ascii="Tahoma" w:eastAsia="Calibri" w:hAnsi="Tahoma" w:cs="Tahoma"/>
          <w:sz w:val="24"/>
          <w:szCs w:val="24"/>
        </w:rPr>
        <w:t>‘</w:t>
      </w:r>
      <w:r w:rsidRPr="007E34A1">
        <w:rPr>
          <w:rFonts w:ascii="Tahoma" w:eastAsia="Calibri" w:hAnsi="Tahoma" w:cs="Tahoma"/>
          <w:sz w:val="24"/>
          <w:szCs w:val="24"/>
        </w:rPr>
        <w:t>Andragogy, not pedagogy</w:t>
      </w:r>
      <w:r w:rsidR="000E0FDA" w:rsidRPr="007E34A1">
        <w:rPr>
          <w:rFonts w:ascii="Tahoma" w:eastAsia="Calibri" w:hAnsi="Tahoma" w:cs="Tahoma"/>
          <w:sz w:val="24"/>
          <w:szCs w:val="24"/>
        </w:rPr>
        <w:t>’</w:t>
      </w:r>
      <w:r w:rsidRPr="007E34A1">
        <w:rPr>
          <w:rFonts w:ascii="Tahoma" w:eastAsia="Calibri" w:hAnsi="Tahoma" w:cs="Tahoma"/>
          <w:i/>
          <w:sz w:val="24"/>
          <w:szCs w:val="24"/>
        </w:rPr>
        <w:t>. Adult Leadership</w:t>
      </w:r>
      <w:r w:rsidRPr="007E34A1">
        <w:rPr>
          <w:rFonts w:ascii="Tahoma" w:eastAsia="Calibri" w:hAnsi="Tahoma" w:cs="Tahoma"/>
          <w:sz w:val="24"/>
          <w:szCs w:val="24"/>
        </w:rPr>
        <w:t xml:space="preserve">, </w:t>
      </w:r>
      <w:r w:rsidR="00C91BF4">
        <w:rPr>
          <w:rFonts w:ascii="Tahoma" w:eastAsia="Calibri" w:hAnsi="Tahoma" w:cs="Tahoma"/>
          <w:sz w:val="24"/>
          <w:szCs w:val="24"/>
        </w:rPr>
        <w:t>16(1</w:t>
      </w:r>
      <w:r w:rsidR="007D7942">
        <w:rPr>
          <w:rFonts w:ascii="Tahoma" w:eastAsia="Calibri" w:hAnsi="Tahoma" w:cs="Tahoma"/>
          <w:sz w:val="24"/>
          <w:szCs w:val="24"/>
        </w:rPr>
        <w:t>0)</w:t>
      </w:r>
      <w:r w:rsidRPr="007E34A1">
        <w:rPr>
          <w:rFonts w:ascii="Tahoma" w:eastAsia="Calibri" w:hAnsi="Tahoma" w:cs="Tahoma"/>
          <w:sz w:val="24"/>
          <w:szCs w:val="24"/>
        </w:rPr>
        <w:t>, pp. 350–352.</w:t>
      </w:r>
    </w:p>
    <w:p w14:paraId="191459C9" w14:textId="5DEF6FC6" w:rsidR="00D50397" w:rsidRPr="007E34A1" w:rsidRDefault="00AC090C" w:rsidP="007E34A1">
      <w:pPr>
        <w:spacing w:line="360" w:lineRule="auto"/>
        <w:rPr>
          <w:rFonts w:ascii="Tahoma" w:eastAsia="Calibri" w:hAnsi="Tahoma" w:cs="Tahoma"/>
          <w:sz w:val="24"/>
          <w:szCs w:val="24"/>
        </w:rPr>
      </w:pPr>
      <w:r w:rsidRPr="007E34A1">
        <w:rPr>
          <w:rFonts w:ascii="Tahoma" w:eastAsia="Calibri" w:hAnsi="Tahoma" w:cs="Tahoma"/>
          <w:sz w:val="24"/>
          <w:szCs w:val="24"/>
        </w:rPr>
        <w:t>Laszlo, C., Ehrenfeld, J., Brown, J., Gorham, M., Pose, I. B., Robson, I., Sailant, R., Sherman, D.</w:t>
      </w:r>
      <w:r w:rsidR="003920DF">
        <w:rPr>
          <w:rFonts w:ascii="Tahoma" w:eastAsia="Calibri" w:hAnsi="Tahoma" w:cs="Tahoma"/>
          <w:sz w:val="24"/>
          <w:szCs w:val="24"/>
        </w:rPr>
        <w:t xml:space="preserve"> </w:t>
      </w:r>
      <w:r w:rsidRPr="007E34A1">
        <w:rPr>
          <w:rFonts w:ascii="Tahoma" w:eastAsia="Calibri" w:hAnsi="Tahoma" w:cs="Tahoma"/>
          <w:sz w:val="24"/>
          <w:szCs w:val="24"/>
        </w:rPr>
        <w:t>(2014)</w:t>
      </w:r>
      <w:r w:rsidRPr="007E34A1">
        <w:rPr>
          <w:rFonts w:ascii="Tahoma" w:eastAsia="Calibri" w:hAnsi="Tahoma" w:cs="Tahoma"/>
          <w:i/>
          <w:sz w:val="24"/>
          <w:szCs w:val="24"/>
        </w:rPr>
        <w:t xml:space="preserve"> Flourishing enterprise: The new spirit of business</w:t>
      </w:r>
      <w:r w:rsidRPr="007E34A1">
        <w:rPr>
          <w:rFonts w:ascii="Tahoma" w:eastAsia="Calibri" w:hAnsi="Tahoma" w:cs="Tahoma"/>
          <w:sz w:val="24"/>
          <w:szCs w:val="24"/>
        </w:rPr>
        <w:t>. Stanford University Press, Stanford, CA.</w:t>
      </w:r>
    </w:p>
    <w:p w14:paraId="73523BC1" w14:textId="229354FD" w:rsidR="00527186" w:rsidRPr="007E34A1" w:rsidRDefault="00527186"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Lofgren, </w:t>
      </w:r>
      <w:r w:rsidR="00863B89" w:rsidRPr="007E34A1">
        <w:rPr>
          <w:rFonts w:ascii="Tahoma" w:eastAsia="Calibri" w:hAnsi="Tahoma" w:cs="Tahoma"/>
          <w:sz w:val="24"/>
          <w:szCs w:val="24"/>
        </w:rPr>
        <w:t xml:space="preserve">J., </w:t>
      </w:r>
      <w:r w:rsidRPr="007E34A1">
        <w:rPr>
          <w:rFonts w:ascii="Tahoma" w:eastAsia="Calibri" w:hAnsi="Tahoma" w:cs="Tahoma"/>
          <w:sz w:val="24"/>
          <w:szCs w:val="24"/>
        </w:rPr>
        <w:t>Pavlov</w:t>
      </w:r>
      <w:r w:rsidR="00863B89" w:rsidRPr="007E34A1">
        <w:rPr>
          <w:rFonts w:ascii="Tahoma" w:eastAsia="Calibri" w:hAnsi="Tahoma" w:cs="Tahoma"/>
          <w:sz w:val="24"/>
          <w:szCs w:val="24"/>
        </w:rPr>
        <w:t>, O. V.,</w:t>
      </w:r>
      <w:r w:rsidRPr="007E34A1">
        <w:rPr>
          <w:rFonts w:ascii="Tahoma" w:eastAsia="Calibri" w:hAnsi="Tahoma" w:cs="Tahoma"/>
          <w:sz w:val="24"/>
          <w:szCs w:val="24"/>
        </w:rPr>
        <w:t xml:space="preserve"> and Hoy, </w:t>
      </w:r>
      <w:r w:rsidR="00863B89" w:rsidRPr="007E34A1">
        <w:rPr>
          <w:rFonts w:ascii="Tahoma" w:eastAsia="Calibri" w:hAnsi="Tahoma" w:cs="Tahoma"/>
          <w:sz w:val="24"/>
          <w:szCs w:val="24"/>
        </w:rPr>
        <w:t>F. (</w:t>
      </w:r>
      <w:r w:rsidRPr="007E34A1">
        <w:rPr>
          <w:rFonts w:ascii="Tahoma" w:eastAsia="Calibri" w:hAnsi="Tahoma" w:cs="Tahoma"/>
          <w:sz w:val="24"/>
          <w:szCs w:val="24"/>
        </w:rPr>
        <w:t>2020)</w:t>
      </w:r>
      <w:r w:rsidR="000C2E3F">
        <w:rPr>
          <w:rFonts w:ascii="Tahoma" w:eastAsia="Calibri" w:hAnsi="Tahoma" w:cs="Tahoma"/>
          <w:sz w:val="24"/>
          <w:szCs w:val="24"/>
        </w:rPr>
        <w:t xml:space="preserve"> </w:t>
      </w:r>
      <w:r w:rsidRPr="000C2E3F">
        <w:rPr>
          <w:rFonts w:ascii="Tahoma" w:eastAsia="Calibri" w:hAnsi="Tahoma" w:cs="Tahoma"/>
          <w:i/>
          <w:iCs/>
          <w:sz w:val="24"/>
          <w:szCs w:val="24"/>
        </w:rPr>
        <w:t>Using the canvas model to analyze an undergraduate business program</w:t>
      </w:r>
      <w:r w:rsidR="000C2E3F">
        <w:rPr>
          <w:rFonts w:ascii="Tahoma" w:eastAsia="Calibri" w:hAnsi="Tahoma" w:cs="Tahoma"/>
          <w:i/>
          <w:iCs/>
          <w:sz w:val="24"/>
          <w:szCs w:val="24"/>
        </w:rPr>
        <w:t>.</w:t>
      </w:r>
      <w:r w:rsidRPr="007E34A1">
        <w:rPr>
          <w:rFonts w:ascii="Tahoma" w:eastAsia="Calibri" w:hAnsi="Tahoma" w:cs="Tahoma"/>
          <w:sz w:val="24"/>
          <w:szCs w:val="24"/>
        </w:rPr>
        <w:t xml:space="preserve"> </w:t>
      </w:r>
      <w:r w:rsidR="000C2E3F">
        <w:rPr>
          <w:rFonts w:ascii="Tahoma" w:eastAsia="Calibri" w:hAnsi="Tahoma" w:cs="Tahoma"/>
          <w:sz w:val="24"/>
          <w:szCs w:val="24"/>
        </w:rPr>
        <w:t>A</w:t>
      </w:r>
      <w:r w:rsidRPr="007E34A1">
        <w:rPr>
          <w:rFonts w:ascii="Tahoma" w:eastAsia="Calibri" w:hAnsi="Tahoma" w:cs="Tahoma"/>
          <w:sz w:val="24"/>
          <w:szCs w:val="24"/>
        </w:rPr>
        <w:t xml:space="preserve">vailable at: </w:t>
      </w:r>
      <w:hyperlink r:id="rId25" w:history="1">
        <w:r w:rsidRPr="007E34A1">
          <w:rPr>
            <w:rStyle w:val="Hyperlink"/>
            <w:rFonts w:ascii="Tahoma" w:eastAsia="Calibri" w:hAnsi="Tahoma" w:cs="Tahoma"/>
            <w:sz w:val="24"/>
            <w:szCs w:val="24"/>
          </w:rPr>
          <w:t>https://ssrn.com/abstract=35/2085</w:t>
        </w:r>
      </w:hyperlink>
      <w:r w:rsidR="003920DF">
        <w:rPr>
          <w:rFonts w:ascii="Tahoma" w:eastAsia="Calibri" w:hAnsi="Tahoma" w:cs="Tahoma"/>
          <w:sz w:val="24"/>
          <w:szCs w:val="24"/>
        </w:rPr>
        <w:t xml:space="preserve"> </w:t>
      </w:r>
      <w:r w:rsidRPr="007E34A1">
        <w:rPr>
          <w:rFonts w:ascii="Tahoma" w:eastAsia="Calibri" w:hAnsi="Tahoma" w:cs="Tahoma"/>
          <w:sz w:val="24"/>
          <w:szCs w:val="24"/>
        </w:rPr>
        <w:t>(Accessed 28 April 2022)</w:t>
      </w:r>
      <w:r w:rsidR="000C2E3F">
        <w:rPr>
          <w:rFonts w:ascii="Tahoma" w:eastAsia="Calibri" w:hAnsi="Tahoma" w:cs="Tahoma"/>
          <w:sz w:val="24"/>
          <w:szCs w:val="24"/>
        </w:rPr>
        <w:t>.</w:t>
      </w:r>
    </w:p>
    <w:p w14:paraId="778B6A14" w14:textId="27564CC5" w:rsidR="00863B89" w:rsidRPr="007E34A1" w:rsidRDefault="00863B89" w:rsidP="007E34A1">
      <w:pPr>
        <w:spacing w:line="360" w:lineRule="auto"/>
        <w:rPr>
          <w:rFonts w:ascii="Tahoma" w:eastAsia="Calibri" w:hAnsi="Tahoma" w:cs="Tahoma"/>
          <w:sz w:val="24"/>
          <w:szCs w:val="24"/>
        </w:rPr>
      </w:pPr>
      <w:r w:rsidRPr="007E34A1">
        <w:rPr>
          <w:rFonts w:ascii="Tahoma" w:eastAsia="Calibri" w:hAnsi="Tahoma" w:cs="Tahoma"/>
          <w:sz w:val="24"/>
          <w:szCs w:val="24"/>
        </w:rPr>
        <w:lastRenderedPageBreak/>
        <w:t xml:space="preserve">McFarlane, D. A. (2017) </w:t>
      </w:r>
      <w:r w:rsidR="000E0FDA" w:rsidRPr="007E34A1">
        <w:rPr>
          <w:rFonts w:ascii="Tahoma" w:eastAsia="Calibri" w:hAnsi="Tahoma" w:cs="Tahoma"/>
          <w:sz w:val="24"/>
          <w:szCs w:val="24"/>
        </w:rPr>
        <w:t>‘</w:t>
      </w:r>
      <w:r w:rsidRPr="007E34A1">
        <w:rPr>
          <w:rFonts w:ascii="Tahoma" w:eastAsia="Calibri" w:hAnsi="Tahoma" w:cs="Tahoma"/>
          <w:sz w:val="24"/>
          <w:szCs w:val="24"/>
        </w:rPr>
        <w:t xml:space="preserve">Osterwalder’s </w:t>
      </w:r>
      <w:r w:rsidR="00207674" w:rsidRPr="007E34A1">
        <w:rPr>
          <w:rFonts w:ascii="Tahoma" w:eastAsia="Calibri" w:hAnsi="Tahoma" w:cs="Tahoma"/>
          <w:sz w:val="24"/>
          <w:szCs w:val="24"/>
        </w:rPr>
        <w:t>BMC</w:t>
      </w:r>
      <w:r w:rsidRPr="007E34A1">
        <w:rPr>
          <w:rFonts w:ascii="Tahoma" w:eastAsia="Calibri" w:hAnsi="Tahoma" w:cs="Tahoma"/>
          <w:sz w:val="24"/>
          <w:szCs w:val="24"/>
        </w:rPr>
        <w:t>: Its genesis, features, comparison, benefits and limitations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Westcliff International Journal of Applied Research</w:t>
      </w:r>
      <w:r w:rsidRPr="007E34A1">
        <w:rPr>
          <w:rFonts w:ascii="Tahoma" w:eastAsia="Calibri" w:hAnsi="Tahoma" w:cs="Tahoma"/>
          <w:sz w:val="24"/>
          <w:szCs w:val="24"/>
        </w:rPr>
        <w:t xml:space="preserve">, </w:t>
      </w:r>
      <w:r w:rsidR="000C2E3F">
        <w:rPr>
          <w:rFonts w:ascii="Tahoma" w:eastAsia="Calibri" w:hAnsi="Tahoma" w:cs="Tahoma"/>
          <w:sz w:val="24"/>
          <w:szCs w:val="24"/>
        </w:rPr>
        <w:t>1(2)</w:t>
      </w:r>
      <w:r w:rsidRPr="007E34A1">
        <w:rPr>
          <w:rFonts w:ascii="Tahoma" w:eastAsia="Calibri" w:hAnsi="Tahoma" w:cs="Tahoma"/>
          <w:sz w:val="24"/>
          <w:szCs w:val="24"/>
        </w:rPr>
        <w:t>, pp. 24- 28.</w:t>
      </w:r>
    </w:p>
    <w:p w14:paraId="621E95A5" w14:textId="24A7AC74" w:rsidR="004F1FF6" w:rsidRPr="007E34A1" w:rsidRDefault="004F1FF6"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McGrath, R.G. (2010) </w:t>
      </w:r>
      <w:r w:rsidR="000E0FDA" w:rsidRPr="007E34A1">
        <w:rPr>
          <w:rFonts w:ascii="Tahoma" w:eastAsia="Calibri" w:hAnsi="Tahoma" w:cs="Tahoma"/>
          <w:sz w:val="24"/>
          <w:szCs w:val="24"/>
        </w:rPr>
        <w:t>‘</w:t>
      </w:r>
      <w:r w:rsidRPr="007E34A1">
        <w:rPr>
          <w:rFonts w:ascii="Tahoma" w:eastAsia="Calibri" w:hAnsi="Tahoma" w:cs="Tahoma"/>
          <w:sz w:val="24"/>
          <w:szCs w:val="24"/>
        </w:rPr>
        <w:t>Business models: A discovery driven approach</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Long Range Planning</w:t>
      </w:r>
      <w:r w:rsidRPr="007E34A1">
        <w:rPr>
          <w:rFonts w:ascii="Tahoma" w:eastAsia="Calibri" w:hAnsi="Tahoma" w:cs="Tahoma"/>
          <w:sz w:val="24"/>
          <w:szCs w:val="24"/>
        </w:rPr>
        <w:t xml:space="preserve">, </w:t>
      </w:r>
      <w:r w:rsidR="000C2E3F">
        <w:rPr>
          <w:rFonts w:ascii="Tahoma" w:eastAsia="Calibri" w:hAnsi="Tahoma" w:cs="Tahoma"/>
          <w:sz w:val="24"/>
          <w:szCs w:val="24"/>
        </w:rPr>
        <w:t>43(2)</w:t>
      </w:r>
      <w:r w:rsidRPr="007E34A1">
        <w:rPr>
          <w:rFonts w:ascii="Tahoma" w:eastAsia="Calibri" w:hAnsi="Tahoma" w:cs="Tahoma"/>
          <w:sz w:val="24"/>
          <w:szCs w:val="24"/>
        </w:rPr>
        <w:t>, pp. 247-263.</w:t>
      </w:r>
    </w:p>
    <w:p w14:paraId="2D7B3DF6" w14:textId="70E20BCC" w:rsidR="00487ADD" w:rsidRPr="007E34A1" w:rsidRDefault="00487ADD"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Massa, L., Tucci, C.L., and Afuah, A. (2016) </w:t>
      </w:r>
      <w:r w:rsidR="000E0FDA" w:rsidRPr="007E34A1">
        <w:rPr>
          <w:rFonts w:ascii="Tahoma" w:eastAsia="Calibri" w:hAnsi="Tahoma" w:cs="Tahoma"/>
          <w:sz w:val="24"/>
          <w:szCs w:val="24"/>
        </w:rPr>
        <w:t>‘</w:t>
      </w:r>
      <w:r w:rsidRPr="007E34A1">
        <w:rPr>
          <w:rFonts w:ascii="Tahoma" w:eastAsia="Calibri" w:hAnsi="Tahoma" w:cs="Tahoma"/>
          <w:sz w:val="24"/>
          <w:szCs w:val="24"/>
        </w:rPr>
        <w:t>A critical assessment of business model research</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Academy of Management Annals</w:t>
      </w:r>
      <w:r w:rsidRPr="007E34A1">
        <w:rPr>
          <w:rFonts w:ascii="Tahoma" w:eastAsia="Calibri" w:hAnsi="Tahoma" w:cs="Tahoma"/>
          <w:sz w:val="24"/>
          <w:szCs w:val="24"/>
        </w:rPr>
        <w:t xml:space="preserve">, </w:t>
      </w:r>
      <w:r w:rsidR="007D7942">
        <w:rPr>
          <w:rFonts w:ascii="Tahoma" w:eastAsia="Calibri" w:hAnsi="Tahoma" w:cs="Tahoma"/>
          <w:sz w:val="24"/>
          <w:szCs w:val="24"/>
        </w:rPr>
        <w:t xml:space="preserve">11(1). Doi: </w:t>
      </w:r>
      <w:hyperlink r:id="rId26" w:history="1">
        <w:r w:rsidRPr="007E34A1">
          <w:rPr>
            <w:rStyle w:val="Hyperlink"/>
            <w:rFonts w:ascii="Tahoma" w:eastAsia="Calibri" w:hAnsi="Tahoma" w:cs="Tahoma"/>
            <w:sz w:val="24"/>
            <w:szCs w:val="24"/>
          </w:rPr>
          <w:t>https://doi.org/10.5465/annals.2014.0072</w:t>
        </w:r>
      </w:hyperlink>
    </w:p>
    <w:p w14:paraId="2F24AE7B" w14:textId="27E6CC85"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Mintzberg, H. (2004) </w:t>
      </w:r>
      <w:r w:rsidRPr="007E34A1">
        <w:rPr>
          <w:rFonts w:ascii="Tahoma" w:eastAsia="Calibri" w:hAnsi="Tahoma" w:cs="Tahoma"/>
          <w:i/>
          <w:iCs/>
          <w:sz w:val="24"/>
          <w:szCs w:val="24"/>
        </w:rPr>
        <w:t>Managers not MBAs</w:t>
      </w:r>
      <w:r w:rsidRPr="007E34A1">
        <w:rPr>
          <w:rFonts w:ascii="Tahoma" w:eastAsia="Calibri" w:hAnsi="Tahoma" w:cs="Tahoma"/>
          <w:sz w:val="24"/>
          <w:szCs w:val="24"/>
        </w:rPr>
        <w:t>, Pearson</w:t>
      </w:r>
      <w:r w:rsidR="000C2E3F">
        <w:rPr>
          <w:rFonts w:ascii="Tahoma" w:eastAsia="Calibri" w:hAnsi="Tahoma" w:cs="Tahoma"/>
          <w:sz w:val="24"/>
          <w:szCs w:val="24"/>
        </w:rPr>
        <w:t>:</w:t>
      </w:r>
      <w:r w:rsidRPr="007E34A1">
        <w:rPr>
          <w:rFonts w:ascii="Tahoma" w:eastAsia="Calibri" w:hAnsi="Tahoma" w:cs="Tahoma"/>
          <w:sz w:val="24"/>
          <w:szCs w:val="24"/>
        </w:rPr>
        <w:t xml:space="preserve"> London. </w:t>
      </w:r>
    </w:p>
    <w:p w14:paraId="44ED6B77" w14:textId="1788F89D"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Nicolaides, A., and McCallum, D.C. (2013) </w:t>
      </w:r>
      <w:r w:rsidR="000E0FDA" w:rsidRPr="007E34A1">
        <w:rPr>
          <w:rFonts w:ascii="Tahoma" w:eastAsia="Calibri" w:hAnsi="Tahoma" w:cs="Tahoma"/>
          <w:sz w:val="24"/>
          <w:szCs w:val="24"/>
        </w:rPr>
        <w:t>‘</w:t>
      </w:r>
      <w:r w:rsidRPr="007E34A1">
        <w:rPr>
          <w:rFonts w:ascii="Tahoma" w:eastAsia="Calibri" w:hAnsi="Tahoma" w:cs="Tahoma"/>
          <w:sz w:val="24"/>
          <w:szCs w:val="24"/>
        </w:rPr>
        <w:t>Inquiry in action for leadership in turbulent times: Exploring the connections between transformative learning and adaptive leadership</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 xml:space="preserve">Journal of Transformative Education, </w:t>
      </w:r>
      <w:r w:rsidR="007D7942">
        <w:rPr>
          <w:rFonts w:ascii="Tahoma" w:eastAsia="Calibri" w:hAnsi="Tahoma" w:cs="Tahoma"/>
          <w:sz w:val="24"/>
          <w:szCs w:val="24"/>
        </w:rPr>
        <w:t xml:space="preserve">11(4), </w:t>
      </w:r>
      <w:r w:rsidRPr="007E34A1">
        <w:rPr>
          <w:rFonts w:ascii="Tahoma" w:eastAsia="Calibri" w:hAnsi="Tahoma" w:cs="Tahoma"/>
          <w:sz w:val="24"/>
          <w:szCs w:val="24"/>
        </w:rPr>
        <w:t xml:space="preserve">pp. 246-260. </w:t>
      </w:r>
      <w:r w:rsidR="007D7942">
        <w:rPr>
          <w:rFonts w:ascii="Tahoma" w:eastAsia="Calibri" w:hAnsi="Tahoma" w:cs="Tahoma"/>
          <w:sz w:val="24"/>
          <w:szCs w:val="24"/>
        </w:rPr>
        <w:t>Doi:</w:t>
      </w:r>
      <w:r w:rsidRPr="007E34A1">
        <w:rPr>
          <w:rFonts w:ascii="Tahoma" w:eastAsia="Calibri" w:hAnsi="Tahoma" w:cs="Tahoma"/>
          <w:sz w:val="24"/>
          <w:szCs w:val="24"/>
        </w:rPr>
        <w:t xml:space="preserve"> </w:t>
      </w:r>
      <w:hyperlink r:id="rId27" w:history="1">
        <w:r w:rsidRPr="007E34A1">
          <w:rPr>
            <w:rFonts w:ascii="Tahoma" w:eastAsia="Calibri" w:hAnsi="Tahoma" w:cs="Tahoma"/>
            <w:color w:val="0563C1"/>
            <w:sz w:val="24"/>
            <w:szCs w:val="24"/>
            <w:u w:val="single"/>
          </w:rPr>
          <w:t>https://doi.org/10.1177/1541344614540333</w:t>
        </w:r>
      </w:hyperlink>
      <w:r w:rsidR="003920DF">
        <w:rPr>
          <w:rFonts w:ascii="Tahoma" w:eastAsia="Calibri" w:hAnsi="Tahoma" w:cs="Tahoma"/>
          <w:sz w:val="24"/>
          <w:szCs w:val="24"/>
        </w:rPr>
        <w:t xml:space="preserve"> </w:t>
      </w:r>
    </w:p>
    <w:p w14:paraId="3CC56F2A" w14:textId="052615D4" w:rsidR="00AB02A9" w:rsidRPr="007E34A1" w:rsidRDefault="00AB02A9" w:rsidP="007E34A1">
      <w:pPr>
        <w:spacing w:line="360" w:lineRule="auto"/>
        <w:rPr>
          <w:rFonts w:ascii="Tahoma" w:eastAsia="Calibri" w:hAnsi="Tahoma" w:cs="Tahoma"/>
          <w:color w:val="000000" w:themeColor="text1"/>
          <w:sz w:val="24"/>
          <w:szCs w:val="24"/>
        </w:rPr>
      </w:pPr>
      <w:r w:rsidRPr="00CA31E4">
        <w:rPr>
          <w:rFonts w:ascii="Tahoma" w:eastAsia="Calibri" w:hAnsi="Tahoma" w:cs="Tahoma"/>
          <w:color w:val="000000" w:themeColor="text1"/>
          <w:sz w:val="24"/>
          <w:szCs w:val="24"/>
        </w:rPr>
        <w:t>Osterwalder, A. (2004)</w:t>
      </w:r>
      <w:r w:rsidR="000C2E3F" w:rsidRPr="00CA31E4">
        <w:rPr>
          <w:rFonts w:ascii="Tahoma" w:eastAsia="Calibri" w:hAnsi="Tahoma" w:cs="Tahoma"/>
          <w:color w:val="000000" w:themeColor="text1"/>
          <w:sz w:val="24"/>
          <w:szCs w:val="24"/>
        </w:rPr>
        <w:t xml:space="preserve"> </w:t>
      </w:r>
      <w:r w:rsidRPr="00CA31E4">
        <w:rPr>
          <w:rFonts w:ascii="Tahoma" w:eastAsia="Calibri" w:hAnsi="Tahoma" w:cs="Tahoma"/>
          <w:i/>
          <w:color w:val="000000" w:themeColor="text1"/>
          <w:sz w:val="24"/>
          <w:szCs w:val="24"/>
        </w:rPr>
        <w:t>The business model ontology: A proposition in a design science approach</w:t>
      </w:r>
      <w:r w:rsidR="00C6197E" w:rsidRPr="00CA31E4">
        <w:rPr>
          <w:rFonts w:ascii="Tahoma" w:eastAsia="Calibri" w:hAnsi="Tahoma" w:cs="Tahoma"/>
          <w:i/>
          <w:color w:val="000000" w:themeColor="text1"/>
          <w:sz w:val="24"/>
          <w:szCs w:val="24"/>
        </w:rPr>
        <w:t>.</w:t>
      </w:r>
      <w:r w:rsidRPr="00CA31E4">
        <w:rPr>
          <w:rFonts w:ascii="Tahoma" w:eastAsia="Calibri" w:hAnsi="Tahoma" w:cs="Tahoma"/>
          <w:color w:val="000000" w:themeColor="text1"/>
          <w:sz w:val="24"/>
          <w:szCs w:val="24"/>
        </w:rPr>
        <w:t xml:space="preserve"> Unpublished PhD Thesis</w:t>
      </w:r>
      <w:r w:rsidR="00C6197E" w:rsidRPr="00CA31E4">
        <w:rPr>
          <w:rFonts w:ascii="Tahoma" w:eastAsia="Calibri" w:hAnsi="Tahoma" w:cs="Tahoma"/>
          <w:color w:val="000000" w:themeColor="text1"/>
          <w:sz w:val="24"/>
          <w:szCs w:val="24"/>
        </w:rPr>
        <w:t>.</w:t>
      </w:r>
      <w:r w:rsidRPr="00CA31E4">
        <w:rPr>
          <w:rFonts w:ascii="Tahoma" w:eastAsia="Calibri" w:hAnsi="Tahoma" w:cs="Tahoma"/>
          <w:color w:val="000000" w:themeColor="text1"/>
          <w:sz w:val="24"/>
          <w:szCs w:val="24"/>
        </w:rPr>
        <w:t xml:space="preserve"> University of Lausanne, Lausanne.</w:t>
      </w:r>
      <w:r w:rsidR="00CA31E4">
        <w:rPr>
          <w:rFonts w:ascii="Tahoma" w:eastAsia="Calibri" w:hAnsi="Tahoma" w:cs="Tahoma"/>
          <w:color w:val="000000" w:themeColor="text1"/>
          <w:sz w:val="24"/>
          <w:szCs w:val="24"/>
        </w:rPr>
        <w:t xml:space="preserve"> </w:t>
      </w:r>
    </w:p>
    <w:p w14:paraId="0FF9511B" w14:textId="6F07967F"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Osterwalder, A., Pigneur, Y., and Smith, A. (2010) </w:t>
      </w:r>
      <w:r w:rsidRPr="007E34A1">
        <w:rPr>
          <w:rFonts w:ascii="Tahoma" w:eastAsia="Calibri" w:hAnsi="Tahoma" w:cs="Tahoma"/>
          <w:i/>
          <w:sz w:val="24"/>
          <w:szCs w:val="24"/>
        </w:rPr>
        <w:t>Business Model Generation – A Handbook for Visionaries, Game Changers, and Challengers</w:t>
      </w:r>
      <w:r w:rsidRPr="007E34A1">
        <w:rPr>
          <w:rFonts w:ascii="Tahoma" w:eastAsia="Calibri" w:hAnsi="Tahoma" w:cs="Tahoma"/>
          <w:sz w:val="24"/>
          <w:szCs w:val="24"/>
        </w:rPr>
        <w:t>. John Wiley &amp; Sons Inc</w:t>
      </w:r>
      <w:r w:rsidR="000C2E3F">
        <w:rPr>
          <w:rFonts w:ascii="Tahoma" w:eastAsia="Calibri" w:hAnsi="Tahoma" w:cs="Tahoma"/>
          <w:sz w:val="24"/>
          <w:szCs w:val="24"/>
        </w:rPr>
        <w:t xml:space="preserve">: </w:t>
      </w:r>
      <w:r w:rsidRPr="007E34A1">
        <w:rPr>
          <w:rFonts w:ascii="Tahoma" w:eastAsia="Calibri" w:hAnsi="Tahoma" w:cs="Tahoma"/>
          <w:sz w:val="24"/>
          <w:szCs w:val="24"/>
        </w:rPr>
        <w:t>Hoboken, NJ.</w:t>
      </w:r>
    </w:p>
    <w:p w14:paraId="7F834923" w14:textId="16A0F450" w:rsidR="006F13D0" w:rsidRPr="007E34A1" w:rsidRDefault="006F13D0"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Prahalad, C.K. and Ramaswamy, V. (2004) </w:t>
      </w:r>
      <w:r w:rsidR="000E0FDA" w:rsidRPr="007E34A1">
        <w:rPr>
          <w:rFonts w:ascii="Tahoma" w:eastAsia="Calibri" w:hAnsi="Tahoma" w:cs="Tahoma"/>
          <w:sz w:val="24"/>
          <w:szCs w:val="24"/>
        </w:rPr>
        <w:t>‘</w:t>
      </w:r>
      <w:r w:rsidRPr="007E34A1">
        <w:rPr>
          <w:rFonts w:ascii="Tahoma" w:eastAsia="Calibri" w:hAnsi="Tahoma" w:cs="Tahoma"/>
          <w:sz w:val="24"/>
          <w:szCs w:val="24"/>
        </w:rPr>
        <w:t>Co-creation experiences: the next practice in value creation</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Journal of Interactive Marketing</w:t>
      </w:r>
      <w:r w:rsidRPr="007E34A1">
        <w:rPr>
          <w:rFonts w:ascii="Tahoma" w:eastAsia="Calibri" w:hAnsi="Tahoma" w:cs="Tahoma"/>
          <w:sz w:val="24"/>
          <w:szCs w:val="24"/>
        </w:rPr>
        <w:t xml:space="preserve">, </w:t>
      </w:r>
      <w:r w:rsidR="007D7942">
        <w:rPr>
          <w:rFonts w:ascii="Tahoma" w:eastAsia="Calibri" w:hAnsi="Tahoma" w:cs="Tahoma"/>
          <w:sz w:val="24"/>
          <w:szCs w:val="24"/>
        </w:rPr>
        <w:t>18(3)</w:t>
      </w:r>
      <w:r w:rsidRPr="007E34A1">
        <w:rPr>
          <w:rFonts w:ascii="Tahoma" w:eastAsia="Calibri" w:hAnsi="Tahoma" w:cs="Tahoma"/>
          <w:sz w:val="24"/>
          <w:szCs w:val="24"/>
        </w:rPr>
        <w:t>, pp. 5-14.</w:t>
      </w:r>
    </w:p>
    <w:p w14:paraId="7A001C90" w14:textId="08A1F3B4"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Pfeffer, J. and Fong, C. T. (2002) </w:t>
      </w:r>
      <w:r w:rsidR="000E0FDA" w:rsidRPr="007E34A1">
        <w:rPr>
          <w:rFonts w:ascii="Tahoma" w:eastAsia="Calibri" w:hAnsi="Tahoma" w:cs="Tahoma"/>
          <w:sz w:val="24"/>
          <w:szCs w:val="24"/>
        </w:rPr>
        <w:t>‘</w:t>
      </w:r>
      <w:r w:rsidRPr="007E34A1">
        <w:rPr>
          <w:rFonts w:ascii="Tahoma" w:eastAsia="Calibri" w:hAnsi="Tahoma" w:cs="Tahoma"/>
          <w:sz w:val="24"/>
          <w:szCs w:val="24"/>
        </w:rPr>
        <w:t>The end of business schools? Less success than meets the eye</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Academy of Management Learning &amp; Education</w:t>
      </w:r>
      <w:r w:rsidRPr="007E34A1">
        <w:rPr>
          <w:rFonts w:ascii="Tahoma" w:eastAsia="Calibri" w:hAnsi="Tahoma" w:cs="Tahoma"/>
          <w:sz w:val="24"/>
          <w:szCs w:val="24"/>
        </w:rPr>
        <w:t xml:space="preserve">, </w:t>
      </w:r>
      <w:r w:rsidR="007D7942">
        <w:rPr>
          <w:rFonts w:ascii="Tahoma" w:eastAsia="Calibri" w:hAnsi="Tahoma" w:cs="Tahoma"/>
          <w:sz w:val="24"/>
          <w:szCs w:val="24"/>
        </w:rPr>
        <w:t>1(1)</w:t>
      </w:r>
      <w:r w:rsidRPr="007E34A1">
        <w:rPr>
          <w:rFonts w:ascii="Tahoma" w:eastAsia="Calibri" w:hAnsi="Tahoma" w:cs="Tahoma"/>
          <w:sz w:val="24"/>
          <w:szCs w:val="24"/>
        </w:rPr>
        <w:t>, pp. 78-95.</w:t>
      </w:r>
    </w:p>
    <w:p w14:paraId="662F6346" w14:textId="79855D63" w:rsidR="00695BB8" w:rsidRPr="007E34A1" w:rsidRDefault="00695BB8" w:rsidP="007E34A1">
      <w:pPr>
        <w:spacing w:line="360" w:lineRule="auto"/>
        <w:rPr>
          <w:rFonts w:ascii="Tahoma" w:eastAsia="Calibri" w:hAnsi="Tahoma" w:cs="Tahoma"/>
          <w:sz w:val="24"/>
          <w:szCs w:val="24"/>
        </w:rPr>
      </w:pPr>
      <w:r w:rsidRPr="007E34A1">
        <w:rPr>
          <w:rFonts w:ascii="Tahoma" w:eastAsia="Calibri" w:hAnsi="Tahoma" w:cs="Tahoma"/>
          <w:sz w:val="24"/>
          <w:szCs w:val="24"/>
        </w:rPr>
        <w:t>PRME (2022)</w:t>
      </w:r>
      <w:r w:rsidR="000C2E3F">
        <w:rPr>
          <w:rFonts w:ascii="Tahoma" w:eastAsia="Calibri" w:hAnsi="Tahoma" w:cs="Tahoma"/>
          <w:sz w:val="24"/>
          <w:szCs w:val="24"/>
        </w:rPr>
        <w:t xml:space="preserve"> </w:t>
      </w:r>
      <w:r w:rsidRPr="000C2E3F">
        <w:rPr>
          <w:rFonts w:ascii="Tahoma" w:eastAsia="Calibri" w:hAnsi="Tahoma" w:cs="Tahoma"/>
          <w:i/>
          <w:iCs/>
          <w:sz w:val="24"/>
          <w:szCs w:val="24"/>
        </w:rPr>
        <w:t>Revisit the best 10 Lists curated by the PRME community</w:t>
      </w:r>
      <w:r w:rsidR="000C2E3F">
        <w:rPr>
          <w:rFonts w:ascii="Tahoma" w:eastAsia="Calibri" w:hAnsi="Tahoma" w:cs="Tahoma"/>
          <w:sz w:val="24"/>
          <w:szCs w:val="24"/>
        </w:rPr>
        <w:t>.</w:t>
      </w:r>
      <w:r w:rsidRPr="007E34A1">
        <w:rPr>
          <w:rFonts w:ascii="Tahoma" w:eastAsia="Calibri" w:hAnsi="Tahoma" w:cs="Tahoma"/>
          <w:sz w:val="24"/>
          <w:szCs w:val="24"/>
        </w:rPr>
        <w:t xml:space="preserve"> </w:t>
      </w:r>
      <w:r w:rsidR="000C2E3F">
        <w:rPr>
          <w:rFonts w:ascii="Tahoma" w:eastAsia="Calibri" w:hAnsi="Tahoma" w:cs="Tahoma"/>
          <w:sz w:val="24"/>
          <w:szCs w:val="24"/>
        </w:rPr>
        <w:t>A</w:t>
      </w:r>
      <w:r w:rsidRPr="007E34A1">
        <w:rPr>
          <w:rFonts w:ascii="Tahoma" w:eastAsia="Calibri" w:hAnsi="Tahoma" w:cs="Tahoma"/>
          <w:sz w:val="24"/>
          <w:szCs w:val="24"/>
        </w:rPr>
        <w:t>vailable at:</w:t>
      </w:r>
      <w:r w:rsidR="003920DF">
        <w:rPr>
          <w:rFonts w:ascii="Tahoma" w:eastAsia="Calibri" w:hAnsi="Tahoma" w:cs="Tahoma"/>
          <w:sz w:val="24"/>
          <w:szCs w:val="24"/>
        </w:rPr>
        <w:t xml:space="preserve"> </w:t>
      </w:r>
      <w:hyperlink r:id="rId28" w:history="1">
        <w:r w:rsidRPr="007E34A1">
          <w:rPr>
            <w:rStyle w:val="Hyperlink"/>
            <w:rFonts w:ascii="Tahoma" w:eastAsia="Calibri" w:hAnsi="Tahoma" w:cs="Tahoma"/>
            <w:sz w:val="24"/>
            <w:szCs w:val="24"/>
          </w:rPr>
          <w:t>https://www.unprme.org/</w:t>
        </w:r>
      </w:hyperlink>
      <w:r w:rsidRPr="007E34A1">
        <w:rPr>
          <w:rFonts w:ascii="Tahoma" w:eastAsia="Calibri" w:hAnsi="Tahoma" w:cs="Tahoma"/>
          <w:sz w:val="24"/>
          <w:szCs w:val="24"/>
        </w:rPr>
        <w:t xml:space="preserve"> (Accessed 11 September 2022)</w:t>
      </w:r>
      <w:r w:rsidR="000C2E3F">
        <w:rPr>
          <w:rFonts w:ascii="Tahoma" w:eastAsia="Calibri" w:hAnsi="Tahoma" w:cs="Tahoma"/>
          <w:sz w:val="24"/>
          <w:szCs w:val="24"/>
        </w:rPr>
        <w:t>.</w:t>
      </w:r>
    </w:p>
    <w:p w14:paraId="1D319D76" w14:textId="0956653D" w:rsidR="006F13D0" w:rsidRPr="007E34A1" w:rsidRDefault="006F13D0"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Ramaswamy, V. (2009) </w:t>
      </w:r>
      <w:r w:rsidR="000E0FDA" w:rsidRPr="007E34A1">
        <w:rPr>
          <w:rFonts w:ascii="Tahoma" w:eastAsia="Calibri" w:hAnsi="Tahoma" w:cs="Tahoma"/>
          <w:sz w:val="24"/>
          <w:szCs w:val="24"/>
        </w:rPr>
        <w:t>‘</w:t>
      </w:r>
      <w:r w:rsidRPr="007E34A1">
        <w:rPr>
          <w:rFonts w:ascii="Tahoma" w:eastAsia="Calibri" w:hAnsi="Tahoma" w:cs="Tahoma"/>
          <w:sz w:val="24"/>
          <w:szCs w:val="24"/>
        </w:rPr>
        <w:t>Co-creation of value- towards an expanded paradigm of value creation</w:t>
      </w:r>
      <w:r w:rsidR="000E0FDA" w:rsidRPr="007E34A1">
        <w:rPr>
          <w:rFonts w:ascii="Tahoma" w:eastAsia="Calibri" w:hAnsi="Tahoma" w:cs="Tahoma"/>
          <w:sz w:val="24"/>
          <w:szCs w:val="24"/>
        </w:rPr>
        <w:t>’</w:t>
      </w:r>
      <w:r w:rsidRPr="007E34A1">
        <w:rPr>
          <w:rFonts w:ascii="Tahoma" w:eastAsia="Calibri" w:hAnsi="Tahoma" w:cs="Tahoma"/>
          <w:sz w:val="24"/>
          <w:szCs w:val="24"/>
        </w:rPr>
        <w:t>, Marketing Review St Gallen, 6, pp. 11-17.</w:t>
      </w:r>
    </w:p>
    <w:p w14:paraId="5BC095D2" w14:textId="7D246603" w:rsidR="00271699" w:rsidRPr="007E34A1" w:rsidRDefault="00271699" w:rsidP="007E34A1">
      <w:pPr>
        <w:spacing w:line="360" w:lineRule="auto"/>
        <w:rPr>
          <w:rFonts w:ascii="Tahoma" w:eastAsia="Calibri" w:hAnsi="Tahoma" w:cs="Tahoma"/>
          <w:sz w:val="24"/>
          <w:szCs w:val="24"/>
        </w:rPr>
      </w:pPr>
      <w:r w:rsidRPr="007E34A1">
        <w:rPr>
          <w:rFonts w:ascii="Tahoma" w:eastAsia="Calibri" w:hAnsi="Tahoma" w:cs="Tahoma"/>
          <w:sz w:val="24"/>
          <w:szCs w:val="24"/>
        </w:rPr>
        <w:lastRenderedPageBreak/>
        <w:t xml:space="preserve">Rasmussen, B. (2007) </w:t>
      </w:r>
      <w:r w:rsidR="000E0FDA" w:rsidRPr="007E34A1">
        <w:rPr>
          <w:rFonts w:ascii="Tahoma" w:eastAsia="Calibri" w:hAnsi="Tahoma" w:cs="Tahoma"/>
          <w:sz w:val="24"/>
          <w:szCs w:val="24"/>
        </w:rPr>
        <w:t>‘</w:t>
      </w:r>
      <w:r w:rsidRPr="007E34A1">
        <w:rPr>
          <w:rFonts w:ascii="Tahoma" w:eastAsia="Calibri" w:hAnsi="Tahoma" w:cs="Tahoma"/>
          <w:sz w:val="24"/>
          <w:szCs w:val="24"/>
        </w:rPr>
        <w:t>Business models and the theory of the firm</w:t>
      </w:r>
      <w:r w:rsidR="000E0FDA" w:rsidRPr="007E34A1">
        <w:rPr>
          <w:rFonts w:ascii="Tahoma" w:eastAsia="Calibri" w:hAnsi="Tahoma" w:cs="Tahoma"/>
          <w:sz w:val="24"/>
          <w:szCs w:val="24"/>
        </w:rPr>
        <w:t>’</w:t>
      </w:r>
      <w:r w:rsidR="007D7942">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Working Paper 32</w:t>
      </w:r>
      <w:r w:rsidRPr="007E34A1">
        <w:rPr>
          <w:rFonts w:ascii="Tahoma" w:eastAsia="Calibri" w:hAnsi="Tahoma" w:cs="Tahoma"/>
          <w:sz w:val="24"/>
          <w:szCs w:val="24"/>
        </w:rPr>
        <w:t>, CSES, Victoria University, Melbourne.</w:t>
      </w:r>
    </w:p>
    <w:p w14:paraId="2AE68DA1" w14:textId="4FE7947D"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Roos, </w:t>
      </w:r>
      <w:r w:rsidR="00557D58" w:rsidRPr="007E34A1">
        <w:rPr>
          <w:rFonts w:ascii="Tahoma" w:eastAsia="Calibri" w:hAnsi="Tahoma" w:cs="Tahoma"/>
          <w:sz w:val="24"/>
          <w:szCs w:val="24"/>
        </w:rPr>
        <w:t xml:space="preserve">J. </w:t>
      </w:r>
      <w:r w:rsidRPr="007E34A1">
        <w:rPr>
          <w:rFonts w:ascii="Tahoma" w:eastAsia="Calibri" w:hAnsi="Tahoma" w:cs="Tahoma"/>
          <w:sz w:val="24"/>
          <w:szCs w:val="24"/>
        </w:rPr>
        <w:t xml:space="preserve">(2022) </w:t>
      </w:r>
      <w:r w:rsidR="000E0FDA" w:rsidRPr="007E34A1">
        <w:rPr>
          <w:rFonts w:ascii="Tahoma" w:eastAsia="Calibri" w:hAnsi="Tahoma" w:cs="Tahoma"/>
          <w:sz w:val="24"/>
          <w:szCs w:val="24"/>
        </w:rPr>
        <w:t>‘</w:t>
      </w:r>
      <w:r w:rsidRPr="007E34A1">
        <w:rPr>
          <w:rFonts w:ascii="Tahoma" w:eastAsia="Calibri" w:hAnsi="Tahoma" w:cs="Tahoma"/>
          <w:sz w:val="24"/>
          <w:szCs w:val="24"/>
        </w:rPr>
        <w:t>Executive education 2.0 coming right up</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Iniguez, S. and Lorange, P. (Eds.) </w:t>
      </w:r>
      <w:r w:rsidRPr="007E34A1">
        <w:rPr>
          <w:rFonts w:ascii="Tahoma" w:eastAsia="Calibri" w:hAnsi="Tahoma" w:cs="Tahoma"/>
          <w:i/>
          <w:sz w:val="24"/>
          <w:szCs w:val="24"/>
        </w:rPr>
        <w:t>Executive Education After the Pandemic: A Vision for the Future</w:t>
      </w:r>
      <w:r w:rsidR="007D7942">
        <w:rPr>
          <w:rFonts w:ascii="Tahoma" w:eastAsia="Calibri" w:hAnsi="Tahoma" w:cs="Tahoma"/>
          <w:i/>
          <w:sz w:val="24"/>
          <w:szCs w:val="24"/>
        </w:rPr>
        <w:t>.</w:t>
      </w:r>
      <w:r w:rsidRPr="007E34A1">
        <w:rPr>
          <w:rFonts w:ascii="Tahoma" w:eastAsia="Calibri" w:hAnsi="Tahoma" w:cs="Tahoma"/>
          <w:sz w:val="24"/>
          <w:szCs w:val="24"/>
        </w:rPr>
        <w:t xml:space="preserve"> Pal</w:t>
      </w:r>
      <w:r w:rsidR="000E6D02">
        <w:rPr>
          <w:rFonts w:ascii="Tahoma" w:eastAsia="Calibri" w:hAnsi="Tahoma" w:cs="Tahoma"/>
          <w:sz w:val="24"/>
          <w:szCs w:val="24"/>
        </w:rPr>
        <w:t>g</w:t>
      </w:r>
      <w:r w:rsidRPr="007E34A1">
        <w:rPr>
          <w:rFonts w:ascii="Tahoma" w:eastAsia="Calibri" w:hAnsi="Tahoma" w:cs="Tahoma"/>
          <w:sz w:val="24"/>
          <w:szCs w:val="24"/>
        </w:rPr>
        <w:t>rave</w:t>
      </w:r>
      <w:r w:rsidR="007D7942">
        <w:rPr>
          <w:rFonts w:ascii="Tahoma" w:eastAsia="Calibri" w:hAnsi="Tahoma" w:cs="Tahoma"/>
          <w:sz w:val="24"/>
          <w:szCs w:val="24"/>
        </w:rPr>
        <w:t>:</w:t>
      </w:r>
      <w:r w:rsidRPr="007E34A1">
        <w:rPr>
          <w:rFonts w:ascii="Tahoma" w:eastAsia="Calibri" w:hAnsi="Tahoma" w:cs="Tahoma"/>
          <w:sz w:val="24"/>
          <w:szCs w:val="24"/>
        </w:rPr>
        <w:t xml:space="preserve"> London</w:t>
      </w:r>
      <w:r w:rsidR="007D7942">
        <w:rPr>
          <w:rFonts w:ascii="Tahoma" w:eastAsia="Calibri" w:hAnsi="Tahoma" w:cs="Tahoma"/>
          <w:sz w:val="24"/>
          <w:szCs w:val="24"/>
        </w:rPr>
        <w:t xml:space="preserve">, </w:t>
      </w:r>
      <w:r w:rsidRPr="007E34A1">
        <w:rPr>
          <w:rFonts w:ascii="Tahoma" w:eastAsia="Calibri" w:hAnsi="Tahoma" w:cs="Tahoma"/>
          <w:sz w:val="24"/>
          <w:szCs w:val="24"/>
        </w:rPr>
        <w:t>pp. 47-55</w:t>
      </w:r>
      <w:r w:rsidR="007D7942">
        <w:rPr>
          <w:rFonts w:ascii="Tahoma" w:eastAsia="Calibri" w:hAnsi="Tahoma" w:cs="Tahoma"/>
          <w:sz w:val="24"/>
          <w:szCs w:val="24"/>
        </w:rPr>
        <w:t>.</w:t>
      </w:r>
    </w:p>
    <w:p w14:paraId="1C7C3670" w14:textId="7C86F68C" w:rsidR="00695BB8" w:rsidRPr="007E34A1" w:rsidRDefault="00695BB8"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Ruggerio, C. A. (2021) </w:t>
      </w:r>
      <w:r w:rsidR="000E0FDA" w:rsidRPr="007E34A1">
        <w:rPr>
          <w:rFonts w:ascii="Tahoma" w:eastAsia="Calibri" w:hAnsi="Tahoma" w:cs="Tahoma"/>
          <w:sz w:val="24"/>
          <w:szCs w:val="24"/>
        </w:rPr>
        <w:t>‘</w:t>
      </w:r>
      <w:r w:rsidRPr="007E34A1">
        <w:rPr>
          <w:rFonts w:ascii="Tahoma" w:eastAsia="Calibri" w:hAnsi="Tahoma" w:cs="Tahoma"/>
          <w:sz w:val="24"/>
          <w:szCs w:val="24"/>
        </w:rPr>
        <w:t>Sustainability and sustainable development: A review of principles and definitions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Science of The Total Environment</w:t>
      </w:r>
      <w:r w:rsidRPr="007E34A1">
        <w:rPr>
          <w:rFonts w:ascii="Tahoma" w:eastAsia="Calibri" w:hAnsi="Tahoma" w:cs="Tahoma"/>
          <w:sz w:val="24"/>
          <w:szCs w:val="24"/>
        </w:rPr>
        <w:t xml:space="preserve">, </w:t>
      </w:r>
      <w:r w:rsidR="00A85DD6">
        <w:rPr>
          <w:rFonts w:ascii="Tahoma" w:eastAsia="Calibri" w:hAnsi="Tahoma" w:cs="Tahoma"/>
          <w:sz w:val="24"/>
          <w:szCs w:val="24"/>
        </w:rPr>
        <w:t>786(</w:t>
      </w:r>
      <w:r w:rsidRPr="007E34A1">
        <w:rPr>
          <w:rFonts w:ascii="Tahoma" w:eastAsia="Calibri" w:hAnsi="Tahoma" w:cs="Tahoma"/>
          <w:sz w:val="24"/>
          <w:szCs w:val="24"/>
        </w:rPr>
        <w:t>147481</w:t>
      </w:r>
      <w:r w:rsidR="00A85DD6">
        <w:rPr>
          <w:rFonts w:ascii="Tahoma" w:eastAsia="Calibri" w:hAnsi="Tahoma" w:cs="Tahoma"/>
          <w:sz w:val="24"/>
          <w:szCs w:val="24"/>
        </w:rPr>
        <w:t xml:space="preserve">). Doi: </w:t>
      </w:r>
      <w:hyperlink r:id="rId29" w:history="1">
        <w:r w:rsidRPr="007E34A1">
          <w:rPr>
            <w:rStyle w:val="Hyperlink"/>
            <w:rFonts w:ascii="Tahoma" w:eastAsia="Calibri" w:hAnsi="Tahoma" w:cs="Tahoma"/>
            <w:sz w:val="24"/>
            <w:szCs w:val="24"/>
          </w:rPr>
          <w:t>https://doi.org/10.1016/j.scitotenv.2021.147481</w:t>
        </w:r>
      </w:hyperlink>
    </w:p>
    <w:p w14:paraId="099193EB" w14:textId="58E2BFE6"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Ryan, T. (2021)</w:t>
      </w:r>
      <w:r w:rsidR="000C2E3F">
        <w:rPr>
          <w:rFonts w:ascii="Tahoma" w:eastAsia="Calibri" w:hAnsi="Tahoma" w:cs="Tahoma"/>
          <w:sz w:val="24"/>
          <w:szCs w:val="24"/>
        </w:rPr>
        <w:t xml:space="preserve"> </w:t>
      </w:r>
      <w:r w:rsidRPr="000C2E3F">
        <w:rPr>
          <w:rFonts w:ascii="Tahoma" w:eastAsia="Calibri" w:hAnsi="Tahoma" w:cs="Tahoma"/>
          <w:i/>
          <w:iCs/>
          <w:sz w:val="24"/>
          <w:szCs w:val="24"/>
        </w:rPr>
        <w:t>What are the jobs to be done in the future of executive education?</w:t>
      </w:r>
      <w:r w:rsidRPr="007E34A1">
        <w:rPr>
          <w:rFonts w:ascii="Tahoma" w:eastAsia="Calibri" w:hAnsi="Tahoma" w:cs="Tahoma"/>
          <w:sz w:val="24"/>
          <w:szCs w:val="24"/>
        </w:rPr>
        <w:t>, Unicon: Consortium for University based executive education, Research Report</w:t>
      </w:r>
      <w:r w:rsidR="000C2E3F">
        <w:rPr>
          <w:rFonts w:ascii="Tahoma" w:eastAsia="Calibri" w:hAnsi="Tahoma" w:cs="Tahoma"/>
          <w:sz w:val="24"/>
          <w:szCs w:val="24"/>
        </w:rPr>
        <w:t>. A</w:t>
      </w:r>
      <w:r w:rsidRPr="007E34A1">
        <w:rPr>
          <w:rFonts w:ascii="Tahoma" w:eastAsia="Calibri" w:hAnsi="Tahoma" w:cs="Tahoma"/>
          <w:sz w:val="24"/>
          <w:szCs w:val="24"/>
        </w:rPr>
        <w:t xml:space="preserve">vailable at: </w:t>
      </w:r>
      <w:hyperlink r:id="rId30" w:history="1">
        <w:r w:rsidRPr="007E34A1">
          <w:rPr>
            <w:rFonts w:ascii="Tahoma" w:eastAsia="Calibri" w:hAnsi="Tahoma" w:cs="Tahoma"/>
            <w:color w:val="0563C1"/>
            <w:sz w:val="24"/>
            <w:szCs w:val="24"/>
            <w:u w:val="single"/>
          </w:rPr>
          <w:t>https://www.uniconexed.org/unicon-research-report-what-are-the-jobs-to-be-done-in-the-future-of-executive-education-tom-ryan/</w:t>
        </w:r>
      </w:hyperlink>
      <w:r w:rsidR="003920DF">
        <w:rPr>
          <w:rFonts w:ascii="Tahoma" w:eastAsia="Calibri" w:hAnsi="Tahoma" w:cs="Tahoma"/>
          <w:sz w:val="24"/>
          <w:szCs w:val="24"/>
        </w:rPr>
        <w:t xml:space="preserve"> </w:t>
      </w:r>
      <w:r w:rsidRPr="007E34A1">
        <w:rPr>
          <w:rFonts w:ascii="Tahoma" w:eastAsia="Calibri" w:hAnsi="Tahoma" w:cs="Tahoma"/>
          <w:sz w:val="24"/>
          <w:szCs w:val="24"/>
        </w:rPr>
        <w:t xml:space="preserve"> (Accessed 14 February 2022)</w:t>
      </w:r>
      <w:r w:rsidR="000C2E3F">
        <w:rPr>
          <w:rFonts w:ascii="Tahoma" w:eastAsia="Calibri" w:hAnsi="Tahoma" w:cs="Tahoma"/>
          <w:sz w:val="24"/>
          <w:szCs w:val="24"/>
        </w:rPr>
        <w:t>.</w:t>
      </w:r>
    </w:p>
    <w:p w14:paraId="44FEE2A8" w14:textId="546C9021"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Rytkonen, E. and Nenonen, S. (2014) </w:t>
      </w:r>
      <w:r w:rsidR="000E0FDA" w:rsidRPr="007E34A1">
        <w:rPr>
          <w:rFonts w:ascii="Tahoma" w:eastAsia="Calibri" w:hAnsi="Tahoma" w:cs="Tahoma"/>
          <w:sz w:val="24"/>
          <w:szCs w:val="24"/>
        </w:rPr>
        <w:t>‘</w:t>
      </w:r>
      <w:r w:rsidRPr="007E34A1">
        <w:rPr>
          <w:rFonts w:ascii="Tahoma" w:eastAsia="Calibri" w:hAnsi="Tahoma" w:cs="Tahoma"/>
          <w:sz w:val="24"/>
          <w:szCs w:val="24"/>
        </w:rPr>
        <w:t xml:space="preserve">The </w:t>
      </w:r>
      <w:r w:rsidR="00207674" w:rsidRPr="007E34A1">
        <w:rPr>
          <w:rFonts w:ascii="Tahoma" w:eastAsia="Calibri" w:hAnsi="Tahoma" w:cs="Tahoma"/>
          <w:sz w:val="24"/>
          <w:szCs w:val="24"/>
        </w:rPr>
        <w:t>BMC</w:t>
      </w:r>
      <w:r w:rsidRPr="007E34A1">
        <w:rPr>
          <w:rFonts w:ascii="Tahoma" w:eastAsia="Calibri" w:hAnsi="Tahoma" w:cs="Tahoma"/>
          <w:sz w:val="24"/>
          <w:szCs w:val="24"/>
        </w:rPr>
        <w:t>s in university campus management</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Intelligent Buildings International</w:t>
      </w:r>
      <w:r w:rsidRPr="007E34A1">
        <w:rPr>
          <w:rFonts w:ascii="Tahoma" w:eastAsia="Calibri" w:hAnsi="Tahoma" w:cs="Tahoma"/>
          <w:sz w:val="24"/>
          <w:szCs w:val="24"/>
        </w:rPr>
        <w:t xml:space="preserve">, </w:t>
      </w:r>
      <w:r w:rsidR="00A85DD6">
        <w:rPr>
          <w:rFonts w:ascii="Tahoma" w:eastAsia="Calibri" w:hAnsi="Tahoma" w:cs="Tahoma"/>
          <w:sz w:val="24"/>
          <w:szCs w:val="24"/>
        </w:rPr>
        <w:t>6(3)</w:t>
      </w:r>
      <w:r w:rsidRPr="007E34A1">
        <w:rPr>
          <w:rFonts w:ascii="Tahoma" w:eastAsia="Calibri" w:hAnsi="Tahoma" w:cs="Tahoma"/>
          <w:sz w:val="24"/>
          <w:szCs w:val="24"/>
        </w:rPr>
        <w:t>, pp. 138-154</w:t>
      </w:r>
      <w:r w:rsidR="00A85DD6">
        <w:rPr>
          <w:rFonts w:ascii="Tahoma" w:eastAsia="Calibri" w:hAnsi="Tahoma" w:cs="Tahoma"/>
          <w:sz w:val="24"/>
          <w:szCs w:val="24"/>
        </w:rPr>
        <w:t>. Doi:</w:t>
      </w:r>
      <w:r w:rsidRPr="007E34A1">
        <w:rPr>
          <w:rFonts w:ascii="Tahoma" w:eastAsia="Calibri" w:hAnsi="Tahoma" w:cs="Tahoma"/>
          <w:sz w:val="24"/>
          <w:szCs w:val="24"/>
        </w:rPr>
        <w:t xml:space="preserve"> </w:t>
      </w:r>
      <w:hyperlink r:id="rId31" w:history="1">
        <w:r w:rsidRPr="007E34A1">
          <w:rPr>
            <w:rFonts w:ascii="Tahoma" w:eastAsia="Calibri" w:hAnsi="Tahoma" w:cs="Tahoma"/>
            <w:color w:val="0563C1"/>
            <w:sz w:val="24"/>
            <w:szCs w:val="24"/>
            <w:u w:val="single"/>
          </w:rPr>
          <w:t>https://doi.org/10.1080/17508975.2013.807768</w:t>
        </w:r>
      </w:hyperlink>
    </w:p>
    <w:p w14:paraId="1226F058" w14:textId="494649FD" w:rsidR="006E4F8A" w:rsidRPr="007E34A1" w:rsidRDefault="00DF0D1A" w:rsidP="007E34A1">
      <w:pPr>
        <w:spacing w:line="360" w:lineRule="auto"/>
        <w:rPr>
          <w:rFonts w:ascii="Tahoma" w:hAnsi="Tahoma" w:cs="Tahoma"/>
          <w:sz w:val="24"/>
          <w:szCs w:val="24"/>
        </w:rPr>
      </w:pPr>
      <w:r w:rsidRPr="007E34A1">
        <w:rPr>
          <w:rFonts w:ascii="Tahoma" w:hAnsi="Tahoma" w:cs="Tahoma"/>
          <w:sz w:val="24"/>
          <w:szCs w:val="24"/>
        </w:rPr>
        <w:t>Snyder, H. (2019)</w:t>
      </w:r>
      <w:r w:rsidR="006E4F8A" w:rsidRPr="007E34A1">
        <w:rPr>
          <w:rFonts w:ascii="Tahoma" w:hAnsi="Tahoma" w:cs="Tahoma"/>
          <w:sz w:val="24"/>
          <w:szCs w:val="24"/>
        </w:rPr>
        <w:t xml:space="preserve"> </w:t>
      </w:r>
      <w:r w:rsidR="000E0FDA" w:rsidRPr="007E34A1">
        <w:rPr>
          <w:rFonts w:ascii="Tahoma" w:hAnsi="Tahoma" w:cs="Tahoma"/>
          <w:sz w:val="24"/>
          <w:szCs w:val="24"/>
        </w:rPr>
        <w:t>‘</w:t>
      </w:r>
      <w:r w:rsidR="006E4F8A" w:rsidRPr="007E34A1">
        <w:rPr>
          <w:rFonts w:ascii="Tahoma" w:hAnsi="Tahoma" w:cs="Tahoma"/>
          <w:sz w:val="24"/>
          <w:szCs w:val="24"/>
        </w:rPr>
        <w:t>Literature review as a research methodology: An overview and guidelines</w:t>
      </w:r>
      <w:r w:rsidR="000E0FDA" w:rsidRPr="007E34A1">
        <w:rPr>
          <w:rFonts w:ascii="Tahoma" w:hAnsi="Tahoma" w:cs="Tahoma"/>
          <w:sz w:val="24"/>
          <w:szCs w:val="24"/>
        </w:rPr>
        <w:t>’</w:t>
      </w:r>
      <w:r w:rsidR="006E4F8A" w:rsidRPr="007E34A1">
        <w:rPr>
          <w:rFonts w:ascii="Tahoma" w:hAnsi="Tahoma" w:cs="Tahoma"/>
          <w:sz w:val="24"/>
          <w:szCs w:val="24"/>
        </w:rPr>
        <w:t xml:space="preserve">, </w:t>
      </w:r>
      <w:r w:rsidR="006E4F8A" w:rsidRPr="007E34A1">
        <w:rPr>
          <w:rFonts w:ascii="Tahoma" w:hAnsi="Tahoma" w:cs="Tahoma"/>
          <w:i/>
          <w:sz w:val="24"/>
          <w:szCs w:val="24"/>
        </w:rPr>
        <w:t xml:space="preserve">Journal of Business Research, </w:t>
      </w:r>
      <w:r w:rsidR="006E4F8A" w:rsidRPr="007E34A1">
        <w:rPr>
          <w:rFonts w:ascii="Tahoma" w:hAnsi="Tahoma" w:cs="Tahoma"/>
          <w:sz w:val="24"/>
          <w:szCs w:val="24"/>
        </w:rPr>
        <w:t xml:space="preserve">104, </w:t>
      </w:r>
      <w:r w:rsidRPr="007E34A1">
        <w:rPr>
          <w:rFonts w:ascii="Tahoma" w:hAnsi="Tahoma" w:cs="Tahoma"/>
          <w:sz w:val="24"/>
          <w:szCs w:val="24"/>
        </w:rPr>
        <w:t xml:space="preserve">pp. </w:t>
      </w:r>
      <w:r w:rsidR="006E4F8A" w:rsidRPr="007E34A1">
        <w:rPr>
          <w:rFonts w:ascii="Tahoma" w:hAnsi="Tahoma" w:cs="Tahoma"/>
          <w:sz w:val="24"/>
          <w:szCs w:val="24"/>
        </w:rPr>
        <w:t>333-339</w:t>
      </w:r>
      <w:r w:rsidR="00842573">
        <w:rPr>
          <w:rFonts w:ascii="Tahoma" w:hAnsi="Tahoma" w:cs="Tahoma"/>
          <w:sz w:val="24"/>
          <w:szCs w:val="24"/>
        </w:rPr>
        <w:t>. Doi:</w:t>
      </w:r>
      <w:r w:rsidR="006E4F8A" w:rsidRPr="007E34A1">
        <w:rPr>
          <w:rFonts w:ascii="Tahoma" w:hAnsi="Tahoma" w:cs="Tahoma"/>
          <w:sz w:val="24"/>
          <w:szCs w:val="24"/>
        </w:rPr>
        <w:t xml:space="preserve"> </w:t>
      </w:r>
      <w:hyperlink r:id="rId32" w:history="1">
        <w:r w:rsidR="006E4F8A" w:rsidRPr="007E34A1">
          <w:rPr>
            <w:rStyle w:val="Hyperlink"/>
            <w:rFonts w:ascii="Tahoma" w:hAnsi="Tahoma" w:cs="Tahoma"/>
            <w:sz w:val="24"/>
            <w:szCs w:val="24"/>
          </w:rPr>
          <w:t>https://doi.org.10.1016/j.jbusres.2019.07.039</w:t>
        </w:r>
      </w:hyperlink>
    </w:p>
    <w:p w14:paraId="06AC39DC" w14:textId="506F47F5"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Spender, J.C. (2017) </w:t>
      </w:r>
      <w:r w:rsidR="000E0FDA" w:rsidRPr="007E34A1">
        <w:rPr>
          <w:rFonts w:ascii="Tahoma" w:eastAsia="Calibri" w:hAnsi="Tahoma" w:cs="Tahoma"/>
          <w:sz w:val="24"/>
          <w:szCs w:val="24"/>
        </w:rPr>
        <w:t>‘</w:t>
      </w:r>
      <w:r w:rsidR="0079697D" w:rsidRPr="007E34A1">
        <w:rPr>
          <w:rFonts w:ascii="Tahoma" w:eastAsia="Calibri" w:hAnsi="Tahoma" w:cs="Tahoma"/>
          <w:sz w:val="24"/>
          <w:szCs w:val="24"/>
        </w:rPr>
        <w:t>B</w:t>
      </w:r>
      <w:r w:rsidRPr="007E34A1">
        <w:rPr>
          <w:rFonts w:ascii="Tahoma" w:eastAsia="Calibri" w:hAnsi="Tahoma" w:cs="Tahoma"/>
          <w:sz w:val="24"/>
          <w:szCs w:val="24"/>
        </w:rPr>
        <w:t>Schools and their business models</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iCs/>
          <w:sz w:val="24"/>
          <w:szCs w:val="24"/>
        </w:rPr>
        <w:t>Humanistic Management Journal</w:t>
      </w:r>
      <w:r w:rsidRPr="007E34A1">
        <w:rPr>
          <w:rFonts w:ascii="Tahoma" w:eastAsia="Calibri" w:hAnsi="Tahoma" w:cs="Tahoma"/>
          <w:sz w:val="24"/>
          <w:szCs w:val="24"/>
        </w:rPr>
        <w:t xml:space="preserve">, </w:t>
      </w:r>
      <w:r w:rsidR="00842573">
        <w:rPr>
          <w:rFonts w:ascii="Tahoma" w:eastAsia="Calibri" w:hAnsi="Tahoma" w:cs="Tahoma"/>
          <w:sz w:val="24"/>
          <w:szCs w:val="24"/>
        </w:rPr>
        <w:t>1(2)</w:t>
      </w:r>
      <w:r w:rsidRPr="007E34A1">
        <w:rPr>
          <w:rFonts w:ascii="Tahoma" w:eastAsia="Calibri" w:hAnsi="Tahoma" w:cs="Tahoma"/>
          <w:sz w:val="24"/>
          <w:szCs w:val="24"/>
        </w:rPr>
        <w:t>, pp. 187-204</w:t>
      </w:r>
      <w:r w:rsidR="00842573">
        <w:rPr>
          <w:rFonts w:ascii="Tahoma" w:eastAsia="Calibri" w:hAnsi="Tahoma" w:cs="Tahoma"/>
          <w:sz w:val="24"/>
          <w:szCs w:val="24"/>
        </w:rPr>
        <w:t xml:space="preserve">. Doi: </w:t>
      </w:r>
      <w:hyperlink r:id="rId33" w:history="1">
        <w:r w:rsidRPr="007E34A1">
          <w:rPr>
            <w:rFonts w:ascii="Tahoma" w:eastAsia="Calibri" w:hAnsi="Tahoma" w:cs="Tahoma"/>
            <w:color w:val="0563C1"/>
            <w:sz w:val="24"/>
            <w:szCs w:val="24"/>
            <w:u w:val="single"/>
            <w:shd w:val="clear" w:color="auto" w:fill="FCFCFC"/>
          </w:rPr>
          <w:t>https://doi.org/10.1007/s41463-016-0016-0</w:t>
        </w:r>
      </w:hyperlink>
      <w:r w:rsidRPr="007E34A1">
        <w:rPr>
          <w:rFonts w:ascii="Tahoma" w:eastAsia="Calibri" w:hAnsi="Tahoma" w:cs="Tahoma"/>
          <w:sz w:val="24"/>
          <w:szCs w:val="24"/>
        </w:rPr>
        <w:t xml:space="preserve"> </w:t>
      </w:r>
    </w:p>
    <w:p w14:paraId="2BB3A29E" w14:textId="0D7C38B9"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Storbacka, K., Frow, P., Nenonen, S. and Payne, A. (2012) </w:t>
      </w:r>
      <w:r w:rsidR="000E0FDA" w:rsidRPr="007E34A1">
        <w:rPr>
          <w:rFonts w:ascii="Tahoma" w:eastAsia="Calibri" w:hAnsi="Tahoma" w:cs="Tahoma"/>
          <w:sz w:val="24"/>
          <w:szCs w:val="24"/>
        </w:rPr>
        <w:t>‘</w:t>
      </w:r>
      <w:r w:rsidRPr="007E34A1">
        <w:rPr>
          <w:rFonts w:ascii="Tahoma" w:eastAsia="Calibri" w:hAnsi="Tahoma" w:cs="Tahoma"/>
          <w:sz w:val="24"/>
          <w:szCs w:val="24"/>
        </w:rPr>
        <w:t>Designing business models for value co-creation.</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Review of Marketing Research,</w:t>
      </w:r>
      <w:r w:rsidRPr="007E34A1">
        <w:rPr>
          <w:rFonts w:ascii="Tahoma" w:eastAsia="Calibri" w:hAnsi="Tahoma" w:cs="Tahoma"/>
          <w:sz w:val="24"/>
          <w:szCs w:val="24"/>
        </w:rPr>
        <w:t xml:space="preserve"> 9, pp. 51–78</w:t>
      </w:r>
      <w:r w:rsidR="00842573">
        <w:rPr>
          <w:rFonts w:ascii="Tahoma" w:eastAsia="Calibri" w:hAnsi="Tahoma" w:cs="Tahoma"/>
          <w:sz w:val="24"/>
          <w:szCs w:val="24"/>
        </w:rPr>
        <w:t>.</w:t>
      </w:r>
    </w:p>
    <w:p w14:paraId="2D65B13A" w14:textId="2E6145D8" w:rsidR="00D50397" w:rsidRPr="007E34A1" w:rsidRDefault="00D50397" w:rsidP="007E34A1">
      <w:pPr>
        <w:autoSpaceDE w:val="0"/>
        <w:autoSpaceDN w:val="0"/>
        <w:adjustRightInd w:val="0"/>
        <w:spacing w:line="360" w:lineRule="auto"/>
        <w:rPr>
          <w:rFonts w:ascii="Tahoma" w:eastAsia="Calibri" w:hAnsi="Tahoma" w:cs="Tahoma"/>
          <w:sz w:val="24"/>
          <w:szCs w:val="24"/>
        </w:rPr>
      </w:pPr>
      <w:r w:rsidRPr="007E34A1">
        <w:rPr>
          <w:rFonts w:ascii="Tahoma" w:eastAsia="Calibri" w:hAnsi="Tahoma" w:cs="Tahoma"/>
          <w:sz w:val="24"/>
          <w:szCs w:val="24"/>
        </w:rPr>
        <w:t xml:space="preserve">Stoten, D.W. (2019) </w:t>
      </w:r>
      <w:r w:rsidR="000E0FDA" w:rsidRPr="007E34A1">
        <w:rPr>
          <w:rFonts w:ascii="Tahoma" w:eastAsia="Calibri" w:hAnsi="Tahoma" w:cs="Tahoma"/>
          <w:sz w:val="24"/>
          <w:szCs w:val="24"/>
        </w:rPr>
        <w:t>‘</w:t>
      </w:r>
      <w:r w:rsidRPr="007E34A1">
        <w:rPr>
          <w:rFonts w:ascii="Tahoma" w:eastAsia="Calibri" w:hAnsi="Tahoma" w:cs="Tahoma"/>
          <w:sz w:val="24"/>
          <w:szCs w:val="24"/>
        </w:rPr>
        <w:t>Practical heutagogy: Promoting personalized learning in management education</w:t>
      </w:r>
      <w:r w:rsidR="000E0FDA" w:rsidRPr="007E34A1">
        <w:rPr>
          <w:rFonts w:ascii="Tahoma" w:eastAsia="Calibri" w:hAnsi="Tahoma" w:cs="Tahoma"/>
          <w:sz w:val="24"/>
          <w:szCs w:val="24"/>
        </w:rPr>
        <w:t>’</w:t>
      </w:r>
      <w:r w:rsidRPr="007E34A1">
        <w:rPr>
          <w:rFonts w:ascii="Tahoma" w:eastAsia="Calibri" w:hAnsi="Tahoma" w:cs="Tahoma"/>
          <w:sz w:val="24"/>
          <w:szCs w:val="24"/>
        </w:rPr>
        <w:t xml:space="preserve">, </w:t>
      </w:r>
      <w:r w:rsidRPr="007E34A1">
        <w:rPr>
          <w:rFonts w:ascii="Tahoma" w:eastAsia="Calibri" w:hAnsi="Tahoma" w:cs="Tahoma"/>
          <w:i/>
          <w:sz w:val="24"/>
          <w:szCs w:val="24"/>
        </w:rPr>
        <w:t xml:space="preserve">Adult Learning, </w:t>
      </w:r>
      <w:r w:rsidR="003920DF">
        <w:rPr>
          <w:rFonts w:ascii="Tahoma" w:eastAsia="Calibri" w:hAnsi="Tahoma" w:cs="Tahoma"/>
          <w:sz w:val="24"/>
          <w:szCs w:val="24"/>
        </w:rPr>
        <w:t>31(4)</w:t>
      </w:r>
      <w:r w:rsidRPr="007E34A1">
        <w:rPr>
          <w:rFonts w:ascii="Tahoma" w:eastAsia="Calibri" w:hAnsi="Tahoma" w:cs="Tahoma"/>
          <w:sz w:val="24"/>
          <w:szCs w:val="24"/>
        </w:rPr>
        <w:t xml:space="preserve">, pp. 161-174. </w:t>
      </w:r>
    </w:p>
    <w:p w14:paraId="0762C96C" w14:textId="5571A3FB" w:rsidR="009B741C" w:rsidRPr="007E34A1" w:rsidRDefault="00CD72E6" w:rsidP="007E34A1">
      <w:pPr>
        <w:spacing w:line="360" w:lineRule="auto"/>
        <w:rPr>
          <w:rFonts w:ascii="Tahoma" w:eastAsia="Calibri" w:hAnsi="Tahoma" w:cs="Tahoma"/>
          <w:color w:val="000000" w:themeColor="text1"/>
          <w:sz w:val="24"/>
          <w:szCs w:val="24"/>
          <w:shd w:val="clear" w:color="auto" w:fill="FFFFFF"/>
        </w:rPr>
      </w:pPr>
      <w:r w:rsidRPr="007E34A1">
        <w:rPr>
          <w:rFonts w:ascii="Tahoma" w:eastAsia="Calibri" w:hAnsi="Tahoma" w:cs="Tahoma"/>
          <w:color w:val="000000" w:themeColor="text1"/>
          <w:sz w:val="24"/>
          <w:szCs w:val="24"/>
          <w:shd w:val="clear" w:color="auto" w:fill="FFFFFF"/>
        </w:rPr>
        <w:t>Stot</w:t>
      </w:r>
      <w:r w:rsidR="009B741C" w:rsidRPr="007E34A1">
        <w:rPr>
          <w:rFonts w:ascii="Tahoma" w:eastAsia="Calibri" w:hAnsi="Tahoma" w:cs="Tahoma"/>
          <w:color w:val="000000" w:themeColor="text1"/>
          <w:sz w:val="24"/>
          <w:szCs w:val="24"/>
          <w:shd w:val="clear" w:color="auto" w:fill="FFFFFF"/>
        </w:rPr>
        <w:t>en, D.W. (2022</w:t>
      </w:r>
      <w:r w:rsidRPr="007E34A1">
        <w:rPr>
          <w:rFonts w:ascii="Tahoma" w:eastAsia="Calibri" w:hAnsi="Tahoma" w:cs="Tahoma"/>
          <w:color w:val="000000" w:themeColor="text1"/>
          <w:sz w:val="24"/>
          <w:szCs w:val="24"/>
          <w:shd w:val="clear" w:color="auto" w:fill="FFFFFF"/>
        </w:rPr>
        <w:t xml:space="preserve">) </w:t>
      </w:r>
      <w:r w:rsidR="000E0FDA" w:rsidRPr="007E34A1">
        <w:rPr>
          <w:rFonts w:ascii="Tahoma" w:eastAsia="Calibri" w:hAnsi="Tahoma" w:cs="Tahoma"/>
          <w:color w:val="000000" w:themeColor="text1"/>
          <w:sz w:val="24"/>
          <w:szCs w:val="24"/>
          <w:shd w:val="clear" w:color="auto" w:fill="FFFFFF"/>
        </w:rPr>
        <w:t>‘</w:t>
      </w:r>
      <w:r w:rsidR="009B741C" w:rsidRPr="007E34A1">
        <w:rPr>
          <w:rFonts w:ascii="Tahoma" w:eastAsia="Calibri" w:hAnsi="Tahoma" w:cs="Tahoma"/>
          <w:color w:val="000000" w:themeColor="text1"/>
          <w:sz w:val="24"/>
          <w:szCs w:val="24"/>
          <w:shd w:val="clear" w:color="auto" w:fill="FFFFFF"/>
        </w:rPr>
        <w:t>Escaping from the valley of death: Reconfiguring executive education through a differentiated curriculum</w:t>
      </w:r>
      <w:r w:rsidR="000E0FDA" w:rsidRPr="007E34A1">
        <w:rPr>
          <w:rFonts w:ascii="Tahoma" w:eastAsia="Calibri" w:hAnsi="Tahoma" w:cs="Tahoma"/>
          <w:color w:val="000000" w:themeColor="text1"/>
          <w:sz w:val="24"/>
          <w:szCs w:val="24"/>
          <w:shd w:val="clear" w:color="auto" w:fill="FFFFFF"/>
        </w:rPr>
        <w:t>’</w:t>
      </w:r>
      <w:r w:rsidRPr="007E34A1">
        <w:rPr>
          <w:rFonts w:ascii="Tahoma" w:eastAsia="Calibri" w:hAnsi="Tahoma" w:cs="Tahoma"/>
          <w:color w:val="000000" w:themeColor="text1"/>
          <w:sz w:val="24"/>
          <w:szCs w:val="24"/>
          <w:shd w:val="clear" w:color="auto" w:fill="FFFFFF"/>
        </w:rPr>
        <w:t xml:space="preserve">, </w:t>
      </w:r>
      <w:r w:rsidRPr="007E34A1">
        <w:rPr>
          <w:rFonts w:ascii="Tahoma" w:eastAsia="Calibri" w:hAnsi="Tahoma" w:cs="Tahoma"/>
          <w:i/>
          <w:color w:val="000000" w:themeColor="text1"/>
          <w:sz w:val="24"/>
          <w:szCs w:val="24"/>
          <w:shd w:val="clear" w:color="auto" w:fill="FFFFFF"/>
        </w:rPr>
        <w:t xml:space="preserve">The International Journal of </w:t>
      </w:r>
      <w:r w:rsidRPr="007E34A1">
        <w:rPr>
          <w:rFonts w:ascii="Tahoma" w:eastAsia="Calibri" w:hAnsi="Tahoma" w:cs="Tahoma"/>
          <w:i/>
          <w:color w:val="000000" w:themeColor="text1"/>
          <w:sz w:val="24"/>
          <w:szCs w:val="24"/>
          <w:shd w:val="clear" w:color="auto" w:fill="FFFFFF"/>
        </w:rPr>
        <w:lastRenderedPageBreak/>
        <w:t>Management Education</w:t>
      </w:r>
      <w:r w:rsidRPr="007E34A1">
        <w:rPr>
          <w:rFonts w:ascii="Tahoma" w:eastAsia="Calibri" w:hAnsi="Tahoma" w:cs="Tahoma"/>
          <w:color w:val="000000" w:themeColor="text1"/>
          <w:sz w:val="24"/>
          <w:szCs w:val="24"/>
          <w:shd w:val="clear" w:color="auto" w:fill="FFFFFF"/>
        </w:rPr>
        <w:t xml:space="preserve">, </w:t>
      </w:r>
      <w:r w:rsidR="009B741C" w:rsidRPr="007E34A1">
        <w:rPr>
          <w:rFonts w:ascii="Tahoma" w:eastAsia="Calibri" w:hAnsi="Tahoma" w:cs="Tahoma"/>
          <w:color w:val="000000" w:themeColor="text1"/>
          <w:sz w:val="24"/>
          <w:szCs w:val="24"/>
          <w:shd w:val="clear" w:color="auto" w:fill="FFFFFF"/>
        </w:rPr>
        <w:t>20</w:t>
      </w:r>
      <w:r w:rsidR="003920DF">
        <w:rPr>
          <w:rFonts w:ascii="Tahoma" w:eastAsia="Calibri" w:hAnsi="Tahoma" w:cs="Tahoma"/>
          <w:color w:val="000000" w:themeColor="text1"/>
          <w:sz w:val="24"/>
          <w:szCs w:val="24"/>
          <w:shd w:val="clear" w:color="auto" w:fill="FFFFFF"/>
        </w:rPr>
        <w:t>(</w:t>
      </w:r>
      <w:r w:rsidR="009B741C" w:rsidRPr="007E34A1">
        <w:rPr>
          <w:rFonts w:ascii="Tahoma" w:eastAsia="Calibri" w:hAnsi="Tahoma" w:cs="Tahoma"/>
          <w:color w:val="000000" w:themeColor="text1"/>
          <w:sz w:val="24"/>
          <w:szCs w:val="24"/>
          <w:shd w:val="clear" w:color="auto" w:fill="FFFFFF"/>
        </w:rPr>
        <w:t>100650</w:t>
      </w:r>
      <w:r w:rsidR="003920DF">
        <w:rPr>
          <w:rFonts w:ascii="Tahoma" w:eastAsia="Calibri" w:hAnsi="Tahoma" w:cs="Tahoma"/>
          <w:color w:val="000000" w:themeColor="text1"/>
          <w:sz w:val="24"/>
          <w:szCs w:val="24"/>
          <w:shd w:val="clear" w:color="auto" w:fill="FFFFFF"/>
        </w:rPr>
        <w:t xml:space="preserve">). Doi: </w:t>
      </w:r>
      <w:hyperlink r:id="rId34" w:history="1">
        <w:r w:rsidR="009B741C" w:rsidRPr="007E34A1">
          <w:rPr>
            <w:rStyle w:val="Hyperlink"/>
            <w:rFonts w:ascii="Tahoma" w:eastAsia="Calibri" w:hAnsi="Tahoma" w:cs="Tahoma"/>
            <w:sz w:val="24"/>
            <w:szCs w:val="24"/>
            <w:shd w:val="clear" w:color="auto" w:fill="FFFFFF"/>
          </w:rPr>
          <w:t>https://doi.org/10.1016/j.ijme.2022.100650</w:t>
        </w:r>
      </w:hyperlink>
    </w:p>
    <w:p w14:paraId="679A2A24" w14:textId="132407C7" w:rsidR="00D50397" w:rsidRPr="007E34A1" w:rsidRDefault="00D50397" w:rsidP="007E34A1">
      <w:pPr>
        <w:shd w:val="clear" w:color="auto" w:fill="FFFFFF"/>
        <w:spacing w:line="360" w:lineRule="auto"/>
        <w:textAlignment w:val="baseline"/>
        <w:rPr>
          <w:rFonts w:ascii="Tahoma" w:eastAsia="Calibri" w:hAnsi="Tahoma" w:cs="Tahoma"/>
          <w:color w:val="000000"/>
          <w:sz w:val="24"/>
          <w:szCs w:val="24"/>
        </w:rPr>
      </w:pPr>
      <w:r w:rsidRPr="007E34A1">
        <w:rPr>
          <w:rFonts w:ascii="Tahoma" w:eastAsia="Calibri" w:hAnsi="Tahoma" w:cs="Tahoma"/>
          <w:color w:val="000000"/>
          <w:sz w:val="24"/>
          <w:szCs w:val="24"/>
        </w:rPr>
        <w:t xml:space="preserve">Torroco, R. J. (2005) </w:t>
      </w:r>
      <w:r w:rsidR="000E0FDA" w:rsidRPr="007E34A1">
        <w:rPr>
          <w:rFonts w:ascii="Tahoma" w:eastAsia="Calibri" w:hAnsi="Tahoma" w:cs="Tahoma"/>
          <w:color w:val="000000"/>
          <w:sz w:val="24"/>
          <w:szCs w:val="24"/>
        </w:rPr>
        <w:t>‘</w:t>
      </w:r>
      <w:r w:rsidRPr="007E34A1">
        <w:rPr>
          <w:rFonts w:ascii="Tahoma" w:eastAsia="Calibri" w:hAnsi="Tahoma" w:cs="Tahoma"/>
          <w:color w:val="000000"/>
          <w:sz w:val="24"/>
          <w:szCs w:val="24"/>
        </w:rPr>
        <w:t>Writing integrative literature reviews: Guidelines and examples</w:t>
      </w:r>
      <w:r w:rsidR="000E0FDA" w:rsidRPr="007E34A1">
        <w:rPr>
          <w:rFonts w:ascii="Tahoma" w:eastAsia="Calibri" w:hAnsi="Tahoma" w:cs="Tahoma"/>
          <w:color w:val="000000"/>
          <w:sz w:val="24"/>
          <w:szCs w:val="24"/>
        </w:rPr>
        <w:t>’</w:t>
      </w:r>
      <w:r w:rsidRPr="007E34A1">
        <w:rPr>
          <w:rFonts w:ascii="Tahoma" w:eastAsia="Calibri" w:hAnsi="Tahoma" w:cs="Tahoma"/>
          <w:color w:val="000000"/>
          <w:sz w:val="24"/>
          <w:szCs w:val="24"/>
        </w:rPr>
        <w:t xml:space="preserve">, </w:t>
      </w:r>
      <w:r w:rsidRPr="007E34A1">
        <w:rPr>
          <w:rFonts w:ascii="Tahoma" w:eastAsia="Calibri" w:hAnsi="Tahoma" w:cs="Tahoma"/>
          <w:i/>
          <w:color w:val="000000"/>
          <w:sz w:val="24"/>
          <w:szCs w:val="24"/>
        </w:rPr>
        <w:t>Human Resources Development Review</w:t>
      </w:r>
      <w:r w:rsidRPr="007E34A1">
        <w:rPr>
          <w:rFonts w:ascii="Tahoma" w:eastAsia="Calibri" w:hAnsi="Tahoma" w:cs="Tahoma"/>
          <w:color w:val="000000"/>
          <w:sz w:val="24"/>
          <w:szCs w:val="24"/>
        </w:rPr>
        <w:t>, 4, pp. 356-367.</w:t>
      </w:r>
    </w:p>
    <w:p w14:paraId="263F5B77" w14:textId="1F022E18" w:rsidR="00A7319F" w:rsidRPr="007E34A1" w:rsidRDefault="00A7319F" w:rsidP="007E34A1">
      <w:pPr>
        <w:spacing w:line="360" w:lineRule="auto"/>
        <w:rPr>
          <w:rFonts w:ascii="Tahoma" w:hAnsi="Tahoma" w:cs="Tahoma"/>
          <w:color w:val="000000" w:themeColor="text1"/>
          <w:sz w:val="24"/>
          <w:szCs w:val="24"/>
        </w:rPr>
      </w:pPr>
      <w:r w:rsidRPr="007E34A1">
        <w:rPr>
          <w:rFonts w:ascii="Tahoma" w:hAnsi="Tahoma" w:cs="Tahoma"/>
          <w:color w:val="000000" w:themeColor="text1"/>
          <w:sz w:val="24"/>
          <w:szCs w:val="24"/>
        </w:rPr>
        <w:t xml:space="preserve">Tranfield, D., Denyer, D. and Smart, P. (2003) </w:t>
      </w:r>
      <w:r w:rsidR="000E0FDA" w:rsidRPr="007E34A1">
        <w:rPr>
          <w:rFonts w:ascii="Tahoma" w:hAnsi="Tahoma" w:cs="Tahoma"/>
          <w:color w:val="000000" w:themeColor="text1"/>
          <w:sz w:val="24"/>
          <w:szCs w:val="24"/>
        </w:rPr>
        <w:t>‘</w:t>
      </w:r>
      <w:r w:rsidRPr="007E34A1">
        <w:rPr>
          <w:rFonts w:ascii="Tahoma" w:hAnsi="Tahoma" w:cs="Tahoma"/>
          <w:color w:val="000000" w:themeColor="text1"/>
          <w:sz w:val="24"/>
          <w:szCs w:val="24"/>
        </w:rPr>
        <w:t>Towards a methodology for developing evidence-informed management knowledge by means of systematic review</w:t>
      </w:r>
      <w:r w:rsidR="000E0FDA" w:rsidRPr="007E34A1">
        <w:rPr>
          <w:rFonts w:ascii="Tahoma" w:hAnsi="Tahoma" w:cs="Tahoma"/>
          <w:color w:val="000000" w:themeColor="text1"/>
          <w:sz w:val="24"/>
          <w:szCs w:val="24"/>
        </w:rPr>
        <w:t>’</w:t>
      </w:r>
      <w:r w:rsidRPr="007E34A1">
        <w:rPr>
          <w:rFonts w:ascii="Tahoma" w:hAnsi="Tahoma" w:cs="Tahoma"/>
          <w:i/>
          <w:color w:val="000000" w:themeColor="text1"/>
          <w:sz w:val="24"/>
          <w:szCs w:val="24"/>
        </w:rPr>
        <w:t>, British Journal of Production Economics</w:t>
      </w:r>
      <w:r w:rsidRPr="007E34A1">
        <w:rPr>
          <w:rFonts w:ascii="Tahoma" w:hAnsi="Tahoma" w:cs="Tahoma"/>
          <w:color w:val="000000" w:themeColor="text1"/>
          <w:sz w:val="24"/>
          <w:szCs w:val="24"/>
        </w:rPr>
        <w:t>, 38(2-3), pp. 225-243.</w:t>
      </w:r>
    </w:p>
    <w:p w14:paraId="34703D7B" w14:textId="2273DAF0" w:rsidR="00D50397" w:rsidRPr="007E34A1" w:rsidRDefault="00D50397" w:rsidP="007E34A1">
      <w:pPr>
        <w:spacing w:line="360" w:lineRule="auto"/>
        <w:rPr>
          <w:rFonts w:ascii="Tahoma" w:eastAsia="Calibri" w:hAnsi="Tahoma" w:cs="Tahoma"/>
          <w:sz w:val="24"/>
          <w:szCs w:val="24"/>
        </w:rPr>
      </w:pPr>
      <w:r w:rsidRPr="007E34A1">
        <w:rPr>
          <w:rFonts w:ascii="Tahoma" w:eastAsia="Calibri" w:hAnsi="Tahoma" w:cs="Tahoma"/>
          <w:sz w:val="24"/>
          <w:szCs w:val="24"/>
        </w:rPr>
        <w:t xml:space="preserve">Wind, J. (2022) </w:t>
      </w:r>
      <w:r w:rsidR="000E0FDA" w:rsidRPr="007E34A1">
        <w:rPr>
          <w:rFonts w:ascii="Tahoma" w:eastAsia="Calibri" w:hAnsi="Tahoma" w:cs="Tahoma"/>
          <w:sz w:val="24"/>
          <w:szCs w:val="24"/>
        </w:rPr>
        <w:t>‘</w:t>
      </w:r>
      <w:r w:rsidRPr="007E34A1">
        <w:rPr>
          <w:rFonts w:ascii="Tahoma" w:eastAsia="Calibri" w:hAnsi="Tahoma" w:cs="Tahoma"/>
          <w:sz w:val="24"/>
          <w:szCs w:val="24"/>
        </w:rPr>
        <w:t>Reimagine executive education</w:t>
      </w:r>
      <w:r w:rsidR="000E0FDA" w:rsidRPr="007E34A1">
        <w:rPr>
          <w:rFonts w:ascii="Tahoma" w:eastAsia="Calibri" w:hAnsi="Tahoma" w:cs="Tahoma"/>
          <w:sz w:val="24"/>
          <w:szCs w:val="24"/>
        </w:rPr>
        <w:t>’</w:t>
      </w:r>
      <w:r w:rsidRPr="007E34A1">
        <w:rPr>
          <w:rFonts w:ascii="Tahoma" w:eastAsia="Calibri" w:hAnsi="Tahoma" w:cs="Tahoma"/>
          <w:sz w:val="24"/>
          <w:szCs w:val="24"/>
        </w:rPr>
        <w:t xml:space="preserve">, in Iniguez, S. and Lorange, P. (Eds.) </w:t>
      </w:r>
      <w:r w:rsidRPr="007E34A1">
        <w:rPr>
          <w:rFonts w:ascii="Tahoma" w:eastAsia="Calibri" w:hAnsi="Tahoma" w:cs="Tahoma"/>
          <w:i/>
          <w:sz w:val="24"/>
          <w:szCs w:val="24"/>
        </w:rPr>
        <w:t>Executive Education After the Pandemic: A Vision for the Future</w:t>
      </w:r>
      <w:r w:rsidR="003920DF">
        <w:rPr>
          <w:rFonts w:ascii="Tahoma" w:eastAsia="Calibri" w:hAnsi="Tahoma" w:cs="Tahoma"/>
          <w:i/>
          <w:sz w:val="24"/>
          <w:szCs w:val="24"/>
        </w:rPr>
        <w:t>.</w:t>
      </w:r>
      <w:r w:rsidRPr="007E34A1">
        <w:rPr>
          <w:rFonts w:ascii="Tahoma" w:eastAsia="Calibri" w:hAnsi="Tahoma" w:cs="Tahoma"/>
          <w:sz w:val="24"/>
          <w:szCs w:val="24"/>
        </w:rPr>
        <w:t xml:space="preserve"> Palgrave</w:t>
      </w:r>
      <w:r w:rsidR="003920DF">
        <w:rPr>
          <w:rFonts w:ascii="Tahoma" w:eastAsia="Calibri" w:hAnsi="Tahoma" w:cs="Tahoma"/>
          <w:sz w:val="24"/>
          <w:szCs w:val="24"/>
        </w:rPr>
        <w:t>:</w:t>
      </w:r>
      <w:r w:rsidRPr="007E34A1">
        <w:rPr>
          <w:rFonts w:ascii="Tahoma" w:eastAsia="Calibri" w:hAnsi="Tahoma" w:cs="Tahoma"/>
          <w:sz w:val="24"/>
          <w:szCs w:val="24"/>
        </w:rPr>
        <w:t xml:space="preserve"> London</w:t>
      </w:r>
      <w:r w:rsidR="003920DF">
        <w:rPr>
          <w:rFonts w:ascii="Tahoma" w:eastAsia="Calibri" w:hAnsi="Tahoma" w:cs="Tahoma"/>
          <w:sz w:val="24"/>
          <w:szCs w:val="24"/>
        </w:rPr>
        <w:t xml:space="preserve">, </w:t>
      </w:r>
      <w:r w:rsidRPr="007E34A1">
        <w:rPr>
          <w:rFonts w:ascii="Tahoma" w:eastAsia="Calibri" w:hAnsi="Tahoma" w:cs="Tahoma"/>
          <w:sz w:val="24"/>
          <w:szCs w:val="24"/>
        </w:rPr>
        <w:t>pp. 157-169.</w:t>
      </w:r>
    </w:p>
    <w:sectPr w:rsidR="00D50397" w:rsidRPr="007E34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87F7" w14:textId="77777777" w:rsidR="007B0C01" w:rsidRDefault="007B0C01" w:rsidP="00955BAB">
      <w:pPr>
        <w:spacing w:after="0" w:line="240" w:lineRule="auto"/>
      </w:pPr>
      <w:r>
        <w:separator/>
      </w:r>
    </w:p>
  </w:endnote>
  <w:endnote w:type="continuationSeparator" w:id="0">
    <w:p w14:paraId="429FF57B" w14:textId="77777777" w:rsidR="007B0C01" w:rsidRDefault="007B0C01" w:rsidP="0095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729B" w14:textId="77777777" w:rsidR="008B3A27" w:rsidRDefault="008B3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47A92F4A" w14:textId="77777777" w:rsidR="009F166D" w:rsidRPr="00C33412" w:rsidRDefault="009F166D" w:rsidP="009F166D">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40880F30" w14:textId="77777777" w:rsidR="009F166D" w:rsidRPr="00C33412" w:rsidRDefault="009F166D" w:rsidP="009F166D">
        <w:pPr>
          <w:pStyle w:val="Footer"/>
          <w:rPr>
            <w:rFonts w:ascii="Tahoma" w:hAnsi="Tahoma" w:cs="Tahoma"/>
            <w:sz w:val="20"/>
            <w:szCs w:val="20"/>
          </w:rPr>
        </w:pPr>
        <w:r w:rsidRPr="00C33412">
          <w:rPr>
            <w:rFonts w:ascii="Tahoma" w:hAnsi="Tahoma" w:cs="Tahoma"/>
            <w:sz w:val="20"/>
            <w:szCs w:val="20"/>
          </w:rPr>
          <w:t>© IPiHE 2023</w:t>
        </w:r>
      </w:p>
      <w:p w14:paraId="3EBB6E18" w14:textId="77777777" w:rsidR="009F166D" w:rsidRDefault="009F166D" w:rsidP="009F166D">
        <w:pPr>
          <w:pStyle w:val="Footer"/>
          <w:tabs>
            <w:tab w:val="center" w:pos="4819"/>
            <w:tab w:val="right" w:pos="9638"/>
          </w:tabs>
        </w:pPr>
        <w:r w:rsidRPr="00C33412">
          <w:rPr>
            <w:rFonts w:ascii="Tahoma" w:hAnsi="Tahoma" w:cs="Tahoma"/>
            <w:sz w:val="20"/>
            <w:szCs w:val="20"/>
          </w:rPr>
          <w:t>ISSN: 2044-3315</w:t>
        </w:r>
      </w:p>
    </w:sdtContent>
  </w:sdt>
  <w:p w14:paraId="007883A1" w14:textId="77777777" w:rsidR="00207674" w:rsidRDefault="00207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E560" w14:textId="77777777" w:rsidR="008B3A27" w:rsidRDefault="008B3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5587" w14:textId="77777777" w:rsidR="007B0C01" w:rsidRDefault="007B0C01" w:rsidP="00955BAB">
      <w:pPr>
        <w:spacing w:after="0" w:line="240" w:lineRule="auto"/>
      </w:pPr>
      <w:r>
        <w:separator/>
      </w:r>
    </w:p>
  </w:footnote>
  <w:footnote w:type="continuationSeparator" w:id="0">
    <w:p w14:paraId="633025DA" w14:textId="77777777" w:rsidR="007B0C01" w:rsidRDefault="007B0C01" w:rsidP="00955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FFC8" w14:textId="77777777" w:rsidR="008B3A27" w:rsidRDefault="008B3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D464" w14:textId="48B192C0" w:rsidR="008F6818" w:rsidRPr="00C33412" w:rsidRDefault="008F6818" w:rsidP="008F6818">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Pr>
        <w:rFonts w:ascii="Tahoma" w:hAnsi="Tahoma" w:cs="Tahoma"/>
        <w:sz w:val="20"/>
        <w:szCs w:val="20"/>
      </w:rPr>
      <w:t>Stoten</w:t>
    </w:r>
  </w:p>
  <w:p w14:paraId="4710B766" w14:textId="45B9EDB9" w:rsidR="008F6818" w:rsidRDefault="008F6818" w:rsidP="008F6818">
    <w:pPr>
      <w:pStyle w:val="Header"/>
      <w:rPr>
        <w:rFonts w:ascii="Tahoma" w:hAnsi="Tahoma" w:cs="Tahoma"/>
        <w:sz w:val="20"/>
        <w:szCs w:val="20"/>
      </w:rPr>
    </w:pPr>
    <w:r w:rsidRPr="00C33412">
      <w:rPr>
        <w:rFonts w:ascii="Tahoma" w:hAnsi="Tahoma" w:cs="Tahoma"/>
        <w:sz w:val="20"/>
        <w:szCs w:val="20"/>
      </w:rPr>
      <w:t xml:space="preserve">Vol </w:t>
    </w:r>
    <w:r w:rsidR="008B3A27">
      <w:rPr>
        <w:rFonts w:ascii="Tahoma" w:hAnsi="Tahoma" w:cs="Tahoma"/>
        <w:sz w:val="20"/>
        <w:szCs w:val="20"/>
      </w:rPr>
      <w:t>5</w:t>
    </w:r>
    <w:r w:rsidRPr="00C33412">
      <w:rPr>
        <w:rFonts w:ascii="Tahoma" w:hAnsi="Tahoma" w:cs="Tahoma"/>
        <w:sz w:val="20"/>
        <w:szCs w:val="20"/>
      </w:rPr>
      <w:t xml:space="preserve"> (</w:t>
    </w:r>
    <w:r w:rsidR="008B3A27">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sidRPr="00C33412">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Pr>
        <w:rFonts w:ascii="Tahoma" w:hAnsi="Tahoma" w:cs="Tahoma"/>
        <w:sz w:val="20"/>
        <w:szCs w:val="20"/>
      </w:rPr>
      <w:t>Using Canvas to conceptualise</w:t>
    </w:r>
  </w:p>
  <w:p w14:paraId="6758B14C" w14:textId="4B354CD9" w:rsidR="008F6818" w:rsidRPr="00C33412" w:rsidRDefault="008F6818" w:rsidP="008F6818">
    <w:pPr>
      <w:pStyle w:val="Header"/>
      <w:rPr>
        <w:rFonts w:ascii="Tahoma" w:hAnsi="Tahoma" w:cs="Tahoma"/>
        <w:sz w:val="20"/>
        <w:szCs w:val="20"/>
      </w:rPr>
    </w:pPr>
    <w:r>
      <w:rPr>
        <w:rFonts w:ascii="Tahoma" w:hAnsi="Tahoma" w:cs="Tahoma"/>
        <w:sz w:val="20"/>
        <w:szCs w:val="20"/>
      </w:rPr>
      <w:tab/>
    </w:r>
    <w:r>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sidR="001F28A2">
      <w:rPr>
        <w:rFonts w:ascii="Tahoma" w:hAnsi="Tahoma" w:cs="Tahoma"/>
        <w:sz w:val="20"/>
        <w:szCs w:val="20"/>
      </w:rPr>
      <w:tab/>
    </w:r>
    <w:r>
      <w:rPr>
        <w:rFonts w:ascii="Tahoma" w:hAnsi="Tahoma" w:cs="Tahoma"/>
        <w:sz w:val="20"/>
        <w:szCs w:val="20"/>
      </w:rPr>
      <w:t>Heutagogical Executive Education</w:t>
    </w:r>
  </w:p>
  <w:p w14:paraId="0E7CA57C" w14:textId="77777777" w:rsidR="008F6818" w:rsidRDefault="008F6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30C5" w14:textId="77777777" w:rsidR="008B3A27" w:rsidRDefault="008B3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110F"/>
    <w:multiLevelType w:val="hybridMultilevel"/>
    <w:tmpl w:val="600A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32449"/>
    <w:multiLevelType w:val="hybridMultilevel"/>
    <w:tmpl w:val="0F8A8DA2"/>
    <w:lvl w:ilvl="0" w:tplc="957413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401864">
    <w:abstractNumId w:val="1"/>
  </w:num>
  <w:num w:numId="2" w16cid:durableId="128812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397"/>
    <w:rsid w:val="00017082"/>
    <w:rsid w:val="000170E8"/>
    <w:rsid w:val="00022E6B"/>
    <w:rsid w:val="00023C11"/>
    <w:rsid w:val="000422C4"/>
    <w:rsid w:val="00045072"/>
    <w:rsid w:val="00054CE1"/>
    <w:rsid w:val="00082DEB"/>
    <w:rsid w:val="00090E21"/>
    <w:rsid w:val="0009489C"/>
    <w:rsid w:val="000C2E3F"/>
    <w:rsid w:val="000E0FDA"/>
    <w:rsid w:val="000E3B5A"/>
    <w:rsid w:val="000E6D02"/>
    <w:rsid w:val="00103D67"/>
    <w:rsid w:val="00105918"/>
    <w:rsid w:val="00110E72"/>
    <w:rsid w:val="00137CD5"/>
    <w:rsid w:val="001471B5"/>
    <w:rsid w:val="001478FD"/>
    <w:rsid w:val="001741E2"/>
    <w:rsid w:val="00176962"/>
    <w:rsid w:val="001B0C3B"/>
    <w:rsid w:val="001C5087"/>
    <w:rsid w:val="001E4DD1"/>
    <w:rsid w:val="001F28A2"/>
    <w:rsid w:val="001F74EC"/>
    <w:rsid w:val="00206C14"/>
    <w:rsid w:val="00207674"/>
    <w:rsid w:val="002128CE"/>
    <w:rsid w:val="00217B46"/>
    <w:rsid w:val="00246436"/>
    <w:rsid w:val="00250E39"/>
    <w:rsid w:val="00255FD2"/>
    <w:rsid w:val="00271699"/>
    <w:rsid w:val="00291824"/>
    <w:rsid w:val="00296BC2"/>
    <w:rsid w:val="002A62A9"/>
    <w:rsid w:val="002C452D"/>
    <w:rsid w:val="002D7F31"/>
    <w:rsid w:val="002F3576"/>
    <w:rsid w:val="003009C6"/>
    <w:rsid w:val="0030456C"/>
    <w:rsid w:val="00315FF3"/>
    <w:rsid w:val="003241F1"/>
    <w:rsid w:val="00324DC6"/>
    <w:rsid w:val="003400C0"/>
    <w:rsid w:val="00344BC5"/>
    <w:rsid w:val="003920DF"/>
    <w:rsid w:val="003B682D"/>
    <w:rsid w:val="003B766D"/>
    <w:rsid w:val="003C09C2"/>
    <w:rsid w:val="003D5F8D"/>
    <w:rsid w:val="00421509"/>
    <w:rsid w:val="0043117D"/>
    <w:rsid w:val="00435774"/>
    <w:rsid w:val="004451B7"/>
    <w:rsid w:val="00450997"/>
    <w:rsid w:val="0045469C"/>
    <w:rsid w:val="00476D3B"/>
    <w:rsid w:val="00477D23"/>
    <w:rsid w:val="00487ADD"/>
    <w:rsid w:val="00492C91"/>
    <w:rsid w:val="004A19AE"/>
    <w:rsid w:val="004B0C85"/>
    <w:rsid w:val="004B5C7B"/>
    <w:rsid w:val="004C15FD"/>
    <w:rsid w:val="004F1FF6"/>
    <w:rsid w:val="005131E2"/>
    <w:rsid w:val="0051504A"/>
    <w:rsid w:val="00524BDF"/>
    <w:rsid w:val="00527186"/>
    <w:rsid w:val="005314FD"/>
    <w:rsid w:val="00536B9C"/>
    <w:rsid w:val="005456D9"/>
    <w:rsid w:val="00557A19"/>
    <w:rsid w:val="00557D58"/>
    <w:rsid w:val="00590E3F"/>
    <w:rsid w:val="00594801"/>
    <w:rsid w:val="005977A1"/>
    <w:rsid w:val="00597BBE"/>
    <w:rsid w:val="005C31BE"/>
    <w:rsid w:val="0065340C"/>
    <w:rsid w:val="006541B6"/>
    <w:rsid w:val="00666B1A"/>
    <w:rsid w:val="00693694"/>
    <w:rsid w:val="00695BB8"/>
    <w:rsid w:val="006A07C8"/>
    <w:rsid w:val="006D18E2"/>
    <w:rsid w:val="006D4E34"/>
    <w:rsid w:val="006E4F8A"/>
    <w:rsid w:val="006F13D0"/>
    <w:rsid w:val="00702757"/>
    <w:rsid w:val="007145E6"/>
    <w:rsid w:val="0074110C"/>
    <w:rsid w:val="007424D5"/>
    <w:rsid w:val="00757D28"/>
    <w:rsid w:val="007703E3"/>
    <w:rsid w:val="00782CB8"/>
    <w:rsid w:val="0079697D"/>
    <w:rsid w:val="00796A3A"/>
    <w:rsid w:val="007B0C01"/>
    <w:rsid w:val="007B31B1"/>
    <w:rsid w:val="007B7218"/>
    <w:rsid w:val="007C07A0"/>
    <w:rsid w:val="007C2F4B"/>
    <w:rsid w:val="007D7942"/>
    <w:rsid w:val="007E34A1"/>
    <w:rsid w:val="007E4F73"/>
    <w:rsid w:val="00821171"/>
    <w:rsid w:val="00842573"/>
    <w:rsid w:val="00844DBB"/>
    <w:rsid w:val="00847D3D"/>
    <w:rsid w:val="00854D30"/>
    <w:rsid w:val="00863B89"/>
    <w:rsid w:val="00865ACD"/>
    <w:rsid w:val="00867B9C"/>
    <w:rsid w:val="00885A8C"/>
    <w:rsid w:val="00886672"/>
    <w:rsid w:val="008B3A27"/>
    <w:rsid w:val="008E1DA3"/>
    <w:rsid w:val="008F4A66"/>
    <w:rsid w:val="008F6818"/>
    <w:rsid w:val="009334DB"/>
    <w:rsid w:val="00935898"/>
    <w:rsid w:val="00951138"/>
    <w:rsid w:val="00953301"/>
    <w:rsid w:val="00953648"/>
    <w:rsid w:val="00955BAB"/>
    <w:rsid w:val="009651BA"/>
    <w:rsid w:val="00981D46"/>
    <w:rsid w:val="009B135C"/>
    <w:rsid w:val="009B741C"/>
    <w:rsid w:val="009C0B68"/>
    <w:rsid w:val="009C1882"/>
    <w:rsid w:val="009C1F9D"/>
    <w:rsid w:val="009D1459"/>
    <w:rsid w:val="009D43E7"/>
    <w:rsid w:val="009D5B84"/>
    <w:rsid w:val="009D6F2F"/>
    <w:rsid w:val="009E7DB5"/>
    <w:rsid w:val="009F166D"/>
    <w:rsid w:val="00A219FF"/>
    <w:rsid w:val="00A30C64"/>
    <w:rsid w:val="00A545FE"/>
    <w:rsid w:val="00A71D08"/>
    <w:rsid w:val="00A7319F"/>
    <w:rsid w:val="00A85514"/>
    <w:rsid w:val="00A85DD6"/>
    <w:rsid w:val="00A87133"/>
    <w:rsid w:val="00AA75A7"/>
    <w:rsid w:val="00AB02A9"/>
    <w:rsid w:val="00AC090C"/>
    <w:rsid w:val="00AC209E"/>
    <w:rsid w:val="00AC3C42"/>
    <w:rsid w:val="00AD0039"/>
    <w:rsid w:val="00AD43BC"/>
    <w:rsid w:val="00AD6E89"/>
    <w:rsid w:val="00AE5949"/>
    <w:rsid w:val="00B07E5E"/>
    <w:rsid w:val="00B227A2"/>
    <w:rsid w:val="00B460F9"/>
    <w:rsid w:val="00B64747"/>
    <w:rsid w:val="00B769B5"/>
    <w:rsid w:val="00B83677"/>
    <w:rsid w:val="00BA0400"/>
    <w:rsid w:val="00BB71D0"/>
    <w:rsid w:val="00BC1D7D"/>
    <w:rsid w:val="00BD55A8"/>
    <w:rsid w:val="00C07243"/>
    <w:rsid w:val="00C35BD2"/>
    <w:rsid w:val="00C41713"/>
    <w:rsid w:val="00C46163"/>
    <w:rsid w:val="00C47748"/>
    <w:rsid w:val="00C4774A"/>
    <w:rsid w:val="00C6197E"/>
    <w:rsid w:val="00C6618B"/>
    <w:rsid w:val="00C91BF4"/>
    <w:rsid w:val="00CA1201"/>
    <w:rsid w:val="00CA31E4"/>
    <w:rsid w:val="00CA502E"/>
    <w:rsid w:val="00CB2C66"/>
    <w:rsid w:val="00CC2296"/>
    <w:rsid w:val="00CD72E6"/>
    <w:rsid w:val="00CE3B73"/>
    <w:rsid w:val="00CF588E"/>
    <w:rsid w:val="00D22A5F"/>
    <w:rsid w:val="00D23D50"/>
    <w:rsid w:val="00D3250B"/>
    <w:rsid w:val="00D50397"/>
    <w:rsid w:val="00D83D31"/>
    <w:rsid w:val="00D97809"/>
    <w:rsid w:val="00DD06B2"/>
    <w:rsid w:val="00DD2CA4"/>
    <w:rsid w:val="00DD35FD"/>
    <w:rsid w:val="00DE68E0"/>
    <w:rsid w:val="00DF0D1A"/>
    <w:rsid w:val="00E16F78"/>
    <w:rsid w:val="00E178A1"/>
    <w:rsid w:val="00E43C62"/>
    <w:rsid w:val="00E93D22"/>
    <w:rsid w:val="00EA448C"/>
    <w:rsid w:val="00EA729D"/>
    <w:rsid w:val="00EB4F80"/>
    <w:rsid w:val="00EE0A2F"/>
    <w:rsid w:val="00F043D7"/>
    <w:rsid w:val="00F05D0D"/>
    <w:rsid w:val="00F14264"/>
    <w:rsid w:val="00F15B4D"/>
    <w:rsid w:val="00F43B91"/>
    <w:rsid w:val="00F725A4"/>
    <w:rsid w:val="00F72F01"/>
    <w:rsid w:val="00FE69EC"/>
    <w:rsid w:val="00FF5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4D559"/>
  <w15:docId w15:val="{613CB704-3F18-43AC-BB4E-99C313AB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2A9"/>
    <w:rPr>
      <w:color w:val="0000FF" w:themeColor="hyperlink"/>
      <w:u w:val="single"/>
    </w:rPr>
  </w:style>
  <w:style w:type="paragraph" w:styleId="Header">
    <w:name w:val="header"/>
    <w:basedOn w:val="Normal"/>
    <w:link w:val="HeaderChar"/>
    <w:uiPriority w:val="99"/>
    <w:unhideWhenUsed/>
    <w:rsid w:val="00955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BAB"/>
  </w:style>
  <w:style w:type="paragraph" w:styleId="Footer">
    <w:name w:val="footer"/>
    <w:basedOn w:val="Normal"/>
    <w:link w:val="FooterChar"/>
    <w:uiPriority w:val="99"/>
    <w:unhideWhenUsed/>
    <w:rsid w:val="00955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BAB"/>
  </w:style>
  <w:style w:type="paragraph" w:styleId="BalloonText">
    <w:name w:val="Balloon Text"/>
    <w:basedOn w:val="Normal"/>
    <w:link w:val="BalloonTextChar"/>
    <w:uiPriority w:val="99"/>
    <w:semiHidden/>
    <w:unhideWhenUsed/>
    <w:rsid w:val="00492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C91"/>
    <w:rPr>
      <w:rFonts w:ascii="Tahoma" w:hAnsi="Tahoma" w:cs="Tahoma"/>
      <w:sz w:val="16"/>
      <w:szCs w:val="16"/>
    </w:rPr>
  </w:style>
  <w:style w:type="table" w:styleId="TableGrid">
    <w:name w:val="Table Grid"/>
    <w:basedOn w:val="TableNormal"/>
    <w:uiPriority w:val="39"/>
    <w:rsid w:val="0042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unhideWhenUsed/>
    <w:rsid w:val="00A87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452D"/>
    <w:rPr>
      <w:color w:val="800080" w:themeColor="followedHyperlink"/>
      <w:u w:val="single"/>
    </w:rPr>
  </w:style>
  <w:style w:type="paragraph" w:styleId="ListParagraph">
    <w:name w:val="List Paragraph"/>
    <w:basedOn w:val="Normal"/>
    <w:uiPriority w:val="34"/>
    <w:qFormat/>
    <w:rsid w:val="00AD43BC"/>
    <w:pPr>
      <w:spacing w:after="160" w:line="259" w:lineRule="auto"/>
      <w:ind w:left="720"/>
      <w:contextualSpacing/>
    </w:pPr>
  </w:style>
  <w:style w:type="character" w:styleId="UnresolvedMention">
    <w:name w:val="Unresolved Mention"/>
    <w:basedOn w:val="DefaultParagraphFont"/>
    <w:uiPriority w:val="99"/>
    <w:semiHidden/>
    <w:unhideWhenUsed/>
    <w:rsid w:val="000E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77/014920630944118" TargetMode="External"/><Relationship Id="rId26" Type="http://schemas.openxmlformats.org/officeDocument/2006/relationships/hyperlink" Target="https://doi.org/10.5465/annals.2014.0072" TargetMode="External"/><Relationship Id="rId3" Type="http://schemas.openxmlformats.org/officeDocument/2006/relationships/settings" Target="settings.xml"/><Relationship Id="rId21" Type="http://schemas.openxmlformats.org/officeDocument/2006/relationships/hyperlink" Target="https://dx.doi.org/10.1016/j.clepro.2017.04.112" TargetMode="External"/><Relationship Id="rId34" Type="http://schemas.openxmlformats.org/officeDocument/2006/relationships/hyperlink" Target="https://doi.org/10.1016/j.ijme.2022.100650" TargetMode="External"/><Relationship Id="rId7" Type="http://schemas.openxmlformats.org/officeDocument/2006/relationships/hyperlink" Target="mailto:david.stoten@northumbria.ac.uk" TargetMode="External"/><Relationship Id="rId12" Type="http://schemas.openxmlformats.org/officeDocument/2006/relationships/header" Target="header3.xml"/><Relationship Id="rId17" Type="http://schemas.openxmlformats.org/officeDocument/2006/relationships/hyperlink" Target="https://doi.org/10.1016/j.jbusres.2020.03.003" TargetMode="External"/><Relationship Id="rId25" Type="http://schemas.openxmlformats.org/officeDocument/2006/relationships/hyperlink" Target="https://ssrn.com/abstract=35/2085" TargetMode="External"/><Relationship Id="rId33" Type="http://schemas.openxmlformats.org/officeDocument/2006/relationships/hyperlink" Target="https://doi.org/10.1007/s41463-016-0016-0" TargetMode="External"/><Relationship Id="rId2" Type="http://schemas.openxmlformats.org/officeDocument/2006/relationships/styles" Target="styles.xml"/><Relationship Id="rId16" Type="http://schemas.openxmlformats.org/officeDocument/2006/relationships/hyperlink" Target="https://files.eric.ed.gov/fulltext/ED557241.pdf" TargetMode="External"/><Relationship Id="rId20" Type="http://schemas.openxmlformats.org/officeDocument/2006/relationships/hyperlink" Target="https://www.aacsb.edu/insights/articles/2021/02/executive-education-is-changing-for-good" TargetMode="External"/><Relationship Id="rId29" Type="http://schemas.openxmlformats.org/officeDocument/2006/relationships/hyperlink" Target="https://doi.org/10.1016/j.scitotenv.2021.147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108/EJTD-03-2021-0044" TargetMode="External"/><Relationship Id="rId32" Type="http://schemas.openxmlformats.org/officeDocument/2006/relationships/hyperlink" Target="https://doi.org.10.1016/j.jbusres.2019.07.039" TargetMode="External"/><Relationship Id="rId5" Type="http://schemas.openxmlformats.org/officeDocument/2006/relationships/footnotes" Target="footnotes.xml"/><Relationship Id="rId15" Type="http://schemas.openxmlformats.org/officeDocument/2006/relationships/hyperlink" Target="https://doi.org/10.1016/j.lrp.2010.02.005" TargetMode="External"/><Relationship Id="rId23" Type="http://schemas.openxmlformats.org/officeDocument/2006/relationships/hyperlink" Target="https://www.ft.com/content/0c4a7b50-4226-45f7-8433-ed6cbdde9202" TargetMode="External"/><Relationship Id="rId28" Type="http://schemas.openxmlformats.org/officeDocument/2006/relationships/hyperlink" Target="https://www.unprme.or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177/2158244018800647" TargetMode="External"/><Relationship Id="rId31" Type="http://schemas.openxmlformats.org/officeDocument/2006/relationships/hyperlink" Target="https://doi.org/10.1080/17508975.2013.807768"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177/1052562918779421" TargetMode="External"/><Relationship Id="rId22" Type="http://schemas.openxmlformats.org/officeDocument/2006/relationships/hyperlink" Target="https://doi.org/10.1108/EJTD-03-2021-0044" TargetMode="External"/><Relationship Id="rId27" Type="http://schemas.openxmlformats.org/officeDocument/2006/relationships/hyperlink" Target="https://doi.org/10.1177/1541344614540333" TargetMode="External"/><Relationship Id="rId30" Type="http://schemas.openxmlformats.org/officeDocument/2006/relationships/hyperlink" Target="https://www.uniconexed.org/unicon-research-report-what-are-the-jobs-to-be-done-in-the-future-of-executive-education-tom-ryan/"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Pages>
  <Words>6654</Words>
  <Characters>37930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Christopher Little</cp:lastModifiedBy>
  <cp:revision>51</cp:revision>
  <cp:lastPrinted>2023-02-17T10:32:00Z</cp:lastPrinted>
  <dcterms:created xsi:type="dcterms:W3CDTF">2023-02-17T10:23:00Z</dcterms:created>
  <dcterms:modified xsi:type="dcterms:W3CDTF">2023-05-22T15:18:00Z</dcterms:modified>
</cp:coreProperties>
</file>