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C8D5" w14:textId="793434DE" w:rsidR="00CF2DA9" w:rsidRDefault="00A01B11" w:rsidP="0044118C">
      <w:pPr>
        <w:spacing w:before="240" w:after="0" w:line="360" w:lineRule="auto"/>
        <w:rPr>
          <w:rFonts w:ascii="Tahoma" w:eastAsia="Times New Roman" w:hAnsi="Tahoma" w:cs="Tahoma"/>
          <w:b/>
          <w:bCs/>
          <w:color w:val="000000"/>
          <w:sz w:val="32"/>
          <w:szCs w:val="32"/>
          <w:lang w:eastAsia="en-GB"/>
        </w:rPr>
      </w:pPr>
      <w:r w:rsidRPr="0044118C">
        <w:rPr>
          <w:rFonts w:ascii="Tahoma" w:eastAsia="Times New Roman" w:hAnsi="Tahoma" w:cs="Tahoma"/>
          <w:b/>
          <w:bCs/>
          <w:color w:val="000000"/>
          <w:sz w:val="32"/>
          <w:szCs w:val="32"/>
          <w:lang w:eastAsia="en-GB"/>
        </w:rPr>
        <w:t xml:space="preserve">An </w:t>
      </w:r>
      <w:r w:rsidR="00BE22DF" w:rsidRPr="0044118C">
        <w:rPr>
          <w:rFonts w:ascii="Tahoma" w:eastAsia="Times New Roman" w:hAnsi="Tahoma" w:cs="Tahoma"/>
          <w:b/>
          <w:bCs/>
          <w:color w:val="000000"/>
          <w:sz w:val="32"/>
          <w:szCs w:val="32"/>
          <w:lang w:eastAsia="en-GB"/>
        </w:rPr>
        <w:t>evidence-based</w:t>
      </w:r>
      <w:r w:rsidRPr="0044118C">
        <w:rPr>
          <w:rFonts w:ascii="Tahoma" w:eastAsia="Times New Roman" w:hAnsi="Tahoma" w:cs="Tahoma"/>
          <w:b/>
          <w:bCs/>
          <w:color w:val="000000"/>
          <w:sz w:val="32"/>
          <w:szCs w:val="32"/>
          <w:lang w:eastAsia="en-GB"/>
        </w:rPr>
        <w:t xml:space="preserve"> approach to re-engaging students by re-framing support for success </w:t>
      </w:r>
    </w:p>
    <w:p w14:paraId="40199692" w14:textId="77777777" w:rsidR="00BE22DF" w:rsidRDefault="00BE22DF" w:rsidP="0044118C">
      <w:pPr>
        <w:spacing w:after="0" w:line="360" w:lineRule="auto"/>
        <w:rPr>
          <w:rFonts w:ascii="Tahoma" w:eastAsia="Times New Roman" w:hAnsi="Tahoma" w:cs="Tahoma"/>
          <w:b/>
          <w:bCs/>
          <w:color w:val="000000"/>
          <w:sz w:val="28"/>
          <w:szCs w:val="28"/>
          <w:lang w:eastAsia="en-GB"/>
        </w:rPr>
      </w:pPr>
    </w:p>
    <w:p w14:paraId="6D3EA04F" w14:textId="7B42789A" w:rsidR="00406588" w:rsidRPr="0044118C" w:rsidRDefault="00CF2DA9" w:rsidP="0044118C">
      <w:pPr>
        <w:spacing w:after="0" w:line="360" w:lineRule="auto"/>
        <w:rPr>
          <w:rFonts w:ascii="Tahoma" w:eastAsia="Times New Roman" w:hAnsi="Tahoma" w:cs="Tahoma"/>
          <w:sz w:val="24"/>
          <w:szCs w:val="24"/>
          <w:lang w:eastAsia="en-GB"/>
        </w:rPr>
      </w:pPr>
      <w:r w:rsidRPr="0044118C">
        <w:rPr>
          <w:rFonts w:ascii="Tahoma" w:eastAsia="Times New Roman" w:hAnsi="Tahoma" w:cs="Tahoma"/>
          <w:b/>
          <w:bCs/>
          <w:color w:val="000000"/>
          <w:sz w:val="28"/>
          <w:szCs w:val="28"/>
          <w:lang w:eastAsia="en-GB"/>
        </w:rPr>
        <w:t>J</w:t>
      </w:r>
      <w:r w:rsidR="00811CF9" w:rsidRPr="0044118C">
        <w:rPr>
          <w:rFonts w:ascii="Tahoma" w:eastAsia="Times New Roman" w:hAnsi="Tahoma" w:cs="Tahoma"/>
          <w:b/>
          <w:bCs/>
          <w:color w:val="000000"/>
          <w:sz w:val="28"/>
          <w:szCs w:val="28"/>
          <w:lang w:eastAsia="en-GB"/>
        </w:rPr>
        <w:t>ess Power</w:t>
      </w:r>
      <w:r w:rsidR="00811CF9" w:rsidRPr="0044118C">
        <w:rPr>
          <w:rFonts w:ascii="Tahoma" w:eastAsia="Times New Roman" w:hAnsi="Tahoma" w:cs="Tahoma"/>
          <w:b/>
          <w:bCs/>
          <w:color w:val="000000"/>
          <w:sz w:val="28"/>
          <w:szCs w:val="28"/>
          <w:vertAlign w:val="superscript"/>
          <w:lang w:eastAsia="en-GB"/>
        </w:rPr>
        <w:t>1</w:t>
      </w:r>
      <w:r w:rsidR="00811CF9" w:rsidRPr="0044118C">
        <w:rPr>
          <w:rFonts w:ascii="Tahoma" w:eastAsia="Times New Roman" w:hAnsi="Tahoma" w:cs="Tahoma"/>
          <w:b/>
          <w:bCs/>
          <w:color w:val="000000"/>
          <w:sz w:val="28"/>
          <w:szCs w:val="28"/>
          <w:lang w:eastAsia="en-GB"/>
        </w:rPr>
        <w:t>, Alison Griffiths</w:t>
      </w:r>
      <w:r w:rsidR="00811CF9" w:rsidRPr="0044118C">
        <w:rPr>
          <w:rFonts w:ascii="Tahoma" w:eastAsia="Times New Roman" w:hAnsi="Tahoma" w:cs="Tahoma"/>
          <w:b/>
          <w:bCs/>
          <w:color w:val="000000"/>
          <w:sz w:val="28"/>
          <w:szCs w:val="28"/>
          <w:vertAlign w:val="superscript"/>
          <w:lang w:eastAsia="en-GB"/>
        </w:rPr>
        <w:t>2</w:t>
      </w:r>
      <w:r w:rsidR="00811CF9" w:rsidRPr="0044118C">
        <w:rPr>
          <w:rFonts w:ascii="Tahoma" w:eastAsia="Times New Roman" w:hAnsi="Tahoma" w:cs="Tahoma"/>
          <w:b/>
          <w:bCs/>
          <w:color w:val="000000"/>
          <w:sz w:val="28"/>
          <w:szCs w:val="28"/>
          <w:lang w:eastAsia="en-GB"/>
        </w:rPr>
        <w:t xml:space="preserve"> and Stella Jones-Devitt</w:t>
      </w:r>
      <w:r w:rsidR="00811CF9" w:rsidRPr="0044118C">
        <w:rPr>
          <w:rFonts w:ascii="Tahoma" w:eastAsia="Times New Roman" w:hAnsi="Tahoma" w:cs="Tahoma"/>
          <w:b/>
          <w:bCs/>
          <w:color w:val="000000"/>
          <w:sz w:val="28"/>
          <w:szCs w:val="28"/>
          <w:vertAlign w:val="superscript"/>
          <w:lang w:eastAsia="en-GB"/>
        </w:rPr>
        <w:t>3</w:t>
      </w:r>
    </w:p>
    <w:p w14:paraId="7DDE9101" w14:textId="77777777" w:rsidR="00811CF9" w:rsidRPr="0044118C" w:rsidRDefault="00811CF9" w:rsidP="0044118C">
      <w:pPr>
        <w:spacing w:after="0"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vertAlign w:val="superscript"/>
          <w:lang w:eastAsia="en-GB"/>
        </w:rPr>
        <w:t>1</w:t>
      </w:r>
      <w:r w:rsidRPr="0044118C">
        <w:rPr>
          <w:rFonts w:ascii="Tahoma" w:eastAsia="Times New Roman" w:hAnsi="Tahoma" w:cs="Tahoma"/>
          <w:color w:val="000000"/>
          <w:sz w:val="24"/>
          <w:szCs w:val="24"/>
          <w:lang w:eastAsia="en-GB"/>
        </w:rPr>
        <w:t xml:space="preserve"> Learning and Teaching Enhancement Centre, University of Salford, Salford, UK</w:t>
      </w:r>
    </w:p>
    <w:p w14:paraId="5E6DCDB8" w14:textId="77777777" w:rsidR="00811CF9" w:rsidRPr="0044118C" w:rsidRDefault="00811CF9" w:rsidP="0044118C">
      <w:pPr>
        <w:spacing w:after="0"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vertAlign w:val="superscript"/>
          <w:lang w:eastAsia="en-GB"/>
        </w:rPr>
        <w:t>2</w:t>
      </w:r>
      <w:r w:rsidRPr="0044118C">
        <w:rPr>
          <w:rFonts w:ascii="Tahoma" w:eastAsia="Times New Roman" w:hAnsi="Tahoma" w:cs="Tahoma"/>
          <w:color w:val="000000"/>
          <w:sz w:val="24"/>
          <w:szCs w:val="24"/>
          <w:lang w:eastAsia="en-GB"/>
        </w:rPr>
        <w:t xml:space="preserve"> School of Digital, Technologies and Arts, Staffordshire University, Stoke-on-Trent, UK</w:t>
      </w:r>
    </w:p>
    <w:p w14:paraId="29ECD8A2" w14:textId="3776AC1C" w:rsidR="00406588" w:rsidRPr="0044118C" w:rsidRDefault="00811CF9" w:rsidP="0044118C">
      <w:pPr>
        <w:spacing w:after="0"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vertAlign w:val="superscript"/>
          <w:lang w:eastAsia="en-GB"/>
        </w:rPr>
        <w:t>3</w:t>
      </w:r>
      <w:r w:rsidRPr="0044118C">
        <w:rPr>
          <w:rFonts w:ascii="Tahoma" w:eastAsia="Times New Roman" w:hAnsi="Tahoma" w:cs="Tahoma"/>
          <w:color w:val="000000"/>
          <w:sz w:val="24"/>
          <w:szCs w:val="24"/>
          <w:lang w:eastAsia="en-GB"/>
        </w:rPr>
        <w:t xml:space="preserve"> Staffordshire Centre of Learning and Pedagogic Practice, Staffordshire University, Stoke-on-Trent, UK.</w:t>
      </w:r>
      <w:r w:rsidR="006335C0" w:rsidRPr="0044118C">
        <w:rPr>
          <w:rFonts w:ascii="Tahoma" w:eastAsia="Times New Roman" w:hAnsi="Tahoma" w:cs="Tahoma"/>
          <w:color w:val="000000"/>
          <w:sz w:val="24"/>
          <w:szCs w:val="24"/>
          <w:lang w:eastAsia="en-GB"/>
        </w:rPr>
        <w:t xml:space="preserve"> </w:t>
      </w:r>
    </w:p>
    <w:p w14:paraId="75D83FF9" w14:textId="15249F83" w:rsidR="00811CF9" w:rsidRPr="0044118C" w:rsidRDefault="00406588" w:rsidP="0044118C">
      <w:pPr>
        <w:spacing w:before="240" w:after="0"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Corresponding author: </w:t>
      </w:r>
      <w:hyperlink r:id="rId8" w:history="1">
        <w:r w:rsidR="00811CF9" w:rsidRPr="0044118C">
          <w:rPr>
            <w:rStyle w:val="Hyperlink"/>
            <w:rFonts w:ascii="Tahoma" w:eastAsia="Times New Roman" w:hAnsi="Tahoma" w:cs="Tahoma"/>
            <w:sz w:val="24"/>
            <w:szCs w:val="24"/>
            <w:lang w:eastAsia="en-GB"/>
          </w:rPr>
          <w:t>e.j.power@salford.ac.uk</w:t>
        </w:r>
      </w:hyperlink>
    </w:p>
    <w:p w14:paraId="63E12B00" w14:textId="77777777" w:rsidR="00BE22DF" w:rsidRDefault="00BE22DF" w:rsidP="0044118C">
      <w:pPr>
        <w:spacing w:line="360" w:lineRule="auto"/>
        <w:rPr>
          <w:rFonts w:ascii="Tahoma" w:eastAsia="Times New Roman" w:hAnsi="Tahoma" w:cs="Tahoma"/>
          <w:b/>
          <w:color w:val="000000"/>
          <w:sz w:val="28"/>
          <w:szCs w:val="28"/>
          <w:lang w:eastAsia="en-GB"/>
        </w:rPr>
      </w:pPr>
    </w:p>
    <w:p w14:paraId="41AB467B" w14:textId="170D2575" w:rsidR="00CF2DA9" w:rsidRPr="0044118C" w:rsidRDefault="00BE22DF" w:rsidP="0044118C">
      <w:pPr>
        <w:spacing w:line="360" w:lineRule="auto"/>
        <w:rPr>
          <w:rFonts w:ascii="Tahoma" w:eastAsia="Times New Roman" w:hAnsi="Tahoma" w:cs="Tahoma"/>
          <w:b/>
          <w:sz w:val="24"/>
          <w:szCs w:val="24"/>
          <w:lang w:eastAsia="en-GB"/>
        </w:rPr>
      </w:pPr>
      <w:r>
        <w:rPr>
          <w:rFonts w:ascii="Tahoma" w:eastAsia="Times New Roman" w:hAnsi="Tahoma" w:cs="Tahoma"/>
          <w:b/>
          <w:color w:val="000000"/>
          <w:sz w:val="28"/>
          <w:szCs w:val="28"/>
          <w:lang w:eastAsia="en-GB"/>
        </w:rPr>
        <w:t>A</w:t>
      </w:r>
      <w:r w:rsidR="00CF2DA9" w:rsidRPr="0044118C">
        <w:rPr>
          <w:rFonts w:ascii="Tahoma" w:eastAsia="Times New Roman" w:hAnsi="Tahoma" w:cs="Tahoma"/>
          <w:b/>
          <w:color w:val="000000"/>
          <w:sz w:val="28"/>
          <w:szCs w:val="28"/>
          <w:lang w:eastAsia="en-GB"/>
        </w:rPr>
        <w:t>bstract</w:t>
      </w:r>
    </w:p>
    <w:p w14:paraId="62BBB240" w14:textId="7060C34C" w:rsidR="00CF2DA9" w:rsidRPr="0044118C" w:rsidRDefault="006B7043" w:rsidP="0044118C">
      <w:pPr>
        <w:spacing w:line="360" w:lineRule="auto"/>
        <w:rPr>
          <w:rFonts w:ascii="Tahoma" w:eastAsia="Times New Roman" w:hAnsi="Tahoma" w:cs="Tahoma"/>
          <w:sz w:val="24"/>
          <w:szCs w:val="24"/>
          <w:lang w:eastAsia="en-GB"/>
        </w:rPr>
      </w:pPr>
      <w:r w:rsidRPr="0044118C">
        <w:rPr>
          <w:rFonts w:ascii="Tahoma" w:eastAsia="Times New Roman" w:hAnsi="Tahoma" w:cs="Tahoma"/>
          <w:color w:val="000000"/>
          <w:sz w:val="24"/>
          <w:szCs w:val="24"/>
          <w:lang w:eastAsia="en-GB"/>
        </w:rPr>
        <w:t>Improving student retention and engagement is a high priority for the sector. This study presents an approach adopted within a large Academic School to re-engage students who might otherwise have been withdrawn from the system. The work presented contributes useful knowledge in two areas: firstly, in recognising the potential of re-engagement using a connected triage approach (forming effective partnerships between the student, the academic team and central guidance). Secondly, it found that 68% of students identified at potential risk of withdrawal had multiple intersections of protected characteristics.  The three highest characteristics were found to be non-traditional entry qualifications, students with traditionally low participation rates (Polar 4 quintiles 1&amp;2) and students from the most deprived neighbourhoods (IMD quintiles 1&amp;2). The work conducted in this study enables at risk students to be identified earlier; hence affording more targeted support plans to be put in place to support their learning journey when appropriate.</w:t>
      </w:r>
    </w:p>
    <w:p w14:paraId="55B22BB9" w14:textId="4FA4D8EB" w:rsidR="00CF2DA9" w:rsidRPr="0044118C" w:rsidRDefault="00CF2DA9"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b/>
          <w:bCs/>
          <w:color w:val="000000"/>
          <w:sz w:val="24"/>
          <w:szCs w:val="24"/>
          <w:lang w:eastAsia="en-GB"/>
        </w:rPr>
        <w:t xml:space="preserve">Keywords: </w:t>
      </w:r>
      <w:r w:rsidR="002E1F55" w:rsidRPr="0044118C">
        <w:rPr>
          <w:rFonts w:ascii="Tahoma" w:eastAsia="Times New Roman" w:hAnsi="Tahoma" w:cs="Tahoma"/>
          <w:color w:val="000000"/>
          <w:sz w:val="24"/>
          <w:szCs w:val="24"/>
          <w:lang w:eastAsia="en-GB"/>
        </w:rPr>
        <w:t>retention, engagement, withdrawal, evidence-based research, protected characteristics</w:t>
      </w:r>
    </w:p>
    <w:p w14:paraId="56E73D71" w14:textId="77777777" w:rsidR="00FE35A9" w:rsidRPr="0044118C" w:rsidRDefault="00FE35A9" w:rsidP="00FE35A9">
      <w:pPr>
        <w:spacing w:line="360" w:lineRule="auto"/>
        <w:rPr>
          <w:rFonts w:ascii="Tahoma" w:eastAsia="Times New Roman" w:hAnsi="Tahoma" w:cs="Tahoma"/>
          <w:b/>
          <w:sz w:val="24"/>
          <w:szCs w:val="24"/>
          <w:lang w:eastAsia="en-GB"/>
        </w:rPr>
      </w:pPr>
      <w:r w:rsidRPr="0044118C">
        <w:rPr>
          <w:rFonts w:ascii="Tahoma" w:eastAsia="Times New Roman" w:hAnsi="Tahoma" w:cs="Tahoma"/>
          <w:b/>
          <w:color w:val="000000"/>
          <w:sz w:val="28"/>
          <w:szCs w:val="28"/>
          <w:lang w:eastAsia="en-GB"/>
        </w:rPr>
        <w:lastRenderedPageBreak/>
        <w:t>Introduction</w:t>
      </w:r>
    </w:p>
    <w:p w14:paraId="002CF305"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Improving student retention and engagement is a high priority for the higher education sector. This study presents an approach adopted within a large Academic School (Creative Arts and Engineering) to re-engage students who might otherwise have been withdrawn from the system. Through exploring effective mechanisms for enhancing engagement, non-engaging students were provided with individual support packages to enable successful re-engagement with their academic studies. The study used an </w:t>
      </w:r>
      <w:proofErr w:type="gramStart"/>
      <w:r w:rsidRPr="0044118C">
        <w:rPr>
          <w:rFonts w:ascii="Tahoma" w:eastAsia="Times New Roman" w:hAnsi="Tahoma" w:cs="Tahoma"/>
          <w:color w:val="000000"/>
          <w:sz w:val="24"/>
          <w:szCs w:val="24"/>
          <w:lang w:eastAsia="en-GB"/>
        </w:rPr>
        <w:t>evidence based</w:t>
      </w:r>
      <w:proofErr w:type="gramEnd"/>
      <w:r w:rsidRPr="0044118C">
        <w:rPr>
          <w:rFonts w:ascii="Tahoma" w:eastAsia="Times New Roman" w:hAnsi="Tahoma" w:cs="Tahoma"/>
          <w:color w:val="000000"/>
          <w:sz w:val="24"/>
          <w:szCs w:val="24"/>
          <w:lang w:eastAsia="en-GB"/>
        </w:rPr>
        <w:t xml:space="preserve"> approach adopting mixed methods data collection. Through merging datasets, a full and complete understanding of the characteristics of the students deemed to be at risk was formulated. This merger of methods helped establish a more cohesive understanding of the impact of supportive interventions through combining evidence of student re-engagement alongside changing institutional culture in response. </w:t>
      </w:r>
    </w:p>
    <w:p w14:paraId="5773A78F"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The work presented in this paper contributes useful knowledge in two areas: firstly, in recognising the potential of re-engagement using a connected triage approach (forming effective partnerships between the student, the academic team and central guidance). Secondly, it found that over 68% of students identified at potential risk of withdrawal had multiple intersections of protected characteristics (three or above). Protected characteristics were based on age, disability, gender reassignment, marriage and civil partnership, pregnancy and maternity, race, religion or belief, sex, and sexual orientation as defined by the Equality Act 2010 and prior educational experience.  The three highest characteristics were found to be: a) non-traditional entry qualifications, b) students with traditionally low participation rates such as Polar 4 quintiles 1&amp;2 (this measure looks at how likely young people are to participate in higher education across the UK, quintile one shows the lowest rate of participation, and c) students from the most deprived neighbourhoods ( as defined by The English index of multiple deprivation [IMD]</w:t>
      </w:r>
      <w:r w:rsidRPr="0044118C">
        <w:rPr>
          <w:rFonts w:ascii="Tahoma" w:hAnsi="Tahoma" w:cs="Tahoma"/>
          <w:sz w:val="24"/>
          <w:szCs w:val="24"/>
          <w:shd w:val="clear" w:color="auto" w:fill="FFFFFF"/>
        </w:rPr>
        <w:t>, the higher the rank the more deprived the area is</w:t>
      </w:r>
      <w:r w:rsidRPr="0044118C">
        <w:rPr>
          <w:rFonts w:ascii="Tahoma" w:eastAsia="Times New Roman" w:hAnsi="Tahoma" w:cs="Tahoma"/>
          <w:sz w:val="24"/>
          <w:szCs w:val="24"/>
          <w:lang w:eastAsia="en-GB"/>
        </w:rPr>
        <w:t xml:space="preserve">). </w:t>
      </w:r>
      <w:r w:rsidRPr="0044118C">
        <w:rPr>
          <w:rFonts w:ascii="Tahoma" w:eastAsia="Times New Roman" w:hAnsi="Tahoma" w:cs="Tahoma"/>
          <w:color w:val="000000"/>
          <w:sz w:val="24"/>
          <w:szCs w:val="24"/>
          <w:lang w:eastAsia="en-GB"/>
        </w:rPr>
        <w:t xml:space="preserve">The work conducted in this study enables at risk students to </w:t>
      </w:r>
      <w:r w:rsidRPr="0044118C">
        <w:rPr>
          <w:rFonts w:ascii="Tahoma" w:eastAsia="Times New Roman" w:hAnsi="Tahoma" w:cs="Tahoma"/>
          <w:color w:val="000000"/>
          <w:sz w:val="24"/>
          <w:szCs w:val="24"/>
          <w:lang w:eastAsia="en-GB"/>
        </w:rPr>
        <w:lastRenderedPageBreak/>
        <w:t>be identified earlier; hence affording more targeted support plans to be put in place to support their learning journey when appropriate.</w:t>
      </w:r>
    </w:p>
    <w:p w14:paraId="0AF00141" w14:textId="77777777" w:rsidR="00FE35A9" w:rsidRPr="0044118C" w:rsidRDefault="00FE35A9" w:rsidP="00FE35A9">
      <w:pPr>
        <w:spacing w:line="360" w:lineRule="auto"/>
        <w:rPr>
          <w:rFonts w:ascii="Tahoma" w:eastAsia="Times New Roman" w:hAnsi="Tahoma" w:cs="Tahoma"/>
          <w:sz w:val="24"/>
          <w:szCs w:val="24"/>
          <w:lang w:eastAsia="en-GB"/>
        </w:rPr>
      </w:pPr>
    </w:p>
    <w:p w14:paraId="346CD67B" w14:textId="77777777" w:rsidR="00FE35A9" w:rsidRPr="0044118C" w:rsidRDefault="00FE35A9" w:rsidP="00FE35A9">
      <w:pPr>
        <w:spacing w:line="360" w:lineRule="auto"/>
        <w:rPr>
          <w:rFonts w:ascii="Tahoma" w:eastAsia="Times New Roman" w:hAnsi="Tahoma" w:cs="Tahoma"/>
          <w:b/>
          <w:sz w:val="24"/>
          <w:szCs w:val="24"/>
          <w:lang w:eastAsia="en-GB"/>
        </w:rPr>
      </w:pPr>
      <w:r w:rsidRPr="0044118C">
        <w:rPr>
          <w:rFonts w:ascii="Tahoma" w:eastAsia="Times New Roman" w:hAnsi="Tahoma" w:cs="Tahoma"/>
          <w:b/>
          <w:color w:val="000000"/>
          <w:sz w:val="28"/>
          <w:szCs w:val="28"/>
          <w:lang w:eastAsia="en-GB"/>
        </w:rPr>
        <w:t>Background</w:t>
      </w:r>
    </w:p>
    <w:p w14:paraId="4E6D0B8B"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Staffordshire University is a modern, relevant and vocationally-inspired institution based in Stoke-on-Trent in the North of England UK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xml:space="preserve">, 2020). It is a Post 92 university with a strong regional heritage and international outlook. Graduates of Staffordshire are prepared for a wide range of employment opportunities across a diverse range of sectors. Similar to many </w:t>
      </w:r>
      <w:proofErr w:type="gramStart"/>
      <w:r w:rsidRPr="0044118C">
        <w:rPr>
          <w:rFonts w:ascii="Tahoma" w:eastAsia="Times New Roman" w:hAnsi="Tahoma" w:cs="Tahoma"/>
          <w:color w:val="000000"/>
          <w:sz w:val="24"/>
          <w:szCs w:val="24"/>
          <w:lang w:eastAsia="en-GB"/>
        </w:rPr>
        <w:t>Post</w:t>
      </w:r>
      <w:proofErr w:type="gramEnd"/>
      <w:r w:rsidRPr="0044118C">
        <w:rPr>
          <w:rFonts w:ascii="Tahoma" w:eastAsia="Times New Roman" w:hAnsi="Tahoma" w:cs="Tahoma"/>
          <w:color w:val="000000"/>
          <w:sz w:val="24"/>
          <w:szCs w:val="24"/>
          <w:lang w:eastAsia="en-GB"/>
        </w:rPr>
        <w:t xml:space="preserve"> 92 institutions, at the heart of the strategy lies a strong commitment to access, participation and supporting student success. The University’s connected strategy places students at the forefront of all activity. The portfolio of courses and subject mix is balanced to attract and support under-represented groups in the communities that Staffordshire serves (Strategic Plan, 2020-30). In 2019-2020 28% of our students were drawn from Stoke-on-Trent, where 30.2% of neighbourhoods have an index of multiple deprivation (IMD) of 1 (which represents the most deprived 10% of neighbourhoods nationally)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xml:space="preserve">, 2020). This places the Stoke-on-Trent local authority as the 12th most regionally deprived area in England (IMD, 2019). A primary characteristic shared by areas classified as deprived (those in the lowest 20 IMD) is low participation in further and higher education. This can be aligned to Staffordshire University, where there is a high percentage of students who are first generation at university (51%), often continuing to live at home and commuting to the campus for study. At Staffordshire University, 56% are commuter students, approximately 50% are from areas of low participation in HE (Polar 4, Quintiles 1&amp;2 – traditionally areas with low participation) and approximately 50% are mature students entering study often after a significant break in formal education. In recognition of some of these challenges, the University developed a comprehensive Access and Participation Plan, which forms part of the regulatory requirement to enhance access to Higher Education for those with </w:t>
      </w:r>
      <w:r w:rsidRPr="0044118C">
        <w:rPr>
          <w:rFonts w:ascii="Tahoma" w:eastAsia="Times New Roman" w:hAnsi="Tahoma" w:cs="Tahoma"/>
          <w:color w:val="000000"/>
          <w:sz w:val="24"/>
          <w:szCs w:val="24"/>
          <w:lang w:eastAsia="en-GB"/>
        </w:rPr>
        <w:lastRenderedPageBreak/>
        <w:t>potential to benefit. This encompasses a range of strategies to support some of our most vulnerable students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2020).</w:t>
      </w:r>
    </w:p>
    <w:p w14:paraId="4860ABB0"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It is widely accepted that success is often skewed to those students with a privileged background; hence, students from disadvantaged backgrounds are more likely to face challenges within the education system and are at much higher risk of dropping out of University (Thomas, 2012; Lee, 2017; Donnelly and </w:t>
      </w:r>
      <w:proofErr w:type="spellStart"/>
      <w:r w:rsidRPr="0044118C">
        <w:rPr>
          <w:rFonts w:ascii="Tahoma" w:eastAsia="Times New Roman" w:hAnsi="Tahoma" w:cs="Tahoma"/>
          <w:color w:val="000000"/>
          <w:sz w:val="24"/>
          <w:szCs w:val="24"/>
          <w:lang w:eastAsia="en-GB"/>
        </w:rPr>
        <w:t>Gamsu</w:t>
      </w:r>
      <w:proofErr w:type="spellEnd"/>
      <w:r w:rsidRPr="0044118C">
        <w:rPr>
          <w:rFonts w:ascii="Tahoma" w:eastAsia="Times New Roman" w:hAnsi="Tahoma" w:cs="Tahoma"/>
          <w:color w:val="000000"/>
          <w:sz w:val="24"/>
          <w:szCs w:val="24"/>
          <w:lang w:eastAsia="en-GB"/>
        </w:rPr>
        <w:t>, 2018). Factors such as student background, income, and low levels of socio-emotional intelligence all contribute to high numbers of students leaving the global higher education system (</w:t>
      </w:r>
      <w:proofErr w:type="spellStart"/>
      <w:r w:rsidRPr="0044118C">
        <w:rPr>
          <w:rFonts w:ascii="Tahoma" w:eastAsia="Times New Roman" w:hAnsi="Tahoma" w:cs="Tahoma"/>
          <w:color w:val="000000"/>
          <w:sz w:val="24"/>
          <w:szCs w:val="24"/>
          <w:lang w:eastAsia="en-GB"/>
        </w:rPr>
        <w:t>Staiculescu</w:t>
      </w:r>
      <w:proofErr w:type="spellEnd"/>
      <w:r w:rsidRPr="0044118C">
        <w:rPr>
          <w:rFonts w:ascii="Tahoma" w:eastAsia="Times New Roman" w:hAnsi="Tahoma" w:cs="Tahoma"/>
          <w:color w:val="000000"/>
          <w:sz w:val="24"/>
          <w:szCs w:val="24"/>
          <w:lang w:eastAsia="en-GB"/>
        </w:rPr>
        <w:t xml:space="preserve"> and </w:t>
      </w:r>
      <w:proofErr w:type="spellStart"/>
      <w:r w:rsidRPr="0044118C">
        <w:rPr>
          <w:rFonts w:ascii="Tahoma" w:eastAsia="Times New Roman" w:hAnsi="Tahoma" w:cs="Tahoma"/>
          <w:color w:val="000000"/>
          <w:sz w:val="24"/>
          <w:szCs w:val="24"/>
          <w:lang w:eastAsia="en-GB"/>
        </w:rPr>
        <w:t>Richiteanu</w:t>
      </w:r>
      <w:proofErr w:type="spellEnd"/>
      <w:r w:rsidRPr="0044118C">
        <w:rPr>
          <w:rFonts w:ascii="Tahoma" w:eastAsia="Times New Roman" w:hAnsi="Tahoma" w:cs="Tahoma"/>
          <w:color w:val="000000"/>
          <w:sz w:val="24"/>
          <w:szCs w:val="24"/>
          <w:lang w:eastAsia="en-GB"/>
        </w:rPr>
        <w:t>, 2018). At some institutions up to 18% of students leave University before completing their first year of study (Lee, 2017; Debut Careers, 2023). This represents significant loss of opportunity, through economic consequences for the student and for society, in relation to debt, lifetime earnings, human capital, and community belonging, which Thomas et al</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(2017) and Thomas (2012)</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linked to happier and healthier citizens. These influential reports produced for the sector advocated a mainstream approach to improving retention, progression and completion. They identified that increasing belonging and engagement leads to higher success rates, better retention and increase satisfaction. </w:t>
      </w:r>
    </w:p>
    <w:p w14:paraId="3FA750C2"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It was acknowledged in Staffordshire University’s Access and Participation Plan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xml:space="preserve">, 2020) that they have a higher (compared to national average) number of students with multiple intersections of underrepresentation (characteristics including: areas with low HE participation rates, high IMD, mature, ethnic minority and disability). Staffordshire University supports students entering higher education with non-traditional qualification, and </w:t>
      </w:r>
      <w:proofErr w:type="gramStart"/>
      <w:r w:rsidRPr="0044118C">
        <w:rPr>
          <w:rFonts w:ascii="Tahoma" w:eastAsia="Times New Roman" w:hAnsi="Tahoma" w:cs="Tahoma"/>
          <w:color w:val="000000"/>
          <w:sz w:val="24"/>
          <w:szCs w:val="24"/>
          <w:lang w:eastAsia="en-GB"/>
        </w:rPr>
        <w:t>whom</w:t>
      </w:r>
      <w:proofErr w:type="gramEnd"/>
      <w:r w:rsidRPr="0044118C">
        <w:rPr>
          <w:rFonts w:ascii="Tahoma" w:eastAsia="Times New Roman" w:hAnsi="Tahoma" w:cs="Tahoma"/>
          <w:color w:val="000000"/>
          <w:sz w:val="24"/>
          <w:szCs w:val="24"/>
          <w:lang w:eastAsia="en-GB"/>
        </w:rPr>
        <w:t xml:space="preserve"> are disproportionately represented in characteristics of being mature and/or BAME (Black and Asian, minority ethic) when compared with the national student population. Furthermore there is also a higher number 19% (national average 13.4%) of full-time students studying with disabilities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2020). All the above statistics are deemed positive aligning with the Staffordshire University’s mission: “</w:t>
      </w:r>
      <w:r>
        <w:rPr>
          <w:rFonts w:ascii="Tahoma" w:eastAsia="Times New Roman" w:hAnsi="Tahoma" w:cs="Tahoma"/>
          <w:color w:val="000000"/>
          <w:sz w:val="24"/>
          <w:szCs w:val="24"/>
          <w:lang w:eastAsia="en-GB"/>
        </w:rPr>
        <w:t>w</w:t>
      </w:r>
      <w:r w:rsidRPr="0044118C">
        <w:rPr>
          <w:rFonts w:ascii="Tahoma" w:eastAsia="Times New Roman" w:hAnsi="Tahoma" w:cs="Tahoma"/>
          <w:color w:val="000000"/>
          <w:sz w:val="24"/>
          <w:szCs w:val="24"/>
          <w:lang w:eastAsia="en-GB"/>
        </w:rPr>
        <w:t xml:space="preserve">e are the connected university dedicated to your success – putting our students first.” One of the key institutional targets is to close the BAME awarding gap which has been at over 30% for the last three years. </w:t>
      </w:r>
      <w:r w:rsidRPr="0044118C">
        <w:rPr>
          <w:rFonts w:ascii="Tahoma" w:eastAsia="Times New Roman" w:hAnsi="Tahoma" w:cs="Tahoma"/>
          <w:color w:val="000000"/>
          <w:sz w:val="24"/>
          <w:szCs w:val="24"/>
          <w:lang w:eastAsia="en-GB"/>
        </w:rPr>
        <w:lastRenderedPageBreak/>
        <w:t xml:space="preserve">This </w:t>
      </w:r>
      <w:proofErr w:type="gramStart"/>
      <w:r w:rsidRPr="0044118C">
        <w:rPr>
          <w:rFonts w:ascii="Tahoma" w:eastAsia="Times New Roman" w:hAnsi="Tahoma" w:cs="Tahoma"/>
          <w:color w:val="000000"/>
          <w:sz w:val="24"/>
          <w:szCs w:val="24"/>
          <w:lang w:eastAsia="en-GB"/>
        </w:rPr>
        <w:t>in itself is</w:t>
      </w:r>
      <w:proofErr w:type="gramEnd"/>
      <w:r w:rsidRPr="0044118C">
        <w:rPr>
          <w:rFonts w:ascii="Tahoma" w:eastAsia="Times New Roman" w:hAnsi="Tahoma" w:cs="Tahoma"/>
          <w:color w:val="000000"/>
          <w:sz w:val="24"/>
          <w:szCs w:val="24"/>
          <w:lang w:eastAsia="en-GB"/>
        </w:rPr>
        <w:t xml:space="preserve"> a two-fold challenge, primary due to the low numbers of BAME students in some disciplines which skew the data and secondly due to the multiple intersections of underrepresentation. Many of our BAME students are also from some of the most deprived areas in the UK and continue to study from home during studies and might not be participating in the wider higher education experience. For many reasons (often complex) engagement, attendance, retention and progression continues to be a challenge for this group. </w:t>
      </w:r>
    </w:p>
    <w:p w14:paraId="10D209CE"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Staffordshire University brands itself as “The Connected University”, </w:t>
      </w:r>
      <w:proofErr w:type="gramStart"/>
      <w:r w:rsidRPr="0044118C">
        <w:rPr>
          <w:rFonts w:ascii="Tahoma" w:eastAsia="Times New Roman" w:hAnsi="Tahoma" w:cs="Tahoma"/>
          <w:color w:val="000000"/>
          <w:sz w:val="24"/>
          <w:szCs w:val="24"/>
          <w:lang w:eastAsia="en-GB"/>
        </w:rPr>
        <w:t>by definition part</w:t>
      </w:r>
      <w:proofErr w:type="gramEnd"/>
      <w:r w:rsidRPr="0044118C">
        <w:rPr>
          <w:rFonts w:ascii="Tahoma" w:eastAsia="Times New Roman" w:hAnsi="Tahoma" w:cs="Tahoma"/>
          <w:color w:val="000000"/>
          <w:sz w:val="24"/>
          <w:szCs w:val="24"/>
          <w:lang w:eastAsia="en-GB"/>
        </w:rPr>
        <w:t xml:space="preserve"> of connectedness is relationship building with others. It was acknowledged by Thomas (2012) that connectedness is driven by individual need, and some individuals need more contact than others </w:t>
      </w:r>
      <w:proofErr w:type="gramStart"/>
      <w:r w:rsidRPr="0044118C">
        <w:rPr>
          <w:rFonts w:ascii="Tahoma" w:eastAsia="Times New Roman" w:hAnsi="Tahoma" w:cs="Tahoma"/>
          <w:color w:val="000000"/>
          <w:sz w:val="24"/>
          <w:szCs w:val="24"/>
          <w:lang w:eastAsia="en-GB"/>
        </w:rPr>
        <w:t>in order to</w:t>
      </w:r>
      <w:proofErr w:type="gramEnd"/>
      <w:r w:rsidRPr="0044118C">
        <w:rPr>
          <w:rFonts w:ascii="Tahoma" w:eastAsia="Times New Roman" w:hAnsi="Tahoma" w:cs="Tahoma"/>
          <w:color w:val="000000"/>
          <w:sz w:val="24"/>
          <w:szCs w:val="24"/>
          <w:lang w:eastAsia="en-GB"/>
        </w:rPr>
        <w:t xml:space="preserve"> succeed (Kelly, 2001). It was concluded in Thomas et al</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’s follow-up study (2017) that a key factor influencing successful outcomes in terms of retention (satisfaction and academic achievement) was engagement in the wider higher educational experience, and therefore, a connected approach is essential to develop a strong sense of belonging.  Thus, engagement (at least in-part) can be linked to the amount of effort focused </w:t>
      </w:r>
      <w:proofErr w:type="gramStart"/>
      <w:r w:rsidRPr="0044118C">
        <w:rPr>
          <w:rFonts w:ascii="Tahoma" w:eastAsia="Times New Roman" w:hAnsi="Tahoma" w:cs="Tahoma"/>
          <w:color w:val="000000"/>
          <w:sz w:val="24"/>
          <w:szCs w:val="24"/>
          <w:lang w:eastAsia="en-GB"/>
        </w:rPr>
        <w:t>towards</w:t>
      </w:r>
      <w:proofErr w:type="gramEnd"/>
      <w:r w:rsidRPr="0044118C">
        <w:rPr>
          <w:rFonts w:ascii="Tahoma" w:eastAsia="Times New Roman" w:hAnsi="Tahoma" w:cs="Tahoma"/>
          <w:color w:val="000000"/>
          <w:sz w:val="24"/>
          <w:szCs w:val="24"/>
          <w:lang w:eastAsia="en-GB"/>
        </w:rPr>
        <w:t xml:space="preserve"> academic activity related to their course of study (Osterman, 2000; </w:t>
      </w:r>
      <w:proofErr w:type="spellStart"/>
      <w:r w:rsidRPr="0044118C">
        <w:rPr>
          <w:rFonts w:ascii="Tahoma" w:eastAsia="Times New Roman" w:hAnsi="Tahoma" w:cs="Tahoma"/>
          <w:color w:val="000000"/>
          <w:sz w:val="24"/>
          <w:szCs w:val="24"/>
          <w:lang w:eastAsia="en-GB"/>
        </w:rPr>
        <w:t>Kuh</w:t>
      </w:r>
      <w:proofErr w:type="spellEnd"/>
      <w:r w:rsidRPr="0044118C">
        <w:rPr>
          <w:rFonts w:ascii="Tahoma" w:eastAsia="Times New Roman" w:hAnsi="Tahoma" w:cs="Tahoma"/>
          <w:color w:val="000000"/>
          <w:sz w:val="24"/>
          <w:szCs w:val="24"/>
          <w:lang w:eastAsia="en-GB"/>
        </w:rPr>
        <w:t xml:space="preserve">, 2009; </w:t>
      </w:r>
      <w:proofErr w:type="spellStart"/>
      <w:r w:rsidRPr="0044118C">
        <w:rPr>
          <w:rFonts w:ascii="Tahoma" w:eastAsia="Times New Roman" w:hAnsi="Tahoma" w:cs="Tahoma"/>
          <w:color w:val="000000"/>
          <w:sz w:val="24"/>
          <w:szCs w:val="24"/>
          <w:lang w:eastAsia="en-GB"/>
        </w:rPr>
        <w:t>Trowler</w:t>
      </w:r>
      <w:proofErr w:type="spellEnd"/>
      <w:r w:rsidRPr="0044118C">
        <w:rPr>
          <w:rFonts w:ascii="Tahoma" w:eastAsia="Times New Roman" w:hAnsi="Tahoma" w:cs="Tahoma"/>
          <w:color w:val="000000"/>
          <w:sz w:val="24"/>
          <w:szCs w:val="24"/>
          <w:lang w:eastAsia="en-GB"/>
        </w:rPr>
        <w:t xml:space="preserve"> and </w:t>
      </w:r>
      <w:proofErr w:type="spellStart"/>
      <w:r w:rsidRPr="0044118C">
        <w:rPr>
          <w:rFonts w:ascii="Tahoma" w:eastAsia="Times New Roman" w:hAnsi="Tahoma" w:cs="Tahoma"/>
          <w:color w:val="000000"/>
          <w:sz w:val="24"/>
          <w:szCs w:val="24"/>
          <w:lang w:eastAsia="en-GB"/>
        </w:rPr>
        <w:t>Trowler</w:t>
      </w:r>
      <w:proofErr w:type="spellEnd"/>
      <w:r w:rsidRPr="0044118C">
        <w:rPr>
          <w:rFonts w:ascii="Tahoma" w:eastAsia="Times New Roman" w:hAnsi="Tahoma" w:cs="Tahoma"/>
          <w:color w:val="000000"/>
          <w:sz w:val="24"/>
          <w:szCs w:val="24"/>
          <w:lang w:eastAsia="en-GB"/>
        </w:rPr>
        <w:t>, 2010) in context to their wider engagement with the HE experience (Krause, 2011; Thomas, 2012; Thomas et al</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2017). Students that live at home and commute for study (many of which are from non-traditional HE backgrounds), are less likely to engage in the wider HE experience (often turning to family for support rather than the professional services within a university, which are better placed to assist at crisis points in study). It is these students by very definition that are at higher risk of non-completion. It is therefore the responsibility of the institution to explore effective mechanisms for enhancing engagement within study and have effective support processes in place to ensure every student reaches their full potential at all stages of their learning journey.    </w:t>
      </w:r>
    </w:p>
    <w:p w14:paraId="64CEE9D1" w14:textId="77777777" w:rsidR="00FE35A9" w:rsidRPr="0044118C" w:rsidRDefault="00FE35A9" w:rsidP="00FE35A9">
      <w:pPr>
        <w:spacing w:line="360" w:lineRule="auto"/>
        <w:rPr>
          <w:rFonts w:ascii="Tahoma" w:eastAsia="Times New Roman" w:hAnsi="Tahoma" w:cs="Tahoma"/>
          <w:b/>
          <w:color w:val="000000"/>
          <w:sz w:val="28"/>
          <w:szCs w:val="28"/>
          <w:lang w:eastAsia="en-GB"/>
        </w:rPr>
      </w:pPr>
    </w:p>
    <w:p w14:paraId="70ECE9CA" w14:textId="77777777" w:rsidR="00FE35A9" w:rsidRDefault="00FE35A9" w:rsidP="00FE35A9">
      <w:pPr>
        <w:spacing w:line="360" w:lineRule="auto"/>
        <w:rPr>
          <w:rFonts w:ascii="Tahoma" w:eastAsia="Times New Roman" w:hAnsi="Tahoma" w:cs="Tahoma"/>
          <w:b/>
          <w:color w:val="000000"/>
          <w:sz w:val="28"/>
          <w:szCs w:val="28"/>
          <w:lang w:eastAsia="en-GB"/>
        </w:rPr>
      </w:pPr>
    </w:p>
    <w:p w14:paraId="4BD1D5AE" w14:textId="77777777" w:rsidR="00FE35A9" w:rsidRPr="0044118C" w:rsidRDefault="00FE35A9" w:rsidP="00FE35A9">
      <w:pPr>
        <w:spacing w:line="360" w:lineRule="auto"/>
        <w:rPr>
          <w:rFonts w:ascii="Tahoma" w:eastAsia="Times New Roman" w:hAnsi="Tahoma" w:cs="Tahoma"/>
          <w:b/>
          <w:sz w:val="28"/>
          <w:szCs w:val="28"/>
          <w:lang w:eastAsia="en-GB"/>
        </w:rPr>
      </w:pPr>
      <w:r w:rsidRPr="0044118C">
        <w:rPr>
          <w:rFonts w:ascii="Tahoma" w:eastAsia="Times New Roman" w:hAnsi="Tahoma" w:cs="Tahoma"/>
          <w:b/>
          <w:color w:val="000000"/>
          <w:sz w:val="28"/>
          <w:szCs w:val="28"/>
          <w:lang w:eastAsia="en-GB"/>
        </w:rPr>
        <w:lastRenderedPageBreak/>
        <w:t>Scope of Project</w:t>
      </w:r>
    </w:p>
    <w:p w14:paraId="4BFF523F"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It has been well documented that developing a sense of belonging and engagement contributes to better retention (Thomas</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2012</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Thomas et al</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2017). Different metrics can be used as proxy indicators of retention, for example attendance (at module/course level), progression (meeting the learning outcomes of a specific level of study) and completion (reaching the learning objectives of the course) can be tracked. Retention for the purpose of this study is defined as “a student not withdrawing/suspending throughout the year of study in which they are enrolled.” Furthermore, engagement in the work presented is measured solely though attendance, whist it is accepted that attendance is a controversial measure it is also acknowledged that there is an association generally between attendance and academic success (Power, 2007, 2010, 2012</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Newman-Ford, L. et al., 2008; Kim et al., 2020). </w:t>
      </w:r>
    </w:p>
    <w:p w14:paraId="1D031328"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Attendance polies vary considerably within UK higher education, but all universities have the power to withdraw students from studies for low/no engagement. At Staffordshire University formal attendance monitoring during 2019-2020 occurred at two key points in the academic calendar (Oct/Nov and Jan/Feb). Any students perceived to be not engaging within timetabled classes at these points were given a period of notice to contact the university before a decision was made regarding continuation of studies - this was internally known as raising a “cause for concern” (Staffordshire University, 2018). </w:t>
      </w:r>
    </w:p>
    <w:p w14:paraId="1A0297F6"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It was found that </w:t>
      </w:r>
      <w:proofErr w:type="gramStart"/>
      <w:r w:rsidRPr="0044118C">
        <w:rPr>
          <w:rFonts w:ascii="Tahoma" w:eastAsia="Times New Roman" w:hAnsi="Tahoma" w:cs="Tahoma"/>
          <w:color w:val="000000"/>
          <w:sz w:val="24"/>
          <w:szCs w:val="24"/>
          <w:lang w:eastAsia="en-GB"/>
        </w:rPr>
        <w:t>a large number of</w:t>
      </w:r>
      <w:proofErr w:type="gramEnd"/>
      <w:r w:rsidRPr="0044118C">
        <w:rPr>
          <w:rFonts w:ascii="Tahoma" w:eastAsia="Times New Roman" w:hAnsi="Tahoma" w:cs="Tahoma"/>
          <w:color w:val="000000"/>
          <w:sz w:val="24"/>
          <w:szCs w:val="24"/>
          <w:lang w:eastAsia="en-GB"/>
        </w:rPr>
        <w:t xml:space="preserve"> students within one academic school (96 in total) were issued with a cause for concern letter for non-engagement within academic year 2018-2019. It can be ascertained that this resulted in 37 withdrawals, of which 17 students appealed the decision and were reinstated (i.e. 46% of appeals were upheld and students reinstated). Most of these occurred in the second semester. For </w:t>
      </w:r>
      <w:proofErr w:type="gramStart"/>
      <w:r w:rsidRPr="0044118C">
        <w:rPr>
          <w:rFonts w:ascii="Tahoma" w:eastAsia="Times New Roman" w:hAnsi="Tahoma" w:cs="Tahoma"/>
          <w:color w:val="000000"/>
          <w:sz w:val="24"/>
          <w:szCs w:val="24"/>
          <w:lang w:eastAsia="en-GB"/>
        </w:rPr>
        <w:t>practice based</w:t>
      </w:r>
      <w:proofErr w:type="gramEnd"/>
      <w:r w:rsidRPr="0044118C">
        <w:rPr>
          <w:rFonts w:ascii="Tahoma" w:eastAsia="Times New Roman" w:hAnsi="Tahoma" w:cs="Tahoma"/>
          <w:color w:val="000000"/>
          <w:sz w:val="24"/>
          <w:szCs w:val="24"/>
          <w:lang w:eastAsia="en-GB"/>
        </w:rPr>
        <w:t xml:space="preserve"> subjects, this presented challenges in terms of how to re-engage students into lab, studio, workshops and seminar based activity, without jeopardising the learning of those that had attended regularly. Often in creative </w:t>
      </w:r>
      <w:proofErr w:type="gramStart"/>
      <w:r w:rsidRPr="0044118C">
        <w:rPr>
          <w:rFonts w:ascii="Tahoma" w:eastAsia="Times New Roman" w:hAnsi="Tahoma" w:cs="Tahoma"/>
          <w:color w:val="000000"/>
          <w:sz w:val="24"/>
          <w:szCs w:val="24"/>
          <w:lang w:eastAsia="en-GB"/>
        </w:rPr>
        <w:lastRenderedPageBreak/>
        <w:t>subjects</w:t>
      </w:r>
      <w:proofErr w:type="gramEnd"/>
      <w:r w:rsidRPr="0044118C">
        <w:rPr>
          <w:rFonts w:ascii="Tahoma" w:eastAsia="Times New Roman" w:hAnsi="Tahoma" w:cs="Tahoma"/>
          <w:color w:val="000000"/>
          <w:sz w:val="24"/>
          <w:szCs w:val="24"/>
          <w:lang w:eastAsia="en-GB"/>
        </w:rPr>
        <w:t xml:space="preserve"> team working is essential to the learning process. For instance in Drama rehearsals had continued and roles shifted to enable the ‘show to go on’. The </w:t>
      </w:r>
      <w:proofErr w:type="gramStart"/>
      <w:r w:rsidRPr="0044118C">
        <w:rPr>
          <w:rFonts w:ascii="Tahoma" w:eastAsia="Times New Roman" w:hAnsi="Tahoma" w:cs="Tahoma"/>
          <w:color w:val="000000"/>
          <w:sz w:val="24"/>
          <w:szCs w:val="24"/>
          <w:lang w:eastAsia="en-GB"/>
        </w:rPr>
        <w:t>School</w:t>
      </w:r>
      <w:proofErr w:type="gramEnd"/>
      <w:r w:rsidRPr="0044118C">
        <w:rPr>
          <w:rFonts w:ascii="Tahoma" w:eastAsia="Times New Roman" w:hAnsi="Tahoma" w:cs="Tahoma"/>
          <w:color w:val="000000"/>
          <w:sz w:val="24"/>
          <w:szCs w:val="24"/>
          <w:lang w:eastAsia="en-GB"/>
        </w:rPr>
        <w:t xml:space="preserve"> took up this challenge and began exploring contrasting options with individual Academic Departments. We addressed how we might flip the model to one premised upon earlier intervention of a supportive nature, rather than via a retrospective plan to re-engage after substantial absences.</w:t>
      </w:r>
    </w:p>
    <w:p w14:paraId="708C7535"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This paper presents the results of a study which uses an alternative procedure from Staffordshire University known commonly as “Fitness to Study” to re-engage students that are deemed as not attending but whom have had some engagement and still wished to advance their studies. This tips the model from effectively being a withdrawal procedure (based on attendance) to a pro-active process involving all stakeholders (student, academic and guidance officer) which aims to create a joined-up support package focused </w:t>
      </w:r>
      <w:proofErr w:type="gramStart"/>
      <w:r w:rsidRPr="0044118C">
        <w:rPr>
          <w:rFonts w:ascii="Tahoma" w:eastAsia="Times New Roman" w:hAnsi="Tahoma" w:cs="Tahoma"/>
          <w:color w:val="000000"/>
          <w:sz w:val="24"/>
          <w:szCs w:val="24"/>
          <w:lang w:eastAsia="en-GB"/>
        </w:rPr>
        <w:t>at</w:t>
      </w:r>
      <w:proofErr w:type="gramEnd"/>
      <w:r w:rsidRPr="0044118C">
        <w:rPr>
          <w:rFonts w:ascii="Tahoma" w:eastAsia="Times New Roman" w:hAnsi="Tahoma" w:cs="Tahoma"/>
          <w:color w:val="000000"/>
          <w:sz w:val="24"/>
          <w:szCs w:val="24"/>
          <w:lang w:eastAsia="en-GB"/>
        </w:rPr>
        <w:t xml:space="preserve"> an early re-engagement stage (thus, supporting the connected approach and developing a stronger sense of belonging and learning community at the earliest opportunity). </w:t>
      </w:r>
    </w:p>
    <w:p w14:paraId="57795EF9"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w:t>
      </w:r>
      <w:r>
        <w:rPr>
          <w:rFonts w:ascii="Tahoma" w:eastAsia="Times New Roman" w:hAnsi="Tahoma" w:cs="Tahoma"/>
          <w:color w:val="000000"/>
          <w:sz w:val="24"/>
          <w:szCs w:val="24"/>
          <w:lang w:eastAsia="en-GB"/>
        </w:rPr>
        <w:t>f</w:t>
      </w:r>
      <w:r w:rsidRPr="0044118C">
        <w:rPr>
          <w:rFonts w:ascii="Tahoma" w:eastAsia="Times New Roman" w:hAnsi="Tahoma" w:cs="Tahoma"/>
          <w:color w:val="000000"/>
          <w:sz w:val="24"/>
          <w:szCs w:val="24"/>
          <w:lang w:eastAsia="en-GB"/>
        </w:rPr>
        <w:t xml:space="preserve">itness to study process was selected on the basis that the Academic School (Creative Arts and Engineering) wanted to work in partnership with the individual student to ensure the right behaviours are encouraged for study and, most importantly, success on the academic programme. An essential behaviour identified as a key contributor to successful study is attendance and engagement with the academic programme, personal tutoring and peers. It is recognised that there is a strong association with students who attend (actively participating) and go on to succeed in their studies. Furthermore, it is acknowledged that the reasons for non-engagement (lack of attendance) can be complex and by working with the key stakeholders a proactive approach can be taken, leading to the development of an individual study plan to assist students in earlier stages and to provide sustained re-engagement. This paper presents a pilot study of the Fitness to Study project across a School of approximately 2500 students for the academic year 2019-2020. </w:t>
      </w:r>
    </w:p>
    <w:p w14:paraId="663D65E0"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5C7A2009" w14:textId="77777777" w:rsidR="00FE35A9" w:rsidRPr="0044118C" w:rsidRDefault="00FE35A9" w:rsidP="00FE35A9">
      <w:pPr>
        <w:spacing w:line="360" w:lineRule="auto"/>
        <w:rPr>
          <w:rFonts w:ascii="Tahoma" w:eastAsia="Times New Roman" w:hAnsi="Tahoma" w:cs="Tahoma"/>
          <w:b/>
          <w:color w:val="000000"/>
          <w:sz w:val="28"/>
          <w:szCs w:val="28"/>
          <w:lang w:eastAsia="en-GB"/>
        </w:rPr>
      </w:pPr>
      <w:r w:rsidRPr="0044118C">
        <w:rPr>
          <w:rFonts w:ascii="Tahoma" w:eastAsia="Times New Roman" w:hAnsi="Tahoma" w:cs="Tahoma"/>
          <w:b/>
          <w:color w:val="000000"/>
          <w:sz w:val="28"/>
          <w:szCs w:val="28"/>
          <w:lang w:eastAsia="en-GB"/>
        </w:rPr>
        <w:lastRenderedPageBreak/>
        <w:t>Methodology</w:t>
      </w:r>
    </w:p>
    <w:p w14:paraId="542BD50E"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study was formed on the principle of </w:t>
      </w:r>
      <w:proofErr w:type="gramStart"/>
      <w:r w:rsidRPr="0044118C">
        <w:rPr>
          <w:rFonts w:ascii="Tahoma" w:eastAsia="Times New Roman" w:hAnsi="Tahoma" w:cs="Tahoma"/>
          <w:color w:val="000000"/>
          <w:sz w:val="24"/>
          <w:szCs w:val="24"/>
          <w:lang w:eastAsia="en-GB"/>
        </w:rPr>
        <w:t>evidence based</w:t>
      </w:r>
      <w:proofErr w:type="gramEnd"/>
      <w:r w:rsidRPr="0044118C">
        <w:rPr>
          <w:rFonts w:ascii="Tahoma" w:eastAsia="Times New Roman" w:hAnsi="Tahoma" w:cs="Tahoma"/>
          <w:color w:val="000000"/>
          <w:sz w:val="24"/>
          <w:szCs w:val="24"/>
          <w:lang w:eastAsia="en-GB"/>
        </w:rPr>
        <w:t xml:space="preserve"> research and adopted a mixed methods data collection approach, integrating both quantitative and qualitative research (Corbin and Strauss, 2008). This merger of methods was considered appropriate as it helped to establish a more cohesive understanding of the impact of the intervention (fitness to study) by combining evidence of successful student re-engagement through changing institutional culture and in responding to complexities faced by many students (see also de Souza Santos, 2010). The work presented in this paper is the analysis of the quantitative data, which is split into five phases: initially, the number of students deemed at risk of withdrawal at two critical points in an academic year are identified. The second and third phases report on the outcome of the Fitness to Study scheme in terms of successful re-engagement and correlates the data with retention figures after summer exam-boards to determine impact. The fourth phase explores at risk students in terms of key characteristics established in the Access and Participation Plan (e.g. disabled, BAME, male, mature, IMD, non-traditional qualifications, Polar4 and care leavers). Please note that the qualitative stage of the research analysis is to be presented in a separate publication, and that paper synthesises the experiences of some key stakeholder groups; namely academic staff and support staff through focus group interviews to help determine impact from support and implementation perspectives. </w:t>
      </w:r>
    </w:p>
    <w:p w14:paraId="3099677C"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The sample for the quantitative study presented in this paper is based on an Academic School consisting of approximately 2500 students. The spread of the disciplines within the Academic School is diverse, spanning Engineering, Creative Arts and Humanities. Figures are presented for full-time undergraduate courses (unless otherwise indicated).</w:t>
      </w:r>
    </w:p>
    <w:p w14:paraId="4EF3EE03" w14:textId="77777777" w:rsidR="00604ACE" w:rsidRDefault="00604ACE" w:rsidP="00FE35A9">
      <w:pPr>
        <w:spacing w:line="360" w:lineRule="auto"/>
        <w:rPr>
          <w:rFonts w:ascii="Tahoma" w:eastAsia="Times New Roman" w:hAnsi="Tahoma" w:cs="Tahoma"/>
          <w:b/>
          <w:color w:val="000000"/>
          <w:sz w:val="28"/>
          <w:szCs w:val="28"/>
          <w:lang w:eastAsia="en-GB"/>
        </w:rPr>
      </w:pPr>
    </w:p>
    <w:p w14:paraId="6C61C17E" w14:textId="74572A05" w:rsidR="00FE35A9" w:rsidRDefault="00FE35A9" w:rsidP="00FE35A9">
      <w:pPr>
        <w:spacing w:line="360" w:lineRule="auto"/>
        <w:rPr>
          <w:rFonts w:ascii="Tahoma" w:eastAsia="Times New Roman" w:hAnsi="Tahoma" w:cs="Tahoma"/>
          <w:b/>
          <w:color w:val="000000"/>
          <w:sz w:val="28"/>
          <w:szCs w:val="28"/>
          <w:lang w:eastAsia="en-GB"/>
        </w:rPr>
      </w:pPr>
      <w:r w:rsidRPr="0044118C">
        <w:rPr>
          <w:rFonts w:ascii="Tahoma" w:eastAsia="Times New Roman" w:hAnsi="Tahoma" w:cs="Tahoma"/>
          <w:b/>
          <w:color w:val="000000"/>
          <w:sz w:val="28"/>
          <w:szCs w:val="28"/>
          <w:lang w:eastAsia="en-GB"/>
        </w:rPr>
        <w:t>Data and Discussion</w:t>
      </w:r>
    </w:p>
    <w:p w14:paraId="7D48E9FE"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lastRenderedPageBreak/>
        <w:t xml:space="preserve">At two critical points in the academic year (Oct/Nov and Jan/Feb) course leaders are asked to flag any students that are at risk of not completing studies due to non-engagement within the </w:t>
      </w:r>
      <w:r>
        <w:rPr>
          <w:rFonts w:ascii="Tahoma" w:eastAsia="Times New Roman" w:hAnsi="Tahoma" w:cs="Tahoma"/>
          <w:color w:val="000000"/>
          <w:sz w:val="24"/>
          <w:szCs w:val="24"/>
          <w:lang w:eastAsia="en-GB"/>
        </w:rPr>
        <w:t>u</w:t>
      </w:r>
      <w:r w:rsidRPr="0044118C">
        <w:rPr>
          <w:rFonts w:ascii="Tahoma" w:eastAsia="Times New Roman" w:hAnsi="Tahoma" w:cs="Tahoma"/>
          <w:color w:val="000000"/>
          <w:sz w:val="24"/>
          <w:szCs w:val="24"/>
          <w:lang w:eastAsia="en-GB"/>
        </w:rPr>
        <w:t>niversity (Table 1 presents the data for academic year 2019-2020). It should be noted that intervention in the form of referral for withdrawal or support can occur at any point in the student’s journey; hence, the results in Table 1 are a snap-shot of referrals at two specific points in the academic year (which are the traditional times to raise a “cause for concern” formally).  The total number of students identified to be potentially at risk at the two intervention points vary between 1.71% and 0.79% for the Oct/Nov intervention (Rows E and F), and 7.75% and 4.65% for the Jan/Feb intervention depending on the sample used (full-time only or total headcount). Irrespective of the sample size, both figures represent a significant proportion of students potentially at risk of failure to complete their studies due to lack of engagement. Within the School four different intervention types were used in attempt to re-engage students. These are defined as:</w:t>
      </w:r>
    </w:p>
    <w:p w14:paraId="7145B2C7" w14:textId="77777777" w:rsidR="00FE35A9" w:rsidRPr="0044118C" w:rsidRDefault="00FE35A9" w:rsidP="00FE35A9">
      <w:pPr>
        <w:pStyle w:val="ListParagraph"/>
        <w:numPr>
          <w:ilvl w:val="0"/>
          <w:numId w:val="4"/>
        </w:numPr>
        <w:spacing w:line="360" w:lineRule="auto"/>
        <w:rPr>
          <w:rFonts w:ascii="Tahoma" w:hAnsi="Tahoma" w:cs="Tahoma"/>
          <w:sz w:val="24"/>
          <w:szCs w:val="24"/>
          <w:lang w:eastAsia="en-GB"/>
        </w:rPr>
      </w:pPr>
      <w:r w:rsidRPr="0044118C">
        <w:rPr>
          <w:rFonts w:ascii="Tahoma" w:hAnsi="Tahoma" w:cs="Tahoma"/>
          <w:sz w:val="24"/>
          <w:szCs w:val="24"/>
          <w:lang w:eastAsia="en-GB"/>
        </w:rPr>
        <w:t>Fitness for study – Students who have engaged with study beyond induction, have a poor attendance record and academics deem it can be retrieved,</w:t>
      </w:r>
    </w:p>
    <w:p w14:paraId="19E85FBA" w14:textId="77777777" w:rsidR="00FE35A9" w:rsidRPr="0044118C" w:rsidRDefault="00FE35A9" w:rsidP="00FE35A9">
      <w:pPr>
        <w:pStyle w:val="ListParagraph"/>
        <w:numPr>
          <w:ilvl w:val="0"/>
          <w:numId w:val="4"/>
        </w:numPr>
        <w:spacing w:line="360" w:lineRule="auto"/>
        <w:rPr>
          <w:rFonts w:ascii="Tahoma" w:hAnsi="Tahoma" w:cs="Tahoma"/>
          <w:sz w:val="24"/>
          <w:szCs w:val="24"/>
          <w:lang w:eastAsia="en-GB"/>
        </w:rPr>
      </w:pPr>
      <w:r w:rsidRPr="0044118C">
        <w:rPr>
          <w:rFonts w:ascii="Tahoma" w:hAnsi="Tahoma" w:cs="Tahoma"/>
          <w:sz w:val="24"/>
          <w:szCs w:val="24"/>
          <w:lang w:eastAsia="en-GB"/>
        </w:rPr>
        <w:t>Cause for Concern – Students that have not engaged beyond induction, or have missed a significant proportion of their study which cannot be retrieved,</w:t>
      </w:r>
    </w:p>
    <w:p w14:paraId="02AD178C" w14:textId="77777777" w:rsidR="00FE35A9" w:rsidRPr="0044118C" w:rsidRDefault="00FE35A9" w:rsidP="00FE35A9">
      <w:pPr>
        <w:pStyle w:val="ListParagraph"/>
        <w:numPr>
          <w:ilvl w:val="0"/>
          <w:numId w:val="4"/>
        </w:numPr>
        <w:spacing w:line="360" w:lineRule="auto"/>
        <w:rPr>
          <w:rFonts w:ascii="Tahoma" w:hAnsi="Tahoma" w:cs="Tahoma"/>
          <w:sz w:val="24"/>
          <w:szCs w:val="24"/>
          <w:lang w:eastAsia="en-GB"/>
        </w:rPr>
      </w:pPr>
      <w:r w:rsidRPr="0044118C">
        <w:rPr>
          <w:rFonts w:ascii="Tahoma" w:hAnsi="Tahoma" w:cs="Tahoma"/>
          <w:sz w:val="24"/>
          <w:szCs w:val="24"/>
          <w:lang w:eastAsia="en-GB"/>
        </w:rPr>
        <w:t>No action required – the student is already in the system (either via Fitness to Study or Cause for Concern),</w:t>
      </w:r>
    </w:p>
    <w:p w14:paraId="456D1972" w14:textId="77777777" w:rsidR="00FE35A9" w:rsidRPr="0044118C" w:rsidRDefault="00FE35A9" w:rsidP="00FE35A9">
      <w:pPr>
        <w:pStyle w:val="ListParagraph"/>
        <w:numPr>
          <w:ilvl w:val="0"/>
          <w:numId w:val="4"/>
        </w:numPr>
        <w:spacing w:line="360" w:lineRule="auto"/>
        <w:rPr>
          <w:rFonts w:ascii="Tahoma" w:hAnsi="Tahoma" w:cs="Tahoma"/>
          <w:sz w:val="24"/>
          <w:szCs w:val="24"/>
          <w:lang w:eastAsia="en-GB"/>
        </w:rPr>
      </w:pPr>
      <w:r w:rsidRPr="0044118C">
        <w:rPr>
          <w:rFonts w:ascii="Tahoma" w:hAnsi="Tahoma" w:cs="Tahoma"/>
          <w:sz w:val="24"/>
          <w:szCs w:val="24"/>
          <w:lang w:eastAsia="en-GB"/>
        </w:rPr>
        <w:t>Queries – Need to determine the student’s status with course team or central guidance/support team.</w:t>
      </w:r>
    </w:p>
    <w:p w14:paraId="0575FE1D"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1AA264E5" w14:textId="77777777" w:rsidR="00FE35A9" w:rsidRDefault="00FE35A9" w:rsidP="00FE35A9">
      <w:pPr>
        <w:spacing w:line="360" w:lineRule="auto"/>
        <w:rPr>
          <w:rFonts w:ascii="Tahoma" w:eastAsia="Times New Roman" w:hAnsi="Tahoma" w:cs="Tahoma"/>
          <w:b/>
          <w:color w:val="000000"/>
          <w:sz w:val="24"/>
          <w:szCs w:val="24"/>
          <w:lang w:eastAsia="en-GB"/>
        </w:rPr>
      </w:pPr>
    </w:p>
    <w:p w14:paraId="304A0944" w14:textId="77777777" w:rsidR="00604ACE" w:rsidRDefault="00604ACE" w:rsidP="00FE35A9">
      <w:pPr>
        <w:spacing w:line="360" w:lineRule="auto"/>
        <w:rPr>
          <w:rFonts w:ascii="Tahoma" w:eastAsia="Times New Roman" w:hAnsi="Tahoma" w:cs="Tahoma"/>
          <w:b/>
          <w:color w:val="000000"/>
          <w:sz w:val="24"/>
          <w:szCs w:val="24"/>
          <w:lang w:eastAsia="en-GB"/>
        </w:rPr>
      </w:pPr>
    </w:p>
    <w:p w14:paraId="63056E2B" w14:textId="760EC936" w:rsidR="00FE35A9" w:rsidRPr="0044118C" w:rsidRDefault="00FE35A9" w:rsidP="00FE35A9">
      <w:pPr>
        <w:spacing w:line="360" w:lineRule="auto"/>
        <w:rPr>
          <w:rFonts w:ascii="Tahoma" w:eastAsia="Times New Roman" w:hAnsi="Tahoma" w:cs="Tahoma"/>
          <w:b/>
          <w:color w:val="000000"/>
          <w:sz w:val="24"/>
          <w:szCs w:val="24"/>
          <w:lang w:eastAsia="en-GB"/>
        </w:rPr>
      </w:pPr>
      <w:r w:rsidRPr="0044118C">
        <w:rPr>
          <w:rFonts w:ascii="Tahoma" w:eastAsia="Times New Roman" w:hAnsi="Tahoma" w:cs="Tahoma"/>
          <w:b/>
          <w:color w:val="000000"/>
          <w:sz w:val="24"/>
          <w:szCs w:val="24"/>
          <w:lang w:eastAsia="en-GB"/>
        </w:rPr>
        <w:lastRenderedPageBreak/>
        <w:t>Table 1. Identifying potential at risk students 2019-2020</w:t>
      </w:r>
    </w:p>
    <w:tbl>
      <w:tblPr>
        <w:tblStyle w:val="TableGrid"/>
        <w:tblW w:w="0" w:type="auto"/>
        <w:tblLook w:val="04A0" w:firstRow="1" w:lastRow="0" w:firstColumn="1" w:lastColumn="0" w:noHBand="0" w:noVBand="1"/>
      </w:tblPr>
      <w:tblGrid>
        <w:gridCol w:w="768"/>
        <w:gridCol w:w="1708"/>
        <w:gridCol w:w="1090"/>
        <w:gridCol w:w="1090"/>
        <w:gridCol w:w="1090"/>
        <w:gridCol w:w="1090"/>
        <w:gridCol w:w="1090"/>
        <w:gridCol w:w="1090"/>
      </w:tblGrid>
      <w:tr w:rsidR="00FE35A9" w:rsidRPr="0044118C" w14:paraId="007E0D5A" w14:textId="77777777" w:rsidTr="00A81245">
        <w:tc>
          <w:tcPr>
            <w:tcW w:w="768" w:type="dxa"/>
            <w:vMerge w:val="restart"/>
          </w:tcPr>
          <w:p w14:paraId="626064AD"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Row Label</w:t>
            </w:r>
          </w:p>
        </w:tc>
        <w:tc>
          <w:tcPr>
            <w:tcW w:w="1708" w:type="dxa"/>
            <w:vMerge w:val="restart"/>
          </w:tcPr>
          <w:p w14:paraId="270320C2"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Intervention type</w:t>
            </w:r>
          </w:p>
        </w:tc>
        <w:tc>
          <w:tcPr>
            <w:tcW w:w="2180" w:type="dxa"/>
            <w:gridSpan w:val="2"/>
          </w:tcPr>
          <w:p w14:paraId="3E0C7922"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Oct/Nov 2019</w:t>
            </w:r>
          </w:p>
        </w:tc>
        <w:tc>
          <w:tcPr>
            <w:tcW w:w="2180" w:type="dxa"/>
            <w:gridSpan w:val="2"/>
          </w:tcPr>
          <w:p w14:paraId="7F8FF234"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Jan/Feb 2020</w:t>
            </w:r>
          </w:p>
        </w:tc>
        <w:tc>
          <w:tcPr>
            <w:tcW w:w="2180" w:type="dxa"/>
            <w:gridSpan w:val="2"/>
          </w:tcPr>
          <w:p w14:paraId="504BA176"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Combined Figures</w:t>
            </w:r>
          </w:p>
        </w:tc>
      </w:tr>
      <w:tr w:rsidR="00FE35A9" w:rsidRPr="0044118C" w14:paraId="2A1BA965" w14:textId="77777777" w:rsidTr="00A81245">
        <w:tc>
          <w:tcPr>
            <w:tcW w:w="768" w:type="dxa"/>
            <w:vMerge/>
          </w:tcPr>
          <w:p w14:paraId="7ED2F53B" w14:textId="77777777" w:rsidR="00FE35A9" w:rsidRPr="0044118C" w:rsidRDefault="00FE35A9" w:rsidP="00A81245">
            <w:pPr>
              <w:spacing w:line="360" w:lineRule="auto"/>
              <w:rPr>
                <w:rFonts w:ascii="Tahoma" w:eastAsia="Calibri" w:hAnsi="Tahoma" w:cs="Tahoma"/>
                <w:b/>
                <w:sz w:val="20"/>
                <w:szCs w:val="20"/>
              </w:rPr>
            </w:pPr>
          </w:p>
        </w:tc>
        <w:tc>
          <w:tcPr>
            <w:tcW w:w="1708" w:type="dxa"/>
            <w:vMerge/>
          </w:tcPr>
          <w:p w14:paraId="7E16D9D5" w14:textId="77777777" w:rsidR="00FE35A9" w:rsidRPr="0044118C" w:rsidRDefault="00FE35A9" w:rsidP="00A81245">
            <w:pPr>
              <w:spacing w:line="360" w:lineRule="auto"/>
              <w:rPr>
                <w:rFonts w:ascii="Tahoma" w:eastAsia="Calibri" w:hAnsi="Tahoma" w:cs="Tahoma"/>
                <w:b/>
                <w:sz w:val="20"/>
                <w:szCs w:val="20"/>
              </w:rPr>
            </w:pPr>
          </w:p>
        </w:tc>
        <w:tc>
          <w:tcPr>
            <w:tcW w:w="1090" w:type="dxa"/>
          </w:tcPr>
          <w:p w14:paraId="4DAFC06E"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Student at risk</w:t>
            </w:r>
          </w:p>
        </w:tc>
        <w:tc>
          <w:tcPr>
            <w:tcW w:w="1090" w:type="dxa"/>
          </w:tcPr>
          <w:p w14:paraId="6A762622"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 xml:space="preserve">% at risk </w:t>
            </w:r>
          </w:p>
        </w:tc>
        <w:tc>
          <w:tcPr>
            <w:tcW w:w="1090" w:type="dxa"/>
          </w:tcPr>
          <w:p w14:paraId="51A1CEF3"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Student at risk</w:t>
            </w:r>
          </w:p>
        </w:tc>
        <w:tc>
          <w:tcPr>
            <w:tcW w:w="1090" w:type="dxa"/>
          </w:tcPr>
          <w:p w14:paraId="478D2FFF"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 xml:space="preserve">% at risk </w:t>
            </w:r>
          </w:p>
        </w:tc>
        <w:tc>
          <w:tcPr>
            <w:tcW w:w="1090" w:type="dxa"/>
          </w:tcPr>
          <w:p w14:paraId="0E771CCF" w14:textId="77777777" w:rsidR="00FE35A9" w:rsidRPr="0044118C" w:rsidRDefault="00FE35A9" w:rsidP="00A81245">
            <w:pPr>
              <w:spacing w:line="360" w:lineRule="auto"/>
              <w:rPr>
                <w:rFonts w:ascii="Tahoma" w:eastAsia="Calibri" w:hAnsi="Tahoma" w:cs="Tahoma"/>
                <w:b/>
                <w:bCs/>
                <w:sz w:val="20"/>
                <w:szCs w:val="20"/>
              </w:rPr>
            </w:pPr>
            <w:r w:rsidRPr="0044118C">
              <w:rPr>
                <w:rFonts w:ascii="Tahoma" w:eastAsia="Calibri" w:hAnsi="Tahoma" w:cs="Tahoma"/>
                <w:b/>
                <w:bCs/>
                <w:sz w:val="20"/>
                <w:szCs w:val="20"/>
              </w:rPr>
              <w:t>Student at risk</w:t>
            </w:r>
          </w:p>
        </w:tc>
        <w:tc>
          <w:tcPr>
            <w:tcW w:w="1090" w:type="dxa"/>
          </w:tcPr>
          <w:p w14:paraId="0A98FC81" w14:textId="77777777" w:rsidR="00FE35A9" w:rsidRPr="0044118C" w:rsidRDefault="00FE35A9" w:rsidP="00A81245">
            <w:pPr>
              <w:spacing w:line="360" w:lineRule="auto"/>
              <w:rPr>
                <w:rFonts w:ascii="Tahoma" w:eastAsia="Calibri" w:hAnsi="Tahoma" w:cs="Tahoma"/>
                <w:b/>
                <w:bCs/>
                <w:sz w:val="20"/>
                <w:szCs w:val="20"/>
              </w:rPr>
            </w:pPr>
            <w:r w:rsidRPr="0044118C">
              <w:rPr>
                <w:rFonts w:ascii="Tahoma" w:eastAsia="Calibri" w:hAnsi="Tahoma" w:cs="Tahoma"/>
                <w:b/>
                <w:bCs/>
                <w:sz w:val="20"/>
                <w:szCs w:val="20"/>
              </w:rPr>
              <w:t xml:space="preserve">% at risk </w:t>
            </w:r>
          </w:p>
        </w:tc>
      </w:tr>
      <w:tr w:rsidR="00FE35A9" w:rsidRPr="0044118C" w14:paraId="3AD562C9" w14:textId="77777777" w:rsidTr="00A81245">
        <w:tc>
          <w:tcPr>
            <w:tcW w:w="768" w:type="dxa"/>
          </w:tcPr>
          <w:p w14:paraId="023E5AF1"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A</w:t>
            </w:r>
          </w:p>
        </w:tc>
        <w:tc>
          <w:tcPr>
            <w:tcW w:w="1708" w:type="dxa"/>
          </w:tcPr>
          <w:p w14:paraId="2D337B76"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Fitness to study</w:t>
            </w:r>
          </w:p>
        </w:tc>
        <w:tc>
          <w:tcPr>
            <w:tcW w:w="1090" w:type="dxa"/>
          </w:tcPr>
          <w:p w14:paraId="2B142248"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10</w:t>
            </w:r>
          </w:p>
        </w:tc>
        <w:tc>
          <w:tcPr>
            <w:tcW w:w="1090" w:type="dxa"/>
          </w:tcPr>
          <w:p w14:paraId="3E73E86B"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0.81%</w:t>
            </w:r>
          </w:p>
        </w:tc>
        <w:tc>
          <w:tcPr>
            <w:tcW w:w="1090" w:type="dxa"/>
          </w:tcPr>
          <w:p w14:paraId="7FA8168D"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70</w:t>
            </w:r>
          </w:p>
        </w:tc>
        <w:tc>
          <w:tcPr>
            <w:tcW w:w="1090" w:type="dxa"/>
          </w:tcPr>
          <w:p w14:paraId="6E761C93"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5.77%</w:t>
            </w:r>
          </w:p>
        </w:tc>
        <w:tc>
          <w:tcPr>
            <w:tcW w:w="1090" w:type="dxa"/>
          </w:tcPr>
          <w:p w14:paraId="44332F42"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80</w:t>
            </w:r>
          </w:p>
        </w:tc>
        <w:tc>
          <w:tcPr>
            <w:tcW w:w="1090" w:type="dxa"/>
          </w:tcPr>
          <w:p w14:paraId="7AA8DA8E"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6.6%</w:t>
            </w:r>
          </w:p>
        </w:tc>
      </w:tr>
      <w:tr w:rsidR="00FE35A9" w:rsidRPr="0044118C" w14:paraId="35429D5D" w14:textId="77777777" w:rsidTr="00A81245">
        <w:tc>
          <w:tcPr>
            <w:tcW w:w="768" w:type="dxa"/>
          </w:tcPr>
          <w:p w14:paraId="273B93C2"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B</w:t>
            </w:r>
          </w:p>
        </w:tc>
        <w:tc>
          <w:tcPr>
            <w:tcW w:w="1708" w:type="dxa"/>
          </w:tcPr>
          <w:p w14:paraId="33A0520B"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 xml:space="preserve">Cause for concern </w:t>
            </w:r>
          </w:p>
        </w:tc>
        <w:tc>
          <w:tcPr>
            <w:tcW w:w="1090" w:type="dxa"/>
          </w:tcPr>
          <w:p w14:paraId="28783E4C"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3</w:t>
            </w:r>
          </w:p>
        </w:tc>
        <w:tc>
          <w:tcPr>
            <w:tcW w:w="1090" w:type="dxa"/>
          </w:tcPr>
          <w:p w14:paraId="27FABC55"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0.24%</w:t>
            </w:r>
          </w:p>
        </w:tc>
        <w:tc>
          <w:tcPr>
            <w:tcW w:w="1090" w:type="dxa"/>
          </w:tcPr>
          <w:p w14:paraId="5917D0BC"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11</w:t>
            </w:r>
          </w:p>
        </w:tc>
        <w:tc>
          <w:tcPr>
            <w:tcW w:w="1090" w:type="dxa"/>
          </w:tcPr>
          <w:p w14:paraId="01AF9D8F"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0.91%</w:t>
            </w:r>
          </w:p>
        </w:tc>
        <w:tc>
          <w:tcPr>
            <w:tcW w:w="1090" w:type="dxa"/>
          </w:tcPr>
          <w:p w14:paraId="493C2195"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14</w:t>
            </w:r>
          </w:p>
        </w:tc>
        <w:tc>
          <w:tcPr>
            <w:tcW w:w="1090" w:type="dxa"/>
          </w:tcPr>
          <w:p w14:paraId="22E13889"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1.16%</w:t>
            </w:r>
          </w:p>
        </w:tc>
      </w:tr>
      <w:tr w:rsidR="00FE35A9" w:rsidRPr="0044118C" w14:paraId="772D255A" w14:textId="77777777" w:rsidTr="00A81245">
        <w:tc>
          <w:tcPr>
            <w:tcW w:w="768" w:type="dxa"/>
          </w:tcPr>
          <w:p w14:paraId="579BB819"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C</w:t>
            </w:r>
          </w:p>
        </w:tc>
        <w:tc>
          <w:tcPr>
            <w:tcW w:w="1708" w:type="dxa"/>
          </w:tcPr>
          <w:p w14:paraId="0BF28395"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 xml:space="preserve">No action required </w:t>
            </w:r>
          </w:p>
        </w:tc>
        <w:tc>
          <w:tcPr>
            <w:tcW w:w="1090" w:type="dxa"/>
          </w:tcPr>
          <w:p w14:paraId="71AE9F34"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6</w:t>
            </w:r>
          </w:p>
        </w:tc>
        <w:tc>
          <w:tcPr>
            <w:tcW w:w="1090" w:type="dxa"/>
          </w:tcPr>
          <w:p w14:paraId="531E70F2"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0.49%</w:t>
            </w:r>
          </w:p>
        </w:tc>
        <w:tc>
          <w:tcPr>
            <w:tcW w:w="1090" w:type="dxa"/>
          </w:tcPr>
          <w:p w14:paraId="51DFD2D9"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9</w:t>
            </w:r>
          </w:p>
        </w:tc>
        <w:tc>
          <w:tcPr>
            <w:tcW w:w="1090" w:type="dxa"/>
          </w:tcPr>
          <w:p w14:paraId="12A8ADFE"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0.74%</w:t>
            </w:r>
          </w:p>
        </w:tc>
        <w:tc>
          <w:tcPr>
            <w:tcW w:w="1090" w:type="dxa"/>
          </w:tcPr>
          <w:p w14:paraId="6C27B6F9"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15</w:t>
            </w:r>
          </w:p>
        </w:tc>
        <w:tc>
          <w:tcPr>
            <w:tcW w:w="1090" w:type="dxa"/>
          </w:tcPr>
          <w:p w14:paraId="4AA35628"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1.24%</w:t>
            </w:r>
          </w:p>
        </w:tc>
      </w:tr>
      <w:tr w:rsidR="00FE35A9" w:rsidRPr="0044118C" w14:paraId="229C81BC" w14:textId="77777777" w:rsidTr="00A81245">
        <w:tc>
          <w:tcPr>
            <w:tcW w:w="768" w:type="dxa"/>
          </w:tcPr>
          <w:p w14:paraId="19FEF252"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D</w:t>
            </w:r>
          </w:p>
        </w:tc>
        <w:tc>
          <w:tcPr>
            <w:tcW w:w="1708" w:type="dxa"/>
          </w:tcPr>
          <w:p w14:paraId="64A2FABF"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Queries</w:t>
            </w:r>
          </w:p>
        </w:tc>
        <w:tc>
          <w:tcPr>
            <w:tcW w:w="1090" w:type="dxa"/>
          </w:tcPr>
          <w:p w14:paraId="5B7A4BC0"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2</w:t>
            </w:r>
          </w:p>
        </w:tc>
        <w:tc>
          <w:tcPr>
            <w:tcW w:w="1090" w:type="dxa"/>
          </w:tcPr>
          <w:p w14:paraId="7DB8E0D5"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0.16%</w:t>
            </w:r>
          </w:p>
        </w:tc>
        <w:tc>
          <w:tcPr>
            <w:tcW w:w="1090" w:type="dxa"/>
          </w:tcPr>
          <w:p w14:paraId="389654A6"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4</w:t>
            </w:r>
          </w:p>
        </w:tc>
        <w:tc>
          <w:tcPr>
            <w:tcW w:w="1090" w:type="dxa"/>
          </w:tcPr>
          <w:p w14:paraId="7A3A3526"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0.33%</w:t>
            </w:r>
          </w:p>
        </w:tc>
        <w:tc>
          <w:tcPr>
            <w:tcW w:w="1090" w:type="dxa"/>
          </w:tcPr>
          <w:p w14:paraId="2615F2A2"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6</w:t>
            </w:r>
          </w:p>
        </w:tc>
        <w:tc>
          <w:tcPr>
            <w:tcW w:w="1090" w:type="dxa"/>
          </w:tcPr>
          <w:p w14:paraId="330A0632"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0.5%</w:t>
            </w:r>
          </w:p>
        </w:tc>
      </w:tr>
      <w:tr w:rsidR="00FE35A9" w:rsidRPr="0044118C" w14:paraId="03F6D438" w14:textId="77777777" w:rsidTr="00A81245">
        <w:tc>
          <w:tcPr>
            <w:tcW w:w="768" w:type="dxa"/>
          </w:tcPr>
          <w:p w14:paraId="6929CD68"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E</w:t>
            </w:r>
          </w:p>
        </w:tc>
        <w:tc>
          <w:tcPr>
            <w:tcW w:w="1708" w:type="dxa"/>
          </w:tcPr>
          <w:p w14:paraId="03B9ECE5"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Total F/T UG students</w:t>
            </w:r>
          </w:p>
        </w:tc>
        <w:tc>
          <w:tcPr>
            <w:tcW w:w="1090" w:type="dxa"/>
          </w:tcPr>
          <w:p w14:paraId="0EC1C611"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21</w:t>
            </w:r>
          </w:p>
        </w:tc>
        <w:tc>
          <w:tcPr>
            <w:tcW w:w="1090" w:type="dxa"/>
          </w:tcPr>
          <w:p w14:paraId="3AD8287B"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1.71%</w:t>
            </w:r>
          </w:p>
        </w:tc>
        <w:tc>
          <w:tcPr>
            <w:tcW w:w="1090" w:type="dxa"/>
          </w:tcPr>
          <w:p w14:paraId="1195DA44"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94</w:t>
            </w:r>
          </w:p>
        </w:tc>
        <w:tc>
          <w:tcPr>
            <w:tcW w:w="1090" w:type="dxa"/>
          </w:tcPr>
          <w:p w14:paraId="3CE3258A"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7.75%</w:t>
            </w:r>
          </w:p>
        </w:tc>
        <w:tc>
          <w:tcPr>
            <w:tcW w:w="1090" w:type="dxa"/>
          </w:tcPr>
          <w:p w14:paraId="7123F9DE"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115</w:t>
            </w:r>
          </w:p>
        </w:tc>
        <w:tc>
          <w:tcPr>
            <w:tcW w:w="1090" w:type="dxa"/>
          </w:tcPr>
          <w:p w14:paraId="0C35B895"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9.5%</w:t>
            </w:r>
          </w:p>
        </w:tc>
      </w:tr>
      <w:tr w:rsidR="00FE35A9" w:rsidRPr="0044118C" w14:paraId="3AD5232C" w14:textId="77777777" w:rsidTr="00A81245">
        <w:tc>
          <w:tcPr>
            <w:tcW w:w="768" w:type="dxa"/>
          </w:tcPr>
          <w:p w14:paraId="2F3822A4" w14:textId="77777777" w:rsidR="00FE35A9" w:rsidRPr="0044118C" w:rsidRDefault="00FE35A9" w:rsidP="00A81245">
            <w:pPr>
              <w:spacing w:line="360" w:lineRule="auto"/>
              <w:rPr>
                <w:rFonts w:ascii="Tahoma" w:eastAsia="Calibri" w:hAnsi="Tahoma" w:cs="Tahoma"/>
                <w:sz w:val="20"/>
                <w:szCs w:val="20"/>
              </w:rPr>
            </w:pPr>
            <w:r w:rsidRPr="0044118C">
              <w:rPr>
                <w:rFonts w:ascii="Tahoma" w:eastAsia="Calibri" w:hAnsi="Tahoma" w:cs="Tahoma"/>
                <w:sz w:val="20"/>
                <w:szCs w:val="20"/>
              </w:rPr>
              <w:t>F</w:t>
            </w:r>
          </w:p>
        </w:tc>
        <w:tc>
          <w:tcPr>
            <w:tcW w:w="1708" w:type="dxa"/>
          </w:tcPr>
          <w:p w14:paraId="1795AD32"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 xml:space="preserve">Total School  headcount </w:t>
            </w:r>
          </w:p>
        </w:tc>
        <w:tc>
          <w:tcPr>
            <w:tcW w:w="1090" w:type="dxa"/>
          </w:tcPr>
          <w:p w14:paraId="642212CE"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21</w:t>
            </w:r>
          </w:p>
        </w:tc>
        <w:tc>
          <w:tcPr>
            <w:tcW w:w="1090" w:type="dxa"/>
          </w:tcPr>
          <w:p w14:paraId="0A385928"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0.79%</w:t>
            </w:r>
          </w:p>
        </w:tc>
        <w:tc>
          <w:tcPr>
            <w:tcW w:w="1090" w:type="dxa"/>
          </w:tcPr>
          <w:p w14:paraId="2EC111B9"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94</w:t>
            </w:r>
          </w:p>
        </w:tc>
        <w:tc>
          <w:tcPr>
            <w:tcW w:w="1090" w:type="dxa"/>
          </w:tcPr>
          <w:p w14:paraId="3FD1B6E8"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4.65%</w:t>
            </w:r>
          </w:p>
        </w:tc>
        <w:tc>
          <w:tcPr>
            <w:tcW w:w="1090" w:type="dxa"/>
          </w:tcPr>
          <w:p w14:paraId="6B62ADCF"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115</w:t>
            </w:r>
          </w:p>
        </w:tc>
        <w:tc>
          <w:tcPr>
            <w:tcW w:w="1090" w:type="dxa"/>
          </w:tcPr>
          <w:p w14:paraId="43B2BBA3" w14:textId="77777777" w:rsidR="00FE35A9" w:rsidRPr="0044118C" w:rsidRDefault="00FE35A9" w:rsidP="00A81245">
            <w:pPr>
              <w:spacing w:line="360" w:lineRule="auto"/>
              <w:rPr>
                <w:rFonts w:ascii="Tahoma" w:eastAsia="Calibri" w:hAnsi="Tahoma" w:cs="Tahoma"/>
                <w:b/>
                <w:sz w:val="20"/>
                <w:szCs w:val="20"/>
              </w:rPr>
            </w:pPr>
            <w:r w:rsidRPr="0044118C">
              <w:rPr>
                <w:rFonts w:ascii="Tahoma" w:eastAsia="Calibri" w:hAnsi="Tahoma" w:cs="Tahoma"/>
                <w:b/>
                <w:sz w:val="20"/>
                <w:szCs w:val="20"/>
              </w:rPr>
              <w:t>9.5%</w:t>
            </w:r>
          </w:p>
        </w:tc>
      </w:tr>
    </w:tbl>
    <w:p w14:paraId="1DB3295A" w14:textId="77777777" w:rsidR="00FE35A9" w:rsidRPr="0044118C" w:rsidRDefault="00FE35A9" w:rsidP="00FE35A9">
      <w:pPr>
        <w:spacing w:line="360" w:lineRule="auto"/>
        <w:jc w:val="right"/>
        <w:rPr>
          <w:rFonts w:ascii="Tahoma" w:hAnsi="Tahoma" w:cs="Tahoma"/>
          <w:sz w:val="16"/>
          <w:szCs w:val="16"/>
        </w:rPr>
      </w:pPr>
      <w:r w:rsidRPr="0044118C">
        <w:rPr>
          <w:rFonts w:ascii="Tahoma" w:hAnsi="Tahoma" w:cs="Tahoma"/>
          <w:sz w:val="16"/>
          <w:szCs w:val="16"/>
        </w:rPr>
        <w:t xml:space="preserve">n1211 F/T UG only </w:t>
      </w:r>
    </w:p>
    <w:p w14:paraId="7D46176A" w14:textId="77777777" w:rsidR="00FE35A9" w:rsidRPr="0044118C" w:rsidRDefault="00FE35A9" w:rsidP="00FE35A9">
      <w:pPr>
        <w:spacing w:line="360" w:lineRule="auto"/>
        <w:jc w:val="both"/>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In total 115 students were added to the ‘potential at risk list’ during the two touchpoints (Table 1 Row E). 14 students were found not to have engaged since the induction weeks for each respective semester. These students were directly referred to the withdrawal procedure and the “cause for concern” letter was issued giving the students further opportunity to contact the University should they wish to continue with their studies (Table 1 Row B). It should be noted that none of these students appealed and ultimately all were withdrawn.</w:t>
      </w:r>
    </w:p>
    <w:p w14:paraId="04FD46C8"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If compared to the previous year, 46% of withdrawn students appealed the decision and </w:t>
      </w:r>
      <w:proofErr w:type="gramStart"/>
      <w:r w:rsidRPr="0044118C">
        <w:rPr>
          <w:rFonts w:ascii="Tahoma" w:eastAsia="Times New Roman" w:hAnsi="Tahoma" w:cs="Tahoma"/>
          <w:color w:val="000000"/>
          <w:sz w:val="24"/>
          <w:szCs w:val="24"/>
          <w:lang w:eastAsia="en-GB"/>
        </w:rPr>
        <w:t>the majority of</w:t>
      </w:r>
      <w:proofErr w:type="gramEnd"/>
      <w:r w:rsidRPr="0044118C">
        <w:rPr>
          <w:rFonts w:ascii="Tahoma" w:eastAsia="Times New Roman" w:hAnsi="Tahoma" w:cs="Tahoma"/>
          <w:color w:val="000000"/>
          <w:sz w:val="24"/>
          <w:szCs w:val="24"/>
          <w:lang w:eastAsia="en-GB"/>
        </w:rPr>
        <w:t xml:space="preserve"> the appeals were upheld, and the students were reinstated.  This was extremely time consuming but also added an extra level of complexity for students who were already behind with their studies and potentially quite vulnerable often due to multiple challenges and commitments outside university. This initial action freed up resources for support to be targeted to the at-risk students who had a high likelihood of re-engagement with focused support in place (those identified in Table 1, Row A). The targeted support group consisted of a total of 80 students (from the two formal attendance monitoring points outlined in Table 1). These students were offered the opportunity to attend a Fitness to Study meeting with </w:t>
      </w:r>
      <w:r w:rsidRPr="0044118C">
        <w:rPr>
          <w:rFonts w:ascii="Tahoma" w:eastAsia="Times New Roman" w:hAnsi="Tahoma" w:cs="Tahoma"/>
          <w:color w:val="000000"/>
          <w:sz w:val="24"/>
          <w:szCs w:val="24"/>
          <w:lang w:eastAsia="en-GB"/>
        </w:rPr>
        <w:lastRenderedPageBreak/>
        <w:t xml:space="preserve">their course leader (or academic tutor) and a Student Guidance Officer in attempt to re-engage positively. This process employed all support mechanisms in place to reduce the possibility of academic failure later in the year. The purpose of the Fitness to Study meeting was three-fold: initially to identify any barriers to re-engagement; it also identified areas where support was needed; and, finally, to agree a personalised plan between all parties to bridge appropriately tailored support for the student. The third and final category (Table 1, Row C and D - no action required and queries) identified 21 student who were already referred within a supportive process, and they were working towards re-engagement with studies, or their support need directed them to a break in studies. </w:t>
      </w:r>
    </w:p>
    <w:p w14:paraId="03911125"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It can be concluded from the data presented in Table 1 that should the positive intervention from fitness to study be successful, it had the potential to change the lives of 80 individual students, therefore reducing the total number of students withdrawing by up to 6.58% (for full-time UG).  Moreover, the supporting students to engage project had quite far-reaching potential for our students, the University and wider society.</w:t>
      </w:r>
    </w:p>
    <w:p w14:paraId="6F4B6B8A"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Phase two and three of the supporting students to engage project analysed outcomes for the academic year in which students were referred to the fitness to study process. The data was correlated with internally-held course retention figures to determine the impact of the intervention. Figure 1 displays the fitness to study recorded outcomes at the end of the academic year (It is categories with a RAG [red, amber or Green]) rating in terms of successful re-engagement or otherwise). In total the </w:t>
      </w:r>
      <w:proofErr w:type="gramStart"/>
      <w:r w:rsidRPr="0044118C">
        <w:rPr>
          <w:rFonts w:ascii="Tahoma" w:eastAsia="Times New Roman" w:hAnsi="Tahoma" w:cs="Tahoma"/>
          <w:color w:val="000000"/>
          <w:sz w:val="24"/>
          <w:szCs w:val="24"/>
          <w:lang w:eastAsia="en-GB"/>
        </w:rPr>
        <w:t>School</w:t>
      </w:r>
      <w:proofErr w:type="gramEnd"/>
      <w:r w:rsidRPr="0044118C">
        <w:rPr>
          <w:rFonts w:ascii="Tahoma" w:eastAsia="Times New Roman" w:hAnsi="Tahoma" w:cs="Tahoma"/>
          <w:color w:val="000000"/>
          <w:sz w:val="24"/>
          <w:szCs w:val="24"/>
          <w:lang w:eastAsia="en-GB"/>
        </w:rPr>
        <w:t xml:space="preserve"> referred 104 students for fitness to study meetings. These comprised of the 80 students from the formal attendance monitoring points in Table 1 and a further 24 students as direct referrals in year from course teams (many of these transpired into between 1-5 follow up meetings to meet support needs of the students, which were often complex). The pie chart illustrated in Figure 1 is colour coded: green for positive outcomes (student re-engaged or had study plan in place). This totals 51%. Red for negative outcomes (withdrawals or suspensions) and Amber for those in progress at the close of the academic year. Students who did not </w:t>
      </w:r>
      <w:r w:rsidRPr="0044118C">
        <w:rPr>
          <w:rFonts w:ascii="Tahoma" w:eastAsia="Times New Roman" w:hAnsi="Tahoma" w:cs="Tahoma"/>
          <w:color w:val="000000"/>
          <w:sz w:val="24"/>
          <w:szCs w:val="24"/>
          <w:lang w:eastAsia="en-GB"/>
        </w:rPr>
        <w:lastRenderedPageBreak/>
        <w:t xml:space="preserve">respond to the request for a fitness to study meeting numbered 10% or those still in-progress (approximately 16%) due to late referrals to the fitness to study preventative action before the formal assessment period was not possible. </w:t>
      </w:r>
    </w:p>
    <w:p w14:paraId="3B6988B1"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Amber group are the most interesting category as these students are potentially at risk of dis-engaging with study. These are now flagged as needing support; hence, a fitness to study process can be actioned prior to the start of the next academic year. Thus, support is in place right from the start of the next academic year, which encourages positive behaviours. This has two advantages: it enabled the student to meet with the University in a pro-active way prior to the preceding years of study; secondly, it spreads the workload for academics and guidance officers, reducing bottle necks in the system (this was experienced primarily in the second intervention point Jan/Feb when 70 cases came into the system simultaneously, resulting in delays due to processing).  These results can be viewed extremely positively in terms of re-engagement, use of resources and access to support. </w:t>
      </w:r>
    </w:p>
    <w:p w14:paraId="5AADB601"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To determine the wider impact of the supporting students to engage project, retention was compared at a fixed point in July 2020 between two consecutive years. There was a measured and significant 2.2% improvement in overall retention for students registered full-time in the Academic School. This was a dramatic improvement within the </w:t>
      </w:r>
      <w:proofErr w:type="gramStart"/>
      <w:r w:rsidRPr="0044118C">
        <w:rPr>
          <w:rFonts w:ascii="Tahoma" w:eastAsia="Times New Roman" w:hAnsi="Tahoma" w:cs="Tahoma"/>
          <w:color w:val="000000"/>
          <w:sz w:val="24"/>
          <w:szCs w:val="24"/>
          <w:lang w:eastAsia="en-GB"/>
        </w:rPr>
        <w:t>School</w:t>
      </w:r>
      <w:proofErr w:type="gramEnd"/>
      <w:r w:rsidRPr="0044118C">
        <w:rPr>
          <w:rFonts w:ascii="Tahoma" w:eastAsia="Times New Roman" w:hAnsi="Tahoma" w:cs="Tahoma"/>
          <w:color w:val="000000"/>
          <w:sz w:val="24"/>
          <w:szCs w:val="24"/>
          <w:lang w:eastAsia="en-GB"/>
        </w:rPr>
        <w:t xml:space="preserve"> (previous year’s retention was 8.9% in 2018/2019, compared to 6.7% 2019/2020 - in real terms this represents 27 Full-time UG students). It should also be noted that this was significantly higher than the average </w:t>
      </w:r>
      <w:r>
        <w:rPr>
          <w:rFonts w:ascii="Tahoma" w:eastAsia="Times New Roman" w:hAnsi="Tahoma" w:cs="Tahoma"/>
          <w:color w:val="000000"/>
          <w:sz w:val="24"/>
          <w:szCs w:val="24"/>
          <w:lang w:eastAsia="en-GB"/>
        </w:rPr>
        <w:t>u</w:t>
      </w:r>
      <w:r w:rsidRPr="0044118C">
        <w:rPr>
          <w:rFonts w:ascii="Tahoma" w:eastAsia="Times New Roman" w:hAnsi="Tahoma" w:cs="Tahoma"/>
          <w:color w:val="000000"/>
          <w:sz w:val="24"/>
          <w:szCs w:val="24"/>
          <w:lang w:eastAsia="en-GB"/>
        </w:rPr>
        <w:t xml:space="preserve">niversity improvement across, which averaged out at 0.9% improvement across six academic schools. </w:t>
      </w:r>
    </w:p>
    <w:p w14:paraId="552C3E0C"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School of Creative Arts and Engineering consists of 19 individual course areas, 7 of these courses had re-engaged students through the fitness to study process more than 5 times in the 2019-2020 academic year (Table 2, Column a). Columns E and F illustrate that 5 out of the 7 courses that engaged with the fitness-to-study process had significantly positive improvement on retention, of between 2.5% and 5.8%. </w:t>
      </w:r>
    </w:p>
    <w:p w14:paraId="1D552B9A"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6776733B"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hAnsi="Tahoma" w:cs="Tahoma"/>
          <w:noProof/>
          <w:sz w:val="24"/>
          <w:szCs w:val="24"/>
          <w:lang w:eastAsia="en-GB"/>
        </w:rPr>
        <w:lastRenderedPageBreak/>
        <w:drawing>
          <wp:inline distT="0" distB="0" distL="0" distR="0" wp14:anchorId="11C279DE" wp14:editId="198EC124">
            <wp:extent cx="5769033" cy="3682538"/>
            <wp:effectExtent l="0" t="0" r="3175" b="13335"/>
            <wp:docPr id="1" name="Chart 1">
              <a:extLst xmlns:a="http://schemas.openxmlformats.org/drawingml/2006/main">
                <a:ext uri="{FF2B5EF4-FFF2-40B4-BE49-F238E27FC236}">
                  <a16:creationId xmlns:a16="http://schemas.microsoft.com/office/drawing/2014/main" id="{C27A2E36-D84C-C443-91D9-77D12F360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2F98CB" w14:textId="77777777" w:rsidR="00FE35A9" w:rsidRPr="0044118C" w:rsidRDefault="00FE35A9" w:rsidP="00FE35A9">
      <w:pPr>
        <w:spacing w:line="360" w:lineRule="auto"/>
        <w:rPr>
          <w:rFonts w:ascii="Tahoma" w:eastAsia="Times New Roman" w:hAnsi="Tahoma" w:cs="Tahoma"/>
          <w:color w:val="000000"/>
          <w:sz w:val="16"/>
          <w:szCs w:val="16"/>
          <w:lang w:eastAsia="en-GB"/>
        </w:rPr>
      </w:pPr>
      <w:r w:rsidRPr="0044118C">
        <w:rPr>
          <w:rFonts w:ascii="Tahoma" w:eastAsia="Times New Roman" w:hAnsi="Tahoma" w:cs="Tahoma"/>
          <w:b/>
          <w:color w:val="000000"/>
          <w:sz w:val="24"/>
          <w:szCs w:val="24"/>
          <w:lang w:eastAsia="en-GB"/>
        </w:rPr>
        <w:t xml:space="preserve">Figure 1. Outcomes of fitness-to-study meetings 2019-2020 </w:t>
      </w:r>
      <w:r w:rsidRPr="0044118C">
        <w:rPr>
          <w:rFonts w:ascii="Tahoma" w:eastAsia="Times New Roman" w:hAnsi="Tahoma" w:cs="Tahoma"/>
          <w:color w:val="000000"/>
          <w:sz w:val="16"/>
          <w:szCs w:val="16"/>
          <w:lang w:eastAsia="en-GB"/>
        </w:rPr>
        <w:t>(n=104)</w:t>
      </w:r>
    </w:p>
    <w:p w14:paraId="4CAF79E8" w14:textId="77777777" w:rsidR="00604ACE" w:rsidRPr="0044118C" w:rsidDel="00957B85" w:rsidRDefault="00FE35A9" w:rsidP="00604ACE">
      <w:pPr>
        <w:spacing w:line="360" w:lineRule="auto"/>
        <w:rPr>
          <w:rFonts w:ascii="Tahoma" w:eastAsia="Times New Roman" w:hAnsi="Tahoma" w:cs="Tahoma"/>
          <w:color w:val="000000"/>
          <w:sz w:val="24"/>
          <w:szCs w:val="24"/>
          <w:lang w:eastAsia="en-GB"/>
        </w:rPr>
      </w:pPr>
      <w:bookmarkStart w:id="0" w:name="_Hlk164841191"/>
      <w:r w:rsidRPr="0044118C">
        <w:rPr>
          <w:rFonts w:ascii="Tahoma" w:eastAsia="Times New Roman" w:hAnsi="Tahoma" w:cs="Tahoma"/>
          <w:color w:val="000000"/>
          <w:sz w:val="24"/>
          <w:szCs w:val="24"/>
          <w:lang w:eastAsia="en-GB"/>
        </w:rPr>
        <w:t xml:space="preserve">Further exploration of the two courses that had marked declines in retention (Aeronautical and English &amp; Creative Writing - those with the negative numbers in Column F) found that </w:t>
      </w:r>
      <w:proofErr w:type="gramStart"/>
      <w:r w:rsidRPr="0044118C">
        <w:rPr>
          <w:rFonts w:ascii="Tahoma" w:eastAsia="Times New Roman" w:hAnsi="Tahoma" w:cs="Tahoma"/>
          <w:color w:val="000000"/>
          <w:sz w:val="24"/>
          <w:szCs w:val="24"/>
          <w:lang w:eastAsia="en-GB"/>
        </w:rPr>
        <w:t>the majority of</w:t>
      </w:r>
      <w:proofErr w:type="gramEnd"/>
      <w:r w:rsidRPr="0044118C">
        <w:rPr>
          <w:rFonts w:ascii="Tahoma" w:eastAsia="Times New Roman" w:hAnsi="Tahoma" w:cs="Tahoma"/>
          <w:color w:val="000000"/>
          <w:sz w:val="24"/>
          <w:szCs w:val="24"/>
          <w:lang w:eastAsia="en-GB"/>
        </w:rPr>
        <w:t xml:space="preserve"> outcomes from the fitness to study process were largely pending (identified as at risk in Column C). The reason for the high number in this category was because the students didn’t get into the support system prior to the exam period (this could be due to the student’s availability, staff availability, guidance availability, or that a fitness to study was flagged too close to final assessment for it to be implemented constructively). Courses in which fitness to study had the maximum impact (in terms of positive intervention shown in column b) are those which all had positive and significant impact on retention. The most significant of all was Drama which retained 10 more students than the previous year and managed the re-engagement of students to learning through fitness to study plans, working with the student per se and central guidance. The students that were recommended for withdrawal (negative outcome, Table 2 column </w:t>
      </w:r>
      <w:r>
        <w:rPr>
          <w:rFonts w:ascii="Tahoma" w:eastAsia="Times New Roman" w:hAnsi="Tahoma" w:cs="Tahoma"/>
          <w:color w:val="000000"/>
          <w:sz w:val="24"/>
          <w:szCs w:val="24"/>
          <w:lang w:eastAsia="en-GB"/>
        </w:rPr>
        <w:t>d</w:t>
      </w:r>
      <w:r w:rsidRPr="0044118C">
        <w:rPr>
          <w:rFonts w:ascii="Tahoma" w:eastAsia="Times New Roman" w:hAnsi="Tahoma" w:cs="Tahoma"/>
          <w:color w:val="000000"/>
          <w:sz w:val="24"/>
          <w:szCs w:val="24"/>
          <w:lang w:eastAsia="en-GB"/>
        </w:rPr>
        <w:t xml:space="preserve">) where those that declined the opportunity to engage with the support offered. Whilst this </w:t>
      </w:r>
      <w:r w:rsidRPr="0044118C">
        <w:rPr>
          <w:rFonts w:ascii="Tahoma" w:eastAsia="Times New Roman" w:hAnsi="Tahoma" w:cs="Tahoma"/>
          <w:color w:val="000000"/>
          <w:sz w:val="24"/>
          <w:szCs w:val="24"/>
          <w:lang w:eastAsia="en-GB"/>
        </w:rPr>
        <w:lastRenderedPageBreak/>
        <w:t>outcome is recorded as negative (recommended for withdrawal), the number that were withdrawn was significantly less and this was confirmed through correlating</w:t>
      </w:r>
      <w:bookmarkEnd w:id="0"/>
      <w:r w:rsidRPr="0044118C">
        <w:rPr>
          <w:rFonts w:ascii="Tahoma" w:eastAsia="Times New Roman" w:hAnsi="Tahoma" w:cs="Tahoma"/>
          <w:color w:val="000000"/>
          <w:sz w:val="24"/>
          <w:szCs w:val="24"/>
          <w:lang w:eastAsia="en-GB"/>
        </w:rPr>
        <w:t xml:space="preserve"> </w:t>
      </w:r>
      <w:r w:rsidR="00604ACE" w:rsidRPr="00957B85">
        <w:rPr>
          <w:rFonts w:ascii="Tahoma" w:eastAsia="Times New Roman" w:hAnsi="Tahoma" w:cs="Tahoma"/>
          <w:color w:val="000000"/>
          <w:sz w:val="24"/>
          <w:szCs w:val="24"/>
          <w:lang w:eastAsia="en-GB"/>
        </w:rPr>
        <w:t>actual withdrawals compared to recommended withdrawals (see Table 3 for actual withdrawals).  The main reason for this is that the student did submit assessed work and ultimately re-engaged with the University prior to the cut off point for formal withdrawals. These numbers depict the categories that are perhaps actively choosing not to attend class, rather than due to circumstances preventing them doing so. The shock of receiving a letter regarding attendance prompted action and engagement with the course team, thus reversing many of the recommendations for withdrawal.</w:t>
      </w:r>
    </w:p>
    <w:p w14:paraId="4C233CF8" w14:textId="2C1B23B5" w:rsidR="00FE35A9" w:rsidRPr="0044118C" w:rsidRDefault="00FE35A9" w:rsidP="00604ACE">
      <w:pPr>
        <w:rPr>
          <w:rFonts w:ascii="Tahoma" w:eastAsia="Times New Roman" w:hAnsi="Tahoma" w:cs="Tahoma"/>
          <w:b/>
          <w:color w:val="000000"/>
          <w:sz w:val="24"/>
          <w:szCs w:val="24"/>
          <w:lang w:eastAsia="en-GB"/>
        </w:rPr>
      </w:pPr>
      <w:r w:rsidRPr="0044118C">
        <w:rPr>
          <w:rFonts w:ascii="Tahoma" w:eastAsia="Times New Roman" w:hAnsi="Tahoma" w:cs="Tahoma"/>
          <w:b/>
          <w:color w:val="000000"/>
          <w:sz w:val="24"/>
          <w:szCs w:val="24"/>
          <w:lang w:eastAsia="en-GB"/>
        </w:rPr>
        <w:t xml:space="preserve">Table 2. Retention mapped with </w:t>
      </w:r>
      <w:proofErr w:type="gramStart"/>
      <w:r w:rsidRPr="0044118C">
        <w:rPr>
          <w:rFonts w:ascii="Tahoma" w:eastAsia="Times New Roman" w:hAnsi="Tahoma" w:cs="Tahoma"/>
          <w:b/>
          <w:color w:val="000000"/>
          <w:sz w:val="24"/>
          <w:szCs w:val="24"/>
          <w:lang w:eastAsia="en-GB"/>
        </w:rPr>
        <w:t>number</w:t>
      </w:r>
      <w:proofErr w:type="gramEnd"/>
      <w:r w:rsidRPr="0044118C">
        <w:rPr>
          <w:rFonts w:ascii="Tahoma" w:eastAsia="Times New Roman" w:hAnsi="Tahoma" w:cs="Tahoma"/>
          <w:b/>
          <w:color w:val="000000"/>
          <w:sz w:val="24"/>
          <w:szCs w:val="24"/>
          <w:lang w:eastAsia="en-GB"/>
        </w:rPr>
        <w:t xml:space="preserve"> of fitness to study cases</w:t>
      </w:r>
    </w:p>
    <w:tbl>
      <w:tblPr>
        <w:tblStyle w:val="TableGrid"/>
        <w:tblW w:w="0" w:type="auto"/>
        <w:tblLayout w:type="fixed"/>
        <w:tblLook w:val="04A0" w:firstRow="1" w:lastRow="0" w:firstColumn="1" w:lastColumn="0" w:noHBand="0" w:noVBand="1"/>
      </w:tblPr>
      <w:tblGrid>
        <w:gridCol w:w="1696"/>
        <w:gridCol w:w="1418"/>
        <w:gridCol w:w="584"/>
        <w:gridCol w:w="408"/>
        <w:gridCol w:w="851"/>
        <w:gridCol w:w="850"/>
        <w:gridCol w:w="1389"/>
        <w:gridCol w:w="1106"/>
      </w:tblGrid>
      <w:tr w:rsidR="00FE35A9" w:rsidRPr="0044118C" w14:paraId="2DAD3A88" w14:textId="77777777" w:rsidTr="001239FC">
        <w:tc>
          <w:tcPr>
            <w:tcW w:w="1696" w:type="dxa"/>
            <w:shd w:val="clear" w:color="auto" w:fill="D9D9D9" w:themeFill="background1" w:themeFillShade="D9"/>
          </w:tcPr>
          <w:p w14:paraId="7EE6C7FD"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Column number</w:t>
            </w:r>
          </w:p>
        </w:tc>
        <w:tc>
          <w:tcPr>
            <w:tcW w:w="1418" w:type="dxa"/>
            <w:shd w:val="clear" w:color="auto" w:fill="D9D9D9" w:themeFill="background1" w:themeFillShade="D9"/>
          </w:tcPr>
          <w:p w14:paraId="76932334"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a</w:t>
            </w:r>
          </w:p>
        </w:tc>
        <w:tc>
          <w:tcPr>
            <w:tcW w:w="584" w:type="dxa"/>
            <w:shd w:val="clear" w:color="auto" w:fill="D9D9D9" w:themeFill="background1" w:themeFillShade="D9"/>
          </w:tcPr>
          <w:p w14:paraId="05BA6A1F"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b</w:t>
            </w:r>
          </w:p>
        </w:tc>
        <w:tc>
          <w:tcPr>
            <w:tcW w:w="1259" w:type="dxa"/>
            <w:gridSpan w:val="2"/>
            <w:shd w:val="clear" w:color="auto" w:fill="D9D9D9" w:themeFill="background1" w:themeFillShade="D9"/>
          </w:tcPr>
          <w:p w14:paraId="5B85CDD9"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c</w:t>
            </w:r>
          </w:p>
        </w:tc>
        <w:tc>
          <w:tcPr>
            <w:tcW w:w="850" w:type="dxa"/>
            <w:shd w:val="clear" w:color="auto" w:fill="D9D9D9" w:themeFill="background1" w:themeFillShade="D9"/>
          </w:tcPr>
          <w:p w14:paraId="3736EC94"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d</w:t>
            </w:r>
          </w:p>
        </w:tc>
        <w:tc>
          <w:tcPr>
            <w:tcW w:w="1389" w:type="dxa"/>
            <w:shd w:val="clear" w:color="auto" w:fill="D9D9D9" w:themeFill="background1" w:themeFillShade="D9"/>
          </w:tcPr>
          <w:p w14:paraId="511EAF13"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e</w:t>
            </w:r>
          </w:p>
        </w:tc>
        <w:tc>
          <w:tcPr>
            <w:tcW w:w="1106" w:type="dxa"/>
            <w:shd w:val="clear" w:color="auto" w:fill="D9D9D9" w:themeFill="background1" w:themeFillShade="D9"/>
          </w:tcPr>
          <w:p w14:paraId="212F466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f</w:t>
            </w:r>
          </w:p>
        </w:tc>
      </w:tr>
      <w:tr w:rsidR="00FE35A9" w:rsidRPr="0044118C" w14:paraId="7E13680F" w14:textId="77777777" w:rsidTr="00604ACE">
        <w:tc>
          <w:tcPr>
            <w:tcW w:w="1696" w:type="dxa"/>
            <w:vMerge w:val="restart"/>
          </w:tcPr>
          <w:p w14:paraId="69AB4E11" w14:textId="77777777" w:rsidR="00FE35A9" w:rsidRPr="0044118C" w:rsidRDefault="00FE35A9" w:rsidP="00A81245">
            <w:pPr>
              <w:spacing w:line="360" w:lineRule="auto"/>
              <w:rPr>
                <w:rFonts w:ascii="Tahoma" w:hAnsi="Tahoma" w:cs="Tahoma"/>
                <w:sz w:val="20"/>
                <w:szCs w:val="20"/>
              </w:rPr>
            </w:pPr>
          </w:p>
        </w:tc>
        <w:tc>
          <w:tcPr>
            <w:tcW w:w="4111" w:type="dxa"/>
            <w:gridSpan w:val="5"/>
          </w:tcPr>
          <w:p w14:paraId="6BDEDA22" w14:textId="77777777" w:rsidR="00FE35A9" w:rsidRPr="0044118C" w:rsidRDefault="00FE35A9" w:rsidP="00A81245">
            <w:pPr>
              <w:spacing w:line="360" w:lineRule="auto"/>
              <w:rPr>
                <w:rFonts w:ascii="Tahoma" w:hAnsi="Tahoma" w:cs="Tahoma"/>
                <w:color w:val="FF0000"/>
                <w:sz w:val="20"/>
                <w:szCs w:val="20"/>
              </w:rPr>
            </w:pPr>
            <w:r w:rsidRPr="0044118C">
              <w:rPr>
                <w:rFonts w:ascii="Tahoma" w:hAnsi="Tahoma" w:cs="Tahoma"/>
                <w:sz w:val="20"/>
                <w:szCs w:val="20"/>
              </w:rPr>
              <w:t>Student numbers</w:t>
            </w:r>
          </w:p>
        </w:tc>
        <w:tc>
          <w:tcPr>
            <w:tcW w:w="2495" w:type="dxa"/>
            <w:gridSpan w:val="2"/>
            <w:vMerge w:val="restart"/>
          </w:tcPr>
          <w:p w14:paraId="5F634322"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Retention</w:t>
            </w:r>
          </w:p>
        </w:tc>
      </w:tr>
      <w:tr w:rsidR="00FE35A9" w:rsidRPr="0044118C" w14:paraId="7A710139" w14:textId="77777777" w:rsidTr="001239FC">
        <w:tc>
          <w:tcPr>
            <w:tcW w:w="1696" w:type="dxa"/>
            <w:vMerge/>
          </w:tcPr>
          <w:p w14:paraId="498BF931" w14:textId="77777777" w:rsidR="00FE35A9" w:rsidRPr="0044118C" w:rsidRDefault="00FE35A9" w:rsidP="00A81245">
            <w:pPr>
              <w:spacing w:line="360" w:lineRule="auto"/>
              <w:rPr>
                <w:rFonts w:ascii="Tahoma" w:hAnsi="Tahoma" w:cs="Tahoma"/>
                <w:sz w:val="20"/>
                <w:szCs w:val="20"/>
              </w:rPr>
            </w:pPr>
          </w:p>
        </w:tc>
        <w:tc>
          <w:tcPr>
            <w:tcW w:w="1418" w:type="dxa"/>
            <w:shd w:val="clear" w:color="auto" w:fill="000000" w:themeFill="text1"/>
          </w:tcPr>
          <w:p w14:paraId="19E39C74" w14:textId="77777777" w:rsidR="00FE35A9" w:rsidRPr="0044118C" w:rsidRDefault="00FE35A9" w:rsidP="00A81245">
            <w:pPr>
              <w:spacing w:line="360" w:lineRule="auto"/>
              <w:rPr>
                <w:rFonts w:ascii="Tahoma" w:hAnsi="Tahoma" w:cs="Tahoma"/>
                <w:sz w:val="20"/>
                <w:szCs w:val="20"/>
              </w:rPr>
            </w:pPr>
          </w:p>
        </w:tc>
        <w:tc>
          <w:tcPr>
            <w:tcW w:w="2693" w:type="dxa"/>
            <w:gridSpan w:val="4"/>
          </w:tcPr>
          <w:p w14:paraId="4BF5C4D6" w14:textId="77777777" w:rsidR="00FE35A9" w:rsidRPr="0044118C" w:rsidRDefault="00FE35A9" w:rsidP="00A81245">
            <w:pPr>
              <w:spacing w:line="360" w:lineRule="auto"/>
              <w:rPr>
                <w:rFonts w:ascii="Tahoma" w:hAnsi="Tahoma" w:cs="Tahoma"/>
                <w:color w:val="FF0000"/>
                <w:sz w:val="20"/>
                <w:szCs w:val="20"/>
              </w:rPr>
            </w:pPr>
            <w:r w:rsidRPr="0044118C">
              <w:rPr>
                <w:rFonts w:ascii="Tahoma" w:hAnsi="Tahoma" w:cs="Tahoma"/>
                <w:sz w:val="20"/>
                <w:szCs w:val="20"/>
              </w:rPr>
              <w:t>Outcomes</w:t>
            </w:r>
          </w:p>
        </w:tc>
        <w:tc>
          <w:tcPr>
            <w:tcW w:w="2495" w:type="dxa"/>
            <w:gridSpan w:val="2"/>
            <w:vMerge/>
          </w:tcPr>
          <w:p w14:paraId="2E8D3683" w14:textId="77777777" w:rsidR="00FE35A9" w:rsidRPr="0044118C" w:rsidRDefault="00FE35A9" w:rsidP="00A81245">
            <w:pPr>
              <w:spacing w:line="360" w:lineRule="auto"/>
              <w:rPr>
                <w:rFonts w:ascii="Tahoma" w:hAnsi="Tahoma" w:cs="Tahoma"/>
                <w:sz w:val="20"/>
                <w:szCs w:val="20"/>
              </w:rPr>
            </w:pPr>
          </w:p>
        </w:tc>
      </w:tr>
      <w:tr w:rsidR="00FE35A9" w:rsidRPr="0044118C" w14:paraId="50FF10CC" w14:textId="77777777" w:rsidTr="001239FC">
        <w:trPr>
          <w:cantSplit/>
          <w:trHeight w:val="1565"/>
        </w:trPr>
        <w:tc>
          <w:tcPr>
            <w:tcW w:w="1696" w:type="dxa"/>
            <w:vMerge/>
          </w:tcPr>
          <w:p w14:paraId="5C48EC67" w14:textId="77777777" w:rsidR="00FE35A9" w:rsidRPr="0044118C" w:rsidRDefault="00FE35A9" w:rsidP="00A81245">
            <w:pPr>
              <w:spacing w:line="360" w:lineRule="auto"/>
              <w:rPr>
                <w:rFonts w:ascii="Tahoma" w:hAnsi="Tahoma" w:cs="Tahoma"/>
                <w:sz w:val="20"/>
                <w:szCs w:val="20"/>
              </w:rPr>
            </w:pPr>
          </w:p>
        </w:tc>
        <w:tc>
          <w:tcPr>
            <w:tcW w:w="1418" w:type="dxa"/>
            <w:textDirection w:val="btLr"/>
          </w:tcPr>
          <w:p w14:paraId="74A21FA1" w14:textId="77777777" w:rsidR="00FE35A9" w:rsidRPr="0044118C" w:rsidRDefault="00FE35A9" w:rsidP="00A81245">
            <w:pPr>
              <w:spacing w:line="360" w:lineRule="auto"/>
              <w:ind w:left="113" w:right="113"/>
              <w:rPr>
                <w:rFonts w:ascii="Tahoma" w:hAnsi="Tahoma" w:cs="Tahoma"/>
                <w:sz w:val="20"/>
                <w:szCs w:val="20"/>
              </w:rPr>
            </w:pPr>
            <w:r w:rsidRPr="0044118C">
              <w:rPr>
                <w:rFonts w:ascii="Tahoma" w:hAnsi="Tahoma" w:cs="Tahoma"/>
                <w:sz w:val="20"/>
                <w:szCs w:val="20"/>
              </w:rPr>
              <w:t>Number of fitness to study referrals</w:t>
            </w:r>
          </w:p>
        </w:tc>
        <w:tc>
          <w:tcPr>
            <w:tcW w:w="992" w:type="dxa"/>
            <w:gridSpan w:val="2"/>
            <w:textDirection w:val="btLr"/>
          </w:tcPr>
          <w:p w14:paraId="0AA45921" w14:textId="77777777" w:rsidR="00FE35A9" w:rsidRPr="0044118C" w:rsidRDefault="00FE35A9" w:rsidP="00A81245">
            <w:pPr>
              <w:spacing w:line="360" w:lineRule="auto"/>
              <w:ind w:left="113" w:right="113"/>
              <w:rPr>
                <w:rFonts w:ascii="Tahoma" w:hAnsi="Tahoma" w:cs="Tahoma"/>
                <w:sz w:val="20"/>
                <w:szCs w:val="20"/>
              </w:rPr>
            </w:pPr>
            <w:r w:rsidRPr="0044118C">
              <w:rPr>
                <w:rFonts w:ascii="Tahoma" w:hAnsi="Tahoma" w:cs="Tahoma"/>
                <w:sz w:val="20"/>
                <w:szCs w:val="20"/>
              </w:rPr>
              <w:t>Positive outcomes</w:t>
            </w:r>
          </w:p>
        </w:tc>
        <w:tc>
          <w:tcPr>
            <w:tcW w:w="851" w:type="dxa"/>
            <w:textDirection w:val="btLr"/>
          </w:tcPr>
          <w:p w14:paraId="5DFC015B" w14:textId="77777777" w:rsidR="00FE35A9" w:rsidRPr="0044118C" w:rsidRDefault="00FE35A9" w:rsidP="00A81245">
            <w:pPr>
              <w:spacing w:line="360" w:lineRule="auto"/>
              <w:ind w:left="113" w:right="113"/>
              <w:rPr>
                <w:rFonts w:ascii="Tahoma" w:hAnsi="Tahoma" w:cs="Tahoma"/>
                <w:sz w:val="20"/>
                <w:szCs w:val="20"/>
              </w:rPr>
            </w:pPr>
            <w:r w:rsidRPr="0044118C">
              <w:rPr>
                <w:rFonts w:ascii="Tahoma" w:hAnsi="Tahoma" w:cs="Tahoma"/>
                <w:sz w:val="20"/>
                <w:szCs w:val="20"/>
              </w:rPr>
              <w:t>At Risk</w:t>
            </w:r>
          </w:p>
        </w:tc>
        <w:tc>
          <w:tcPr>
            <w:tcW w:w="850" w:type="dxa"/>
            <w:textDirection w:val="btLr"/>
          </w:tcPr>
          <w:p w14:paraId="27CCED02" w14:textId="77777777" w:rsidR="00FE35A9" w:rsidRPr="0044118C" w:rsidRDefault="00FE35A9" w:rsidP="00A81245">
            <w:pPr>
              <w:spacing w:line="360" w:lineRule="auto"/>
              <w:ind w:left="113" w:right="113"/>
              <w:rPr>
                <w:rFonts w:ascii="Tahoma" w:hAnsi="Tahoma" w:cs="Tahoma"/>
                <w:sz w:val="20"/>
                <w:szCs w:val="20"/>
              </w:rPr>
            </w:pPr>
            <w:r w:rsidRPr="0044118C">
              <w:rPr>
                <w:rFonts w:ascii="Tahoma" w:hAnsi="Tahoma" w:cs="Tahoma"/>
                <w:sz w:val="20"/>
                <w:szCs w:val="20"/>
              </w:rPr>
              <w:t xml:space="preserve">Negative Outcomes </w:t>
            </w:r>
          </w:p>
        </w:tc>
        <w:tc>
          <w:tcPr>
            <w:tcW w:w="1389" w:type="dxa"/>
            <w:textDirection w:val="btLr"/>
          </w:tcPr>
          <w:p w14:paraId="7BAD1D3F" w14:textId="77777777" w:rsidR="00FE35A9" w:rsidRPr="0044118C" w:rsidRDefault="00FE35A9" w:rsidP="00A81245">
            <w:pPr>
              <w:spacing w:line="360" w:lineRule="auto"/>
              <w:ind w:left="113" w:right="113"/>
              <w:rPr>
                <w:rFonts w:ascii="Tahoma" w:hAnsi="Tahoma" w:cs="Tahoma"/>
                <w:sz w:val="20"/>
                <w:szCs w:val="20"/>
              </w:rPr>
            </w:pPr>
            <w:r w:rsidRPr="0044118C">
              <w:rPr>
                <w:rFonts w:ascii="Tahoma" w:hAnsi="Tahoma" w:cs="Tahoma"/>
                <w:sz w:val="20"/>
                <w:szCs w:val="20"/>
              </w:rPr>
              <w:t>% improvement from previous year</w:t>
            </w:r>
          </w:p>
        </w:tc>
        <w:tc>
          <w:tcPr>
            <w:tcW w:w="1106" w:type="dxa"/>
            <w:textDirection w:val="btLr"/>
          </w:tcPr>
          <w:p w14:paraId="3B47EA94" w14:textId="77777777" w:rsidR="00FE35A9" w:rsidRPr="0044118C" w:rsidRDefault="00FE35A9" w:rsidP="00A81245">
            <w:pPr>
              <w:spacing w:line="360" w:lineRule="auto"/>
              <w:ind w:left="113" w:right="113"/>
              <w:rPr>
                <w:rFonts w:ascii="Tahoma" w:hAnsi="Tahoma" w:cs="Tahoma"/>
                <w:sz w:val="20"/>
                <w:szCs w:val="20"/>
              </w:rPr>
            </w:pPr>
            <w:r w:rsidRPr="0044118C">
              <w:rPr>
                <w:rFonts w:ascii="Tahoma" w:hAnsi="Tahoma" w:cs="Tahoma"/>
                <w:sz w:val="20"/>
                <w:szCs w:val="20"/>
              </w:rPr>
              <w:t>Student numbers</w:t>
            </w:r>
          </w:p>
        </w:tc>
      </w:tr>
      <w:tr w:rsidR="00FE35A9" w:rsidRPr="0044118C" w14:paraId="4D43C37F" w14:textId="77777777" w:rsidTr="001239FC">
        <w:tc>
          <w:tcPr>
            <w:tcW w:w="1696" w:type="dxa"/>
          </w:tcPr>
          <w:p w14:paraId="64344490"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Aeronautical Engineering</w:t>
            </w:r>
          </w:p>
        </w:tc>
        <w:tc>
          <w:tcPr>
            <w:tcW w:w="1418" w:type="dxa"/>
          </w:tcPr>
          <w:p w14:paraId="44373C14"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10</w:t>
            </w:r>
          </w:p>
        </w:tc>
        <w:tc>
          <w:tcPr>
            <w:tcW w:w="992" w:type="dxa"/>
            <w:gridSpan w:val="2"/>
          </w:tcPr>
          <w:p w14:paraId="16089719"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4</w:t>
            </w:r>
          </w:p>
        </w:tc>
        <w:tc>
          <w:tcPr>
            <w:tcW w:w="851" w:type="dxa"/>
            <w:shd w:val="clear" w:color="auto" w:fill="D9D9D9" w:themeFill="background1" w:themeFillShade="D9"/>
          </w:tcPr>
          <w:p w14:paraId="629946AA"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6</w:t>
            </w:r>
          </w:p>
        </w:tc>
        <w:tc>
          <w:tcPr>
            <w:tcW w:w="850" w:type="dxa"/>
          </w:tcPr>
          <w:p w14:paraId="2D38C485"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0</w:t>
            </w:r>
          </w:p>
        </w:tc>
        <w:tc>
          <w:tcPr>
            <w:tcW w:w="1389" w:type="dxa"/>
            <w:shd w:val="clear" w:color="auto" w:fill="D9D9D9" w:themeFill="background1" w:themeFillShade="D9"/>
          </w:tcPr>
          <w:p w14:paraId="75D7F735"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-0.5%</w:t>
            </w:r>
          </w:p>
        </w:tc>
        <w:tc>
          <w:tcPr>
            <w:tcW w:w="1106" w:type="dxa"/>
          </w:tcPr>
          <w:p w14:paraId="7933A4BC"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w:t>
            </w:r>
          </w:p>
        </w:tc>
      </w:tr>
      <w:tr w:rsidR="00FE35A9" w:rsidRPr="0044118C" w14:paraId="362669C3" w14:textId="77777777" w:rsidTr="001239FC">
        <w:tc>
          <w:tcPr>
            <w:tcW w:w="1696" w:type="dxa"/>
          </w:tcPr>
          <w:p w14:paraId="3BAFBB13"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Automotive &amp; Motorsports</w:t>
            </w:r>
          </w:p>
        </w:tc>
        <w:tc>
          <w:tcPr>
            <w:tcW w:w="1418" w:type="dxa"/>
          </w:tcPr>
          <w:p w14:paraId="5FA89CDF"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9</w:t>
            </w:r>
          </w:p>
        </w:tc>
        <w:tc>
          <w:tcPr>
            <w:tcW w:w="992" w:type="dxa"/>
            <w:gridSpan w:val="2"/>
          </w:tcPr>
          <w:p w14:paraId="6296F01A"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5</w:t>
            </w:r>
          </w:p>
        </w:tc>
        <w:tc>
          <w:tcPr>
            <w:tcW w:w="851" w:type="dxa"/>
          </w:tcPr>
          <w:p w14:paraId="5385EE29"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0</w:t>
            </w:r>
          </w:p>
        </w:tc>
        <w:tc>
          <w:tcPr>
            <w:tcW w:w="850" w:type="dxa"/>
          </w:tcPr>
          <w:p w14:paraId="540E7721"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4</w:t>
            </w:r>
          </w:p>
        </w:tc>
        <w:tc>
          <w:tcPr>
            <w:tcW w:w="1389" w:type="dxa"/>
          </w:tcPr>
          <w:p w14:paraId="49FD1DD4"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2.5%</w:t>
            </w:r>
          </w:p>
        </w:tc>
        <w:tc>
          <w:tcPr>
            <w:tcW w:w="1106" w:type="dxa"/>
          </w:tcPr>
          <w:p w14:paraId="0E6E3CFD"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2</w:t>
            </w:r>
          </w:p>
        </w:tc>
      </w:tr>
      <w:tr w:rsidR="00FE35A9" w:rsidRPr="0044118C" w14:paraId="1A13BE10" w14:textId="77777777" w:rsidTr="001239FC">
        <w:tc>
          <w:tcPr>
            <w:tcW w:w="1696" w:type="dxa"/>
          </w:tcPr>
          <w:p w14:paraId="7AB42BFD"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Graphics  &amp; Illustration</w:t>
            </w:r>
          </w:p>
        </w:tc>
        <w:tc>
          <w:tcPr>
            <w:tcW w:w="1418" w:type="dxa"/>
          </w:tcPr>
          <w:p w14:paraId="6D08740E"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7</w:t>
            </w:r>
          </w:p>
        </w:tc>
        <w:tc>
          <w:tcPr>
            <w:tcW w:w="992" w:type="dxa"/>
            <w:gridSpan w:val="2"/>
          </w:tcPr>
          <w:p w14:paraId="785933B2"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4</w:t>
            </w:r>
          </w:p>
        </w:tc>
        <w:tc>
          <w:tcPr>
            <w:tcW w:w="851" w:type="dxa"/>
          </w:tcPr>
          <w:p w14:paraId="11212230"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w:t>
            </w:r>
          </w:p>
        </w:tc>
        <w:tc>
          <w:tcPr>
            <w:tcW w:w="850" w:type="dxa"/>
          </w:tcPr>
          <w:p w14:paraId="3F293BE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2</w:t>
            </w:r>
          </w:p>
        </w:tc>
        <w:tc>
          <w:tcPr>
            <w:tcW w:w="1389" w:type="dxa"/>
          </w:tcPr>
          <w:p w14:paraId="2BEC6DD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4.3%</w:t>
            </w:r>
          </w:p>
        </w:tc>
        <w:tc>
          <w:tcPr>
            <w:tcW w:w="1106" w:type="dxa"/>
          </w:tcPr>
          <w:p w14:paraId="283F28FA"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4</w:t>
            </w:r>
          </w:p>
        </w:tc>
      </w:tr>
      <w:tr w:rsidR="00FE35A9" w:rsidRPr="0044118C" w14:paraId="63B20E8B" w14:textId="77777777" w:rsidTr="001239FC">
        <w:tc>
          <w:tcPr>
            <w:tcW w:w="1696" w:type="dxa"/>
          </w:tcPr>
          <w:p w14:paraId="026F2AF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Industrial Design - Product and Transport</w:t>
            </w:r>
          </w:p>
        </w:tc>
        <w:tc>
          <w:tcPr>
            <w:tcW w:w="1418" w:type="dxa"/>
          </w:tcPr>
          <w:p w14:paraId="7DD09760"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8</w:t>
            </w:r>
          </w:p>
        </w:tc>
        <w:tc>
          <w:tcPr>
            <w:tcW w:w="992" w:type="dxa"/>
            <w:gridSpan w:val="2"/>
          </w:tcPr>
          <w:p w14:paraId="464C46EC"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5</w:t>
            </w:r>
          </w:p>
        </w:tc>
        <w:tc>
          <w:tcPr>
            <w:tcW w:w="851" w:type="dxa"/>
          </w:tcPr>
          <w:p w14:paraId="77499EAD"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0</w:t>
            </w:r>
          </w:p>
        </w:tc>
        <w:tc>
          <w:tcPr>
            <w:tcW w:w="850" w:type="dxa"/>
          </w:tcPr>
          <w:p w14:paraId="5E5955F8"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w:t>
            </w:r>
          </w:p>
        </w:tc>
        <w:tc>
          <w:tcPr>
            <w:tcW w:w="1389" w:type="dxa"/>
          </w:tcPr>
          <w:p w14:paraId="24440681"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3.2%</w:t>
            </w:r>
          </w:p>
        </w:tc>
        <w:tc>
          <w:tcPr>
            <w:tcW w:w="1106" w:type="dxa"/>
          </w:tcPr>
          <w:p w14:paraId="60BA3C8E"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2</w:t>
            </w:r>
          </w:p>
        </w:tc>
      </w:tr>
      <w:tr w:rsidR="00FE35A9" w:rsidRPr="0044118C" w14:paraId="74E60507" w14:textId="77777777" w:rsidTr="001239FC">
        <w:trPr>
          <w:trHeight w:val="743"/>
        </w:trPr>
        <w:tc>
          <w:tcPr>
            <w:tcW w:w="1696" w:type="dxa"/>
          </w:tcPr>
          <w:p w14:paraId="23B74422" w14:textId="3B54A2AC" w:rsidR="00FE35A9" w:rsidRPr="0044118C" w:rsidRDefault="00FE35A9" w:rsidP="00604ACE">
            <w:pPr>
              <w:spacing w:line="360" w:lineRule="auto"/>
              <w:rPr>
                <w:rFonts w:ascii="Tahoma" w:hAnsi="Tahoma" w:cs="Tahoma"/>
                <w:sz w:val="20"/>
                <w:szCs w:val="20"/>
              </w:rPr>
            </w:pPr>
            <w:r w:rsidRPr="0044118C">
              <w:rPr>
                <w:rFonts w:ascii="Tahoma" w:hAnsi="Tahoma" w:cs="Tahoma"/>
                <w:sz w:val="20"/>
                <w:szCs w:val="20"/>
              </w:rPr>
              <w:t>Mechanical Engineering</w:t>
            </w:r>
          </w:p>
        </w:tc>
        <w:tc>
          <w:tcPr>
            <w:tcW w:w="1418" w:type="dxa"/>
          </w:tcPr>
          <w:p w14:paraId="48BD805A"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14</w:t>
            </w:r>
          </w:p>
        </w:tc>
        <w:tc>
          <w:tcPr>
            <w:tcW w:w="992" w:type="dxa"/>
            <w:gridSpan w:val="2"/>
          </w:tcPr>
          <w:p w14:paraId="28F1D8C9"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12</w:t>
            </w:r>
          </w:p>
        </w:tc>
        <w:tc>
          <w:tcPr>
            <w:tcW w:w="851" w:type="dxa"/>
          </w:tcPr>
          <w:p w14:paraId="6116538F"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0</w:t>
            </w:r>
          </w:p>
        </w:tc>
        <w:tc>
          <w:tcPr>
            <w:tcW w:w="850" w:type="dxa"/>
          </w:tcPr>
          <w:p w14:paraId="30908C29"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2</w:t>
            </w:r>
          </w:p>
        </w:tc>
        <w:tc>
          <w:tcPr>
            <w:tcW w:w="1389" w:type="dxa"/>
          </w:tcPr>
          <w:p w14:paraId="345DDA5C"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3.5%</w:t>
            </w:r>
          </w:p>
        </w:tc>
        <w:tc>
          <w:tcPr>
            <w:tcW w:w="1106" w:type="dxa"/>
          </w:tcPr>
          <w:p w14:paraId="0F8ED09E"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w:t>
            </w:r>
          </w:p>
        </w:tc>
      </w:tr>
      <w:tr w:rsidR="00FE35A9" w:rsidRPr="0044118C" w14:paraId="240F7ADD" w14:textId="77777777" w:rsidTr="001239FC">
        <w:tc>
          <w:tcPr>
            <w:tcW w:w="1696" w:type="dxa"/>
          </w:tcPr>
          <w:p w14:paraId="58515169" w14:textId="11F8789D" w:rsidR="00FE35A9" w:rsidRPr="0044118C" w:rsidRDefault="00FE35A9" w:rsidP="00604ACE">
            <w:pPr>
              <w:spacing w:line="360" w:lineRule="auto"/>
              <w:rPr>
                <w:rFonts w:ascii="Tahoma" w:hAnsi="Tahoma" w:cs="Tahoma"/>
                <w:sz w:val="20"/>
                <w:szCs w:val="20"/>
              </w:rPr>
            </w:pPr>
            <w:r w:rsidRPr="0044118C">
              <w:rPr>
                <w:rFonts w:ascii="Tahoma" w:hAnsi="Tahoma" w:cs="Tahoma"/>
                <w:sz w:val="20"/>
                <w:szCs w:val="20"/>
              </w:rPr>
              <w:t>Drama &amp; Theatre Arts</w:t>
            </w:r>
          </w:p>
        </w:tc>
        <w:tc>
          <w:tcPr>
            <w:tcW w:w="1418" w:type="dxa"/>
          </w:tcPr>
          <w:p w14:paraId="42AD1664"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12</w:t>
            </w:r>
          </w:p>
        </w:tc>
        <w:tc>
          <w:tcPr>
            <w:tcW w:w="992" w:type="dxa"/>
            <w:gridSpan w:val="2"/>
          </w:tcPr>
          <w:p w14:paraId="0540CDBA"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6</w:t>
            </w:r>
          </w:p>
        </w:tc>
        <w:tc>
          <w:tcPr>
            <w:tcW w:w="851" w:type="dxa"/>
          </w:tcPr>
          <w:p w14:paraId="2221126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2</w:t>
            </w:r>
          </w:p>
        </w:tc>
        <w:tc>
          <w:tcPr>
            <w:tcW w:w="850" w:type="dxa"/>
          </w:tcPr>
          <w:p w14:paraId="69CC4F09"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4</w:t>
            </w:r>
          </w:p>
        </w:tc>
        <w:tc>
          <w:tcPr>
            <w:tcW w:w="1389" w:type="dxa"/>
          </w:tcPr>
          <w:p w14:paraId="5E010700"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5.8%</w:t>
            </w:r>
          </w:p>
        </w:tc>
        <w:tc>
          <w:tcPr>
            <w:tcW w:w="1106" w:type="dxa"/>
          </w:tcPr>
          <w:p w14:paraId="68767911"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10</w:t>
            </w:r>
          </w:p>
        </w:tc>
      </w:tr>
      <w:tr w:rsidR="00FE35A9" w:rsidRPr="0044118C" w14:paraId="5E59555A" w14:textId="77777777" w:rsidTr="001239FC">
        <w:tc>
          <w:tcPr>
            <w:tcW w:w="1696" w:type="dxa"/>
          </w:tcPr>
          <w:p w14:paraId="00E9232A"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English &amp; Creative Writing</w:t>
            </w:r>
          </w:p>
        </w:tc>
        <w:tc>
          <w:tcPr>
            <w:tcW w:w="1418" w:type="dxa"/>
          </w:tcPr>
          <w:p w14:paraId="0AF6C28D"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8</w:t>
            </w:r>
          </w:p>
        </w:tc>
        <w:tc>
          <w:tcPr>
            <w:tcW w:w="992" w:type="dxa"/>
            <w:gridSpan w:val="2"/>
          </w:tcPr>
          <w:p w14:paraId="379248D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w:t>
            </w:r>
          </w:p>
        </w:tc>
        <w:tc>
          <w:tcPr>
            <w:tcW w:w="851" w:type="dxa"/>
            <w:shd w:val="clear" w:color="auto" w:fill="D9D9D9" w:themeFill="background1" w:themeFillShade="D9"/>
          </w:tcPr>
          <w:p w14:paraId="0201D04B"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5</w:t>
            </w:r>
          </w:p>
        </w:tc>
        <w:tc>
          <w:tcPr>
            <w:tcW w:w="850" w:type="dxa"/>
          </w:tcPr>
          <w:p w14:paraId="1AA0770F"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0</w:t>
            </w:r>
          </w:p>
        </w:tc>
        <w:tc>
          <w:tcPr>
            <w:tcW w:w="1389" w:type="dxa"/>
            <w:shd w:val="clear" w:color="auto" w:fill="D9D9D9" w:themeFill="background1" w:themeFillShade="D9"/>
          </w:tcPr>
          <w:p w14:paraId="19043B91"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-3.0%</w:t>
            </w:r>
          </w:p>
        </w:tc>
        <w:tc>
          <w:tcPr>
            <w:tcW w:w="1106" w:type="dxa"/>
          </w:tcPr>
          <w:p w14:paraId="526DEE3C" w14:textId="77777777" w:rsidR="00FE35A9" w:rsidRPr="0044118C" w:rsidRDefault="00FE35A9" w:rsidP="00A81245">
            <w:pPr>
              <w:spacing w:line="360" w:lineRule="auto"/>
              <w:rPr>
                <w:rFonts w:ascii="Tahoma" w:hAnsi="Tahoma" w:cs="Tahoma"/>
                <w:sz w:val="20"/>
                <w:szCs w:val="20"/>
              </w:rPr>
            </w:pPr>
            <w:r w:rsidRPr="0044118C">
              <w:rPr>
                <w:rFonts w:ascii="Tahoma" w:hAnsi="Tahoma" w:cs="Tahoma"/>
                <w:sz w:val="20"/>
                <w:szCs w:val="20"/>
              </w:rPr>
              <w:t>-3</w:t>
            </w:r>
          </w:p>
        </w:tc>
      </w:tr>
    </w:tbl>
    <w:p w14:paraId="242C4A91" w14:textId="77777777" w:rsidR="00FE35A9" w:rsidRPr="0044118C" w:rsidRDefault="00FE35A9" w:rsidP="00FE35A9">
      <w:pPr>
        <w:spacing w:line="360" w:lineRule="auto"/>
        <w:jc w:val="right"/>
        <w:rPr>
          <w:rFonts w:ascii="Tahoma" w:hAnsi="Tahoma" w:cs="Tahoma"/>
          <w:sz w:val="16"/>
          <w:szCs w:val="16"/>
        </w:rPr>
      </w:pPr>
      <w:r w:rsidRPr="0044118C">
        <w:rPr>
          <w:rFonts w:ascii="Tahoma" w:hAnsi="Tahoma" w:cs="Tahoma"/>
          <w:sz w:val="16"/>
          <w:szCs w:val="16"/>
        </w:rPr>
        <w:t>Note: (Positive outcomes, at risk and negative as defined in Figure 1)</w:t>
      </w:r>
    </w:p>
    <w:p w14:paraId="67A05CAB"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0E0FECC8" w14:textId="77777777" w:rsidR="00FE35A9" w:rsidRPr="0044118C" w:rsidRDefault="00FE35A9" w:rsidP="00FE35A9">
      <w:pPr>
        <w:spacing w:line="360" w:lineRule="auto"/>
        <w:rPr>
          <w:rFonts w:ascii="Tahoma" w:eastAsia="Times New Roman" w:hAnsi="Tahoma" w:cs="Tahoma"/>
          <w:b/>
          <w:color w:val="000000"/>
          <w:sz w:val="24"/>
          <w:szCs w:val="24"/>
          <w:lang w:eastAsia="en-GB"/>
        </w:rPr>
      </w:pPr>
      <w:r w:rsidRPr="0044118C">
        <w:rPr>
          <w:rFonts w:ascii="Tahoma" w:eastAsia="Times New Roman" w:hAnsi="Tahoma" w:cs="Tahoma"/>
          <w:b/>
          <w:color w:val="000000"/>
          <w:sz w:val="24"/>
          <w:szCs w:val="24"/>
          <w:lang w:eastAsia="en-GB"/>
        </w:rPr>
        <w:t>Table 3. Fitness to Study outcomes mapped to intersections from APP</w:t>
      </w:r>
    </w:p>
    <w:tbl>
      <w:tblPr>
        <w:tblW w:w="9016" w:type="dxa"/>
        <w:jc w:val="center"/>
        <w:tblLook w:val="04A0" w:firstRow="1" w:lastRow="0" w:firstColumn="1" w:lastColumn="0" w:noHBand="0" w:noVBand="1"/>
      </w:tblPr>
      <w:tblGrid>
        <w:gridCol w:w="350"/>
        <w:gridCol w:w="2152"/>
        <w:gridCol w:w="1258"/>
        <w:gridCol w:w="888"/>
        <w:gridCol w:w="888"/>
        <w:gridCol w:w="1246"/>
        <w:gridCol w:w="888"/>
        <w:gridCol w:w="1346"/>
      </w:tblGrid>
      <w:tr w:rsidR="00FE35A9" w:rsidRPr="0044118C" w14:paraId="11B65F35" w14:textId="77777777" w:rsidTr="00A81245">
        <w:trPr>
          <w:trHeight w:val="900"/>
          <w:jc w:val="center"/>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13FB7446" w14:textId="77777777" w:rsidR="00FE35A9" w:rsidRPr="0044118C" w:rsidRDefault="00FE35A9" w:rsidP="00A81245">
            <w:pPr>
              <w:spacing w:line="360" w:lineRule="auto"/>
              <w:rPr>
                <w:rFonts w:ascii="Tahoma" w:eastAsia="Times New Roman" w:hAnsi="Tahoma" w:cs="Tahoma"/>
                <w:b/>
                <w:color w:val="000000"/>
                <w:sz w:val="20"/>
                <w:szCs w:val="20"/>
                <w:lang w:eastAsia="en-GB"/>
              </w:rPr>
            </w:pP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85D13" w14:textId="77777777" w:rsidR="00FE35A9" w:rsidRPr="0044118C" w:rsidRDefault="00FE35A9" w:rsidP="00A81245">
            <w:pPr>
              <w:spacing w:line="360" w:lineRule="auto"/>
              <w:rPr>
                <w:rFonts w:ascii="Tahoma" w:eastAsia="Times New Roman" w:hAnsi="Tahoma" w:cs="Tahoma"/>
                <w:b/>
                <w:color w:val="000000"/>
                <w:sz w:val="20"/>
                <w:szCs w:val="20"/>
                <w:lang w:eastAsia="en-GB"/>
              </w:rPr>
            </w:pPr>
          </w:p>
        </w:tc>
        <w:tc>
          <w:tcPr>
            <w:tcW w:w="1264" w:type="dxa"/>
            <w:tcBorders>
              <w:top w:val="single" w:sz="4" w:space="0" w:color="auto"/>
              <w:left w:val="nil"/>
              <w:bottom w:val="single" w:sz="4" w:space="0" w:color="auto"/>
              <w:right w:val="single" w:sz="4" w:space="0" w:color="auto"/>
            </w:tcBorders>
            <w:shd w:val="clear" w:color="auto" w:fill="auto"/>
            <w:vAlign w:val="center"/>
            <w:hideMark/>
          </w:tcPr>
          <w:p w14:paraId="46076BDB"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Number of students</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25C1951D"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0E824A3C"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Uni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766AB53"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Positive%</w:t>
            </w:r>
          </w:p>
          <w:p w14:paraId="78C76C96"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n = 53</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159DA3BE"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At Risk</w:t>
            </w:r>
          </w:p>
          <w:p w14:paraId="5B9F5D34"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w:t>
            </w:r>
          </w:p>
          <w:p w14:paraId="0BC7820A"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n = 27</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7FD46D8E"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Negative%</w:t>
            </w:r>
          </w:p>
          <w:p w14:paraId="137BDC12"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n = 24</w:t>
            </w:r>
          </w:p>
        </w:tc>
      </w:tr>
      <w:tr w:rsidR="00FE35A9" w:rsidRPr="0044118C" w14:paraId="291F544E"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1C6F1E5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A</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6DECB2C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Disabled</w:t>
            </w:r>
          </w:p>
        </w:tc>
        <w:tc>
          <w:tcPr>
            <w:tcW w:w="1264" w:type="dxa"/>
            <w:tcBorders>
              <w:top w:val="nil"/>
              <w:left w:val="nil"/>
              <w:bottom w:val="single" w:sz="4" w:space="0" w:color="auto"/>
              <w:right w:val="single" w:sz="4" w:space="0" w:color="auto"/>
            </w:tcBorders>
            <w:shd w:val="clear" w:color="auto" w:fill="auto"/>
            <w:noWrap/>
            <w:vAlign w:val="center"/>
            <w:hideMark/>
          </w:tcPr>
          <w:p w14:paraId="2C93195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27</w:t>
            </w:r>
          </w:p>
        </w:tc>
        <w:tc>
          <w:tcPr>
            <w:tcW w:w="892" w:type="dxa"/>
            <w:tcBorders>
              <w:top w:val="nil"/>
              <w:left w:val="nil"/>
              <w:bottom w:val="single" w:sz="4" w:space="0" w:color="auto"/>
              <w:right w:val="single" w:sz="4" w:space="0" w:color="auto"/>
            </w:tcBorders>
            <w:shd w:val="clear" w:color="auto" w:fill="auto"/>
            <w:noWrap/>
            <w:vAlign w:val="center"/>
            <w:hideMark/>
          </w:tcPr>
          <w:p w14:paraId="2240F0E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25.96</w:t>
            </w:r>
          </w:p>
        </w:tc>
        <w:tc>
          <w:tcPr>
            <w:tcW w:w="892" w:type="dxa"/>
            <w:tcBorders>
              <w:top w:val="nil"/>
              <w:left w:val="nil"/>
              <w:bottom w:val="single" w:sz="4" w:space="0" w:color="auto"/>
              <w:right w:val="single" w:sz="4" w:space="0" w:color="auto"/>
            </w:tcBorders>
            <w:shd w:val="clear" w:color="auto" w:fill="auto"/>
            <w:noWrap/>
            <w:vAlign w:val="center"/>
            <w:hideMark/>
          </w:tcPr>
          <w:p w14:paraId="3066D23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16</w:t>
            </w:r>
          </w:p>
        </w:tc>
        <w:tc>
          <w:tcPr>
            <w:tcW w:w="1220" w:type="dxa"/>
            <w:tcBorders>
              <w:top w:val="nil"/>
              <w:left w:val="nil"/>
              <w:bottom w:val="single" w:sz="4" w:space="0" w:color="auto"/>
              <w:right w:val="single" w:sz="4" w:space="0" w:color="auto"/>
            </w:tcBorders>
            <w:shd w:val="clear" w:color="auto" w:fill="auto"/>
            <w:noWrap/>
            <w:vAlign w:val="center"/>
          </w:tcPr>
          <w:p w14:paraId="739C65D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24.53</w:t>
            </w:r>
          </w:p>
        </w:tc>
        <w:tc>
          <w:tcPr>
            <w:tcW w:w="892" w:type="dxa"/>
            <w:tcBorders>
              <w:top w:val="nil"/>
              <w:left w:val="nil"/>
              <w:bottom w:val="single" w:sz="4" w:space="0" w:color="auto"/>
              <w:right w:val="single" w:sz="4" w:space="0" w:color="auto"/>
            </w:tcBorders>
            <w:shd w:val="clear" w:color="auto" w:fill="auto"/>
            <w:noWrap/>
            <w:vAlign w:val="center"/>
          </w:tcPr>
          <w:p w14:paraId="51FB063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33.33</w:t>
            </w:r>
          </w:p>
        </w:tc>
        <w:tc>
          <w:tcPr>
            <w:tcW w:w="1309" w:type="dxa"/>
            <w:tcBorders>
              <w:top w:val="nil"/>
              <w:left w:val="nil"/>
              <w:bottom w:val="single" w:sz="4" w:space="0" w:color="auto"/>
              <w:right w:val="single" w:sz="4" w:space="0" w:color="auto"/>
            </w:tcBorders>
            <w:shd w:val="clear" w:color="auto" w:fill="auto"/>
            <w:noWrap/>
            <w:vAlign w:val="center"/>
          </w:tcPr>
          <w:p w14:paraId="2629B55C"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16.67</w:t>
            </w:r>
          </w:p>
        </w:tc>
      </w:tr>
      <w:tr w:rsidR="00FE35A9" w:rsidRPr="0044118C" w14:paraId="7C39F020"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31F1EB8F"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B</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28E6A1C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BAME</w:t>
            </w:r>
          </w:p>
        </w:tc>
        <w:tc>
          <w:tcPr>
            <w:tcW w:w="1264" w:type="dxa"/>
            <w:tcBorders>
              <w:top w:val="nil"/>
              <w:left w:val="nil"/>
              <w:bottom w:val="single" w:sz="4" w:space="0" w:color="auto"/>
              <w:right w:val="single" w:sz="4" w:space="0" w:color="auto"/>
            </w:tcBorders>
            <w:shd w:val="clear" w:color="auto" w:fill="auto"/>
            <w:noWrap/>
            <w:vAlign w:val="center"/>
            <w:hideMark/>
          </w:tcPr>
          <w:p w14:paraId="32D8CDB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39</w:t>
            </w:r>
          </w:p>
        </w:tc>
        <w:tc>
          <w:tcPr>
            <w:tcW w:w="892" w:type="dxa"/>
            <w:tcBorders>
              <w:top w:val="nil"/>
              <w:left w:val="nil"/>
              <w:bottom w:val="single" w:sz="4" w:space="0" w:color="auto"/>
              <w:right w:val="single" w:sz="4" w:space="0" w:color="auto"/>
            </w:tcBorders>
            <w:shd w:val="clear" w:color="auto" w:fill="auto"/>
            <w:noWrap/>
            <w:vAlign w:val="center"/>
            <w:hideMark/>
          </w:tcPr>
          <w:p w14:paraId="4258ECC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37.50</w:t>
            </w:r>
          </w:p>
        </w:tc>
        <w:tc>
          <w:tcPr>
            <w:tcW w:w="892" w:type="dxa"/>
            <w:tcBorders>
              <w:top w:val="nil"/>
              <w:left w:val="nil"/>
              <w:bottom w:val="single" w:sz="4" w:space="0" w:color="auto"/>
              <w:right w:val="single" w:sz="4" w:space="0" w:color="auto"/>
            </w:tcBorders>
            <w:shd w:val="clear" w:color="auto" w:fill="auto"/>
            <w:noWrap/>
            <w:vAlign w:val="center"/>
            <w:hideMark/>
          </w:tcPr>
          <w:p w14:paraId="68814FF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17</w:t>
            </w:r>
          </w:p>
        </w:tc>
        <w:tc>
          <w:tcPr>
            <w:tcW w:w="1220" w:type="dxa"/>
            <w:tcBorders>
              <w:top w:val="nil"/>
              <w:left w:val="nil"/>
              <w:bottom w:val="single" w:sz="4" w:space="0" w:color="auto"/>
              <w:right w:val="single" w:sz="4" w:space="0" w:color="auto"/>
            </w:tcBorders>
            <w:shd w:val="clear" w:color="auto" w:fill="auto"/>
            <w:noWrap/>
            <w:vAlign w:val="center"/>
          </w:tcPr>
          <w:p w14:paraId="43E561E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43.40</w:t>
            </w:r>
          </w:p>
        </w:tc>
        <w:tc>
          <w:tcPr>
            <w:tcW w:w="892" w:type="dxa"/>
            <w:tcBorders>
              <w:top w:val="nil"/>
              <w:left w:val="nil"/>
              <w:bottom w:val="single" w:sz="4" w:space="0" w:color="auto"/>
              <w:right w:val="single" w:sz="4" w:space="0" w:color="auto"/>
            </w:tcBorders>
            <w:shd w:val="clear" w:color="auto" w:fill="auto"/>
            <w:noWrap/>
            <w:vAlign w:val="center"/>
          </w:tcPr>
          <w:p w14:paraId="51E9334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33.33</w:t>
            </w:r>
          </w:p>
        </w:tc>
        <w:tc>
          <w:tcPr>
            <w:tcW w:w="1309" w:type="dxa"/>
            <w:tcBorders>
              <w:top w:val="nil"/>
              <w:left w:val="nil"/>
              <w:bottom w:val="single" w:sz="4" w:space="0" w:color="auto"/>
              <w:right w:val="single" w:sz="4" w:space="0" w:color="auto"/>
            </w:tcBorders>
            <w:shd w:val="clear" w:color="auto" w:fill="auto"/>
            <w:noWrap/>
            <w:vAlign w:val="center"/>
          </w:tcPr>
          <w:p w14:paraId="7A61279F"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29.17</w:t>
            </w:r>
          </w:p>
        </w:tc>
      </w:tr>
      <w:tr w:rsidR="00FE35A9" w:rsidRPr="0044118C" w14:paraId="1A1BE7E0"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55BDF51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C</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7370116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Male</w:t>
            </w:r>
          </w:p>
        </w:tc>
        <w:tc>
          <w:tcPr>
            <w:tcW w:w="1264" w:type="dxa"/>
            <w:tcBorders>
              <w:top w:val="nil"/>
              <w:left w:val="nil"/>
              <w:bottom w:val="single" w:sz="4" w:space="0" w:color="auto"/>
              <w:right w:val="single" w:sz="4" w:space="0" w:color="auto"/>
            </w:tcBorders>
            <w:shd w:val="clear" w:color="auto" w:fill="auto"/>
            <w:noWrap/>
            <w:vAlign w:val="center"/>
            <w:hideMark/>
          </w:tcPr>
          <w:p w14:paraId="2D58700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74</w:t>
            </w:r>
          </w:p>
        </w:tc>
        <w:tc>
          <w:tcPr>
            <w:tcW w:w="892" w:type="dxa"/>
            <w:tcBorders>
              <w:top w:val="nil"/>
              <w:left w:val="nil"/>
              <w:bottom w:val="single" w:sz="4" w:space="0" w:color="auto"/>
              <w:right w:val="single" w:sz="4" w:space="0" w:color="auto"/>
            </w:tcBorders>
            <w:shd w:val="clear" w:color="auto" w:fill="auto"/>
            <w:noWrap/>
            <w:vAlign w:val="center"/>
            <w:hideMark/>
          </w:tcPr>
          <w:p w14:paraId="34CEFE6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71.19</w:t>
            </w:r>
          </w:p>
        </w:tc>
        <w:tc>
          <w:tcPr>
            <w:tcW w:w="892" w:type="dxa"/>
            <w:tcBorders>
              <w:top w:val="nil"/>
              <w:left w:val="nil"/>
              <w:bottom w:val="single" w:sz="4" w:space="0" w:color="auto"/>
              <w:right w:val="single" w:sz="4" w:space="0" w:color="auto"/>
            </w:tcBorders>
            <w:shd w:val="clear" w:color="auto" w:fill="auto"/>
            <w:noWrap/>
            <w:vAlign w:val="center"/>
            <w:hideMark/>
          </w:tcPr>
          <w:p w14:paraId="0401CBC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w:t>
            </w:r>
          </w:p>
        </w:tc>
        <w:tc>
          <w:tcPr>
            <w:tcW w:w="1220" w:type="dxa"/>
            <w:tcBorders>
              <w:top w:val="nil"/>
              <w:left w:val="nil"/>
              <w:bottom w:val="single" w:sz="4" w:space="0" w:color="auto"/>
              <w:right w:val="single" w:sz="4" w:space="0" w:color="auto"/>
            </w:tcBorders>
            <w:shd w:val="clear" w:color="auto" w:fill="auto"/>
            <w:noWrap/>
            <w:vAlign w:val="center"/>
          </w:tcPr>
          <w:p w14:paraId="53F31A0F"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67.92</w:t>
            </w:r>
          </w:p>
        </w:tc>
        <w:tc>
          <w:tcPr>
            <w:tcW w:w="892" w:type="dxa"/>
            <w:tcBorders>
              <w:top w:val="nil"/>
              <w:left w:val="nil"/>
              <w:bottom w:val="single" w:sz="4" w:space="0" w:color="auto"/>
              <w:right w:val="single" w:sz="4" w:space="0" w:color="auto"/>
            </w:tcBorders>
            <w:shd w:val="clear" w:color="auto" w:fill="auto"/>
            <w:noWrap/>
            <w:vAlign w:val="center"/>
          </w:tcPr>
          <w:p w14:paraId="303B94F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70.37</w:t>
            </w:r>
          </w:p>
        </w:tc>
        <w:tc>
          <w:tcPr>
            <w:tcW w:w="1309" w:type="dxa"/>
            <w:tcBorders>
              <w:top w:val="nil"/>
              <w:left w:val="nil"/>
              <w:bottom w:val="single" w:sz="4" w:space="0" w:color="auto"/>
              <w:right w:val="single" w:sz="4" w:space="0" w:color="auto"/>
            </w:tcBorders>
            <w:shd w:val="clear" w:color="auto" w:fill="auto"/>
            <w:noWrap/>
            <w:vAlign w:val="center"/>
          </w:tcPr>
          <w:p w14:paraId="78CE36D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79.17</w:t>
            </w:r>
          </w:p>
        </w:tc>
      </w:tr>
      <w:tr w:rsidR="00FE35A9" w:rsidRPr="0044118C" w14:paraId="7C8BD891"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3B9B2E5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D</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4B4E127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Mature</w:t>
            </w:r>
          </w:p>
        </w:tc>
        <w:tc>
          <w:tcPr>
            <w:tcW w:w="1264" w:type="dxa"/>
            <w:tcBorders>
              <w:top w:val="nil"/>
              <w:left w:val="nil"/>
              <w:bottom w:val="single" w:sz="4" w:space="0" w:color="auto"/>
              <w:right w:val="single" w:sz="4" w:space="0" w:color="auto"/>
            </w:tcBorders>
            <w:shd w:val="clear" w:color="auto" w:fill="auto"/>
            <w:noWrap/>
            <w:vAlign w:val="center"/>
            <w:hideMark/>
          </w:tcPr>
          <w:p w14:paraId="0D26CB3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25</w:t>
            </w:r>
          </w:p>
        </w:tc>
        <w:tc>
          <w:tcPr>
            <w:tcW w:w="892" w:type="dxa"/>
            <w:tcBorders>
              <w:top w:val="nil"/>
              <w:left w:val="nil"/>
              <w:bottom w:val="single" w:sz="4" w:space="0" w:color="auto"/>
              <w:right w:val="single" w:sz="4" w:space="0" w:color="auto"/>
            </w:tcBorders>
            <w:shd w:val="clear" w:color="auto" w:fill="auto"/>
            <w:noWrap/>
            <w:vAlign w:val="center"/>
            <w:hideMark/>
          </w:tcPr>
          <w:p w14:paraId="244F36C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24.04</w:t>
            </w:r>
          </w:p>
        </w:tc>
        <w:tc>
          <w:tcPr>
            <w:tcW w:w="892" w:type="dxa"/>
            <w:tcBorders>
              <w:top w:val="nil"/>
              <w:left w:val="nil"/>
              <w:bottom w:val="single" w:sz="4" w:space="0" w:color="auto"/>
              <w:right w:val="single" w:sz="4" w:space="0" w:color="auto"/>
            </w:tcBorders>
            <w:shd w:val="clear" w:color="auto" w:fill="auto"/>
            <w:noWrap/>
            <w:vAlign w:val="center"/>
            <w:hideMark/>
          </w:tcPr>
          <w:p w14:paraId="0DF6424C"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w:t>
            </w:r>
          </w:p>
        </w:tc>
        <w:tc>
          <w:tcPr>
            <w:tcW w:w="1220" w:type="dxa"/>
            <w:tcBorders>
              <w:top w:val="nil"/>
              <w:left w:val="nil"/>
              <w:bottom w:val="single" w:sz="4" w:space="0" w:color="auto"/>
              <w:right w:val="single" w:sz="4" w:space="0" w:color="auto"/>
            </w:tcBorders>
            <w:shd w:val="clear" w:color="auto" w:fill="auto"/>
            <w:noWrap/>
            <w:vAlign w:val="center"/>
          </w:tcPr>
          <w:p w14:paraId="3B5A1FB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18.87</w:t>
            </w:r>
          </w:p>
        </w:tc>
        <w:tc>
          <w:tcPr>
            <w:tcW w:w="892" w:type="dxa"/>
            <w:tcBorders>
              <w:top w:val="nil"/>
              <w:left w:val="nil"/>
              <w:bottom w:val="single" w:sz="4" w:space="0" w:color="auto"/>
              <w:right w:val="single" w:sz="4" w:space="0" w:color="auto"/>
            </w:tcBorders>
            <w:shd w:val="clear" w:color="auto" w:fill="auto"/>
            <w:noWrap/>
            <w:vAlign w:val="center"/>
          </w:tcPr>
          <w:p w14:paraId="0B7ED17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29.63</w:t>
            </w:r>
          </w:p>
        </w:tc>
        <w:tc>
          <w:tcPr>
            <w:tcW w:w="1309" w:type="dxa"/>
            <w:tcBorders>
              <w:top w:val="nil"/>
              <w:left w:val="nil"/>
              <w:bottom w:val="single" w:sz="4" w:space="0" w:color="auto"/>
              <w:right w:val="single" w:sz="4" w:space="0" w:color="auto"/>
            </w:tcBorders>
            <w:shd w:val="clear" w:color="auto" w:fill="auto"/>
            <w:noWrap/>
            <w:vAlign w:val="center"/>
          </w:tcPr>
          <w:p w14:paraId="1B35DDD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29.17</w:t>
            </w:r>
          </w:p>
        </w:tc>
      </w:tr>
      <w:tr w:rsidR="00FE35A9" w:rsidRPr="0044118C" w14:paraId="1F03454F"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1C00289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E</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4D22E54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IMD Quintile 1&amp;2</w:t>
            </w:r>
          </w:p>
        </w:tc>
        <w:tc>
          <w:tcPr>
            <w:tcW w:w="1264" w:type="dxa"/>
            <w:tcBorders>
              <w:top w:val="nil"/>
              <w:left w:val="nil"/>
              <w:bottom w:val="single" w:sz="4" w:space="0" w:color="auto"/>
              <w:right w:val="single" w:sz="4" w:space="0" w:color="auto"/>
            </w:tcBorders>
            <w:shd w:val="clear" w:color="auto" w:fill="auto"/>
            <w:noWrap/>
            <w:vAlign w:val="center"/>
            <w:hideMark/>
          </w:tcPr>
          <w:p w14:paraId="4EC2B14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41</w:t>
            </w:r>
          </w:p>
        </w:tc>
        <w:tc>
          <w:tcPr>
            <w:tcW w:w="892" w:type="dxa"/>
            <w:tcBorders>
              <w:top w:val="nil"/>
              <w:left w:val="nil"/>
              <w:bottom w:val="single" w:sz="4" w:space="0" w:color="auto"/>
              <w:right w:val="single" w:sz="4" w:space="0" w:color="auto"/>
            </w:tcBorders>
            <w:shd w:val="clear" w:color="auto" w:fill="auto"/>
            <w:noWrap/>
            <w:vAlign w:val="center"/>
            <w:hideMark/>
          </w:tcPr>
          <w:p w14:paraId="1E16EA0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39.42</w:t>
            </w:r>
          </w:p>
        </w:tc>
        <w:tc>
          <w:tcPr>
            <w:tcW w:w="892" w:type="dxa"/>
            <w:tcBorders>
              <w:top w:val="nil"/>
              <w:left w:val="nil"/>
              <w:bottom w:val="single" w:sz="4" w:space="0" w:color="auto"/>
              <w:right w:val="single" w:sz="4" w:space="0" w:color="auto"/>
            </w:tcBorders>
            <w:shd w:val="clear" w:color="auto" w:fill="auto"/>
            <w:noWrap/>
            <w:vAlign w:val="center"/>
            <w:hideMark/>
          </w:tcPr>
          <w:p w14:paraId="701BBE3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44.8</w:t>
            </w:r>
          </w:p>
        </w:tc>
        <w:tc>
          <w:tcPr>
            <w:tcW w:w="1220" w:type="dxa"/>
            <w:tcBorders>
              <w:top w:val="nil"/>
              <w:left w:val="nil"/>
              <w:bottom w:val="single" w:sz="4" w:space="0" w:color="auto"/>
              <w:right w:val="single" w:sz="4" w:space="0" w:color="auto"/>
            </w:tcBorders>
            <w:shd w:val="clear" w:color="auto" w:fill="auto"/>
            <w:noWrap/>
            <w:vAlign w:val="center"/>
          </w:tcPr>
          <w:p w14:paraId="735E2BDC"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41.51</w:t>
            </w:r>
          </w:p>
        </w:tc>
        <w:tc>
          <w:tcPr>
            <w:tcW w:w="892" w:type="dxa"/>
            <w:tcBorders>
              <w:top w:val="nil"/>
              <w:left w:val="nil"/>
              <w:bottom w:val="single" w:sz="4" w:space="0" w:color="auto"/>
              <w:right w:val="single" w:sz="4" w:space="0" w:color="auto"/>
            </w:tcBorders>
            <w:shd w:val="clear" w:color="auto" w:fill="auto"/>
            <w:noWrap/>
            <w:vAlign w:val="center"/>
          </w:tcPr>
          <w:p w14:paraId="7EC580F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37.04</w:t>
            </w:r>
          </w:p>
        </w:tc>
        <w:tc>
          <w:tcPr>
            <w:tcW w:w="1309" w:type="dxa"/>
            <w:tcBorders>
              <w:top w:val="nil"/>
              <w:left w:val="nil"/>
              <w:bottom w:val="single" w:sz="4" w:space="0" w:color="auto"/>
              <w:right w:val="single" w:sz="4" w:space="0" w:color="auto"/>
            </w:tcBorders>
            <w:shd w:val="clear" w:color="auto" w:fill="auto"/>
            <w:noWrap/>
            <w:vAlign w:val="center"/>
          </w:tcPr>
          <w:p w14:paraId="79F09EA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37.50</w:t>
            </w:r>
          </w:p>
        </w:tc>
      </w:tr>
      <w:tr w:rsidR="00FE35A9" w:rsidRPr="0044118C" w14:paraId="7A4B1057"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5B86BD0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F</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5B0F249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Qualifications (BTEC,level2, mature)</w:t>
            </w:r>
          </w:p>
        </w:tc>
        <w:tc>
          <w:tcPr>
            <w:tcW w:w="1264" w:type="dxa"/>
            <w:tcBorders>
              <w:top w:val="nil"/>
              <w:left w:val="nil"/>
              <w:bottom w:val="single" w:sz="4" w:space="0" w:color="auto"/>
              <w:right w:val="single" w:sz="4" w:space="0" w:color="auto"/>
            </w:tcBorders>
            <w:shd w:val="clear" w:color="auto" w:fill="auto"/>
            <w:noWrap/>
            <w:vAlign w:val="center"/>
            <w:hideMark/>
          </w:tcPr>
          <w:p w14:paraId="6EFA92C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73</w:t>
            </w:r>
          </w:p>
        </w:tc>
        <w:tc>
          <w:tcPr>
            <w:tcW w:w="892" w:type="dxa"/>
            <w:tcBorders>
              <w:top w:val="nil"/>
              <w:left w:val="nil"/>
              <w:bottom w:val="single" w:sz="4" w:space="0" w:color="auto"/>
              <w:right w:val="single" w:sz="4" w:space="0" w:color="auto"/>
            </w:tcBorders>
            <w:shd w:val="clear" w:color="auto" w:fill="auto"/>
            <w:noWrap/>
            <w:vAlign w:val="center"/>
            <w:hideMark/>
          </w:tcPr>
          <w:p w14:paraId="1DDE072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70.19</w:t>
            </w:r>
          </w:p>
        </w:tc>
        <w:tc>
          <w:tcPr>
            <w:tcW w:w="892" w:type="dxa"/>
            <w:tcBorders>
              <w:top w:val="nil"/>
              <w:left w:val="nil"/>
              <w:bottom w:val="single" w:sz="4" w:space="0" w:color="auto"/>
              <w:right w:val="single" w:sz="4" w:space="0" w:color="auto"/>
            </w:tcBorders>
            <w:shd w:val="clear" w:color="auto" w:fill="auto"/>
            <w:noWrap/>
            <w:vAlign w:val="center"/>
            <w:hideMark/>
          </w:tcPr>
          <w:p w14:paraId="69C45C3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w:t>
            </w:r>
          </w:p>
        </w:tc>
        <w:tc>
          <w:tcPr>
            <w:tcW w:w="1220" w:type="dxa"/>
            <w:tcBorders>
              <w:top w:val="nil"/>
              <w:left w:val="nil"/>
              <w:bottom w:val="single" w:sz="4" w:space="0" w:color="auto"/>
              <w:right w:val="single" w:sz="4" w:space="0" w:color="auto"/>
            </w:tcBorders>
            <w:shd w:val="clear" w:color="auto" w:fill="auto"/>
            <w:noWrap/>
            <w:vAlign w:val="center"/>
          </w:tcPr>
          <w:p w14:paraId="2D12CB6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71.70</w:t>
            </w:r>
          </w:p>
        </w:tc>
        <w:tc>
          <w:tcPr>
            <w:tcW w:w="892" w:type="dxa"/>
            <w:tcBorders>
              <w:top w:val="nil"/>
              <w:left w:val="nil"/>
              <w:bottom w:val="single" w:sz="4" w:space="0" w:color="auto"/>
              <w:right w:val="single" w:sz="4" w:space="0" w:color="auto"/>
            </w:tcBorders>
            <w:shd w:val="clear" w:color="auto" w:fill="auto"/>
            <w:noWrap/>
            <w:vAlign w:val="center"/>
          </w:tcPr>
          <w:p w14:paraId="4511057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66.67</w:t>
            </w:r>
          </w:p>
        </w:tc>
        <w:tc>
          <w:tcPr>
            <w:tcW w:w="1309" w:type="dxa"/>
            <w:tcBorders>
              <w:top w:val="nil"/>
              <w:left w:val="nil"/>
              <w:bottom w:val="single" w:sz="4" w:space="0" w:color="auto"/>
              <w:right w:val="single" w:sz="4" w:space="0" w:color="auto"/>
            </w:tcBorders>
            <w:shd w:val="clear" w:color="auto" w:fill="auto"/>
            <w:noWrap/>
            <w:vAlign w:val="center"/>
          </w:tcPr>
          <w:p w14:paraId="390B1C5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70.83</w:t>
            </w:r>
          </w:p>
        </w:tc>
      </w:tr>
      <w:tr w:rsidR="00FE35A9" w:rsidRPr="0044118C" w14:paraId="5BC37EE4"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2CBED88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G</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3085CE3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Progression unsuccessful</w:t>
            </w:r>
          </w:p>
        </w:tc>
        <w:tc>
          <w:tcPr>
            <w:tcW w:w="1264" w:type="dxa"/>
            <w:tcBorders>
              <w:top w:val="nil"/>
              <w:left w:val="nil"/>
              <w:bottom w:val="single" w:sz="4" w:space="0" w:color="auto"/>
              <w:right w:val="single" w:sz="4" w:space="0" w:color="auto"/>
            </w:tcBorders>
            <w:shd w:val="clear" w:color="auto" w:fill="auto"/>
            <w:noWrap/>
            <w:vAlign w:val="center"/>
            <w:hideMark/>
          </w:tcPr>
          <w:p w14:paraId="18451B0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24</w:t>
            </w:r>
          </w:p>
        </w:tc>
        <w:tc>
          <w:tcPr>
            <w:tcW w:w="892" w:type="dxa"/>
            <w:tcBorders>
              <w:top w:val="nil"/>
              <w:left w:val="nil"/>
              <w:bottom w:val="single" w:sz="4" w:space="0" w:color="auto"/>
              <w:right w:val="single" w:sz="4" w:space="0" w:color="auto"/>
            </w:tcBorders>
            <w:shd w:val="clear" w:color="auto" w:fill="auto"/>
            <w:noWrap/>
            <w:vAlign w:val="center"/>
            <w:hideMark/>
          </w:tcPr>
          <w:p w14:paraId="2E29B4F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23.08</w:t>
            </w:r>
          </w:p>
        </w:tc>
        <w:tc>
          <w:tcPr>
            <w:tcW w:w="892" w:type="dxa"/>
            <w:tcBorders>
              <w:top w:val="nil"/>
              <w:left w:val="nil"/>
              <w:bottom w:val="single" w:sz="4" w:space="0" w:color="auto"/>
              <w:right w:val="single" w:sz="4" w:space="0" w:color="auto"/>
            </w:tcBorders>
            <w:shd w:val="clear" w:color="auto" w:fill="auto"/>
            <w:noWrap/>
            <w:vAlign w:val="center"/>
            <w:hideMark/>
          </w:tcPr>
          <w:p w14:paraId="1110BCD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w:t>
            </w:r>
          </w:p>
        </w:tc>
        <w:tc>
          <w:tcPr>
            <w:tcW w:w="1220" w:type="dxa"/>
            <w:tcBorders>
              <w:top w:val="nil"/>
              <w:left w:val="nil"/>
              <w:bottom w:val="single" w:sz="4" w:space="0" w:color="auto"/>
              <w:right w:val="single" w:sz="4" w:space="0" w:color="auto"/>
            </w:tcBorders>
            <w:shd w:val="clear" w:color="auto" w:fill="auto"/>
            <w:noWrap/>
            <w:vAlign w:val="center"/>
          </w:tcPr>
          <w:p w14:paraId="4A28DAF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18.87</w:t>
            </w:r>
          </w:p>
        </w:tc>
        <w:tc>
          <w:tcPr>
            <w:tcW w:w="892" w:type="dxa"/>
            <w:tcBorders>
              <w:top w:val="nil"/>
              <w:left w:val="nil"/>
              <w:bottom w:val="single" w:sz="4" w:space="0" w:color="auto"/>
              <w:right w:val="single" w:sz="4" w:space="0" w:color="auto"/>
            </w:tcBorders>
            <w:shd w:val="clear" w:color="auto" w:fill="auto"/>
            <w:noWrap/>
            <w:vAlign w:val="center"/>
          </w:tcPr>
          <w:p w14:paraId="1C6540A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25.93</w:t>
            </w:r>
          </w:p>
        </w:tc>
        <w:tc>
          <w:tcPr>
            <w:tcW w:w="1309" w:type="dxa"/>
            <w:tcBorders>
              <w:top w:val="nil"/>
              <w:left w:val="nil"/>
              <w:bottom w:val="single" w:sz="4" w:space="0" w:color="auto"/>
              <w:right w:val="single" w:sz="4" w:space="0" w:color="auto"/>
            </w:tcBorders>
            <w:shd w:val="clear" w:color="auto" w:fill="auto"/>
            <w:noWrap/>
            <w:vAlign w:val="center"/>
          </w:tcPr>
          <w:p w14:paraId="736DF10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25.00</w:t>
            </w:r>
          </w:p>
        </w:tc>
      </w:tr>
      <w:tr w:rsidR="00FE35A9" w:rsidRPr="0044118C" w14:paraId="59D92F93"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75E7CE4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H</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58E0CD9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Withdrawn</w:t>
            </w:r>
          </w:p>
        </w:tc>
        <w:tc>
          <w:tcPr>
            <w:tcW w:w="1264" w:type="dxa"/>
            <w:tcBorders>
              <w:top w:val="nil"/>
              <w:left w:val="nil"/>
              <w:bottom w:val="single" w:sz="4" w:space="0" w:color="auto"/>
              <w:right w:val="single" w:sz="4" w:space="0" w:color="auto"/>
            </w:tcBorders>
            <w:shd w:val="clear" w:color="auto" w:fill="auto"/>
            <w:noWrap/>
            <w:vAlign w:val="center"/>
            <w:hideMark/>
          </w:tcPr>
          <w:p w14:paraId="433BC70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10</w:t>
            </w:r>
          </w:p>
        </w:tc>
        <w:tc>
          <w:tcPr>
            <w:tcW w:w="892" w:type="dxa"/>
            <w:tcBorders>
              <w:top w:val="nil"/>
              <w:left w:val="nil"/>
              <w:bottom w:val="single" w:sz="4" w:space="0" w:color="auto"/>
              <w:right w:val="single" w:sz="4" w:space="0" w:color="auto"/>
            </w:tcBorders>
            <w:shd w:val="clear" w:color="auto" w:fill="auto"/>
            <w:noWrap/>
            <w:vAlign w:val="center"/>
            <w:hideMark/>
          </w:tcPr>
          <w:p w14:paraId="674F926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9.62</w:t>
            </w:r>
          </w:p>
        </w:tc>
        <w:tc>
          <w:tcPr>
            <w:tcW w:w="892" w:type="dxa"/>
            <w:tcBorders>
              <w:top w:val="nil"/>
              <w:left w:val="nil"/>
              <w:bottom w:val="single" w:sz="4" w:space="0" w:color="auto"/>
              <w:right w:val="single" w:sz="4" w:space="0" w:color="auto"/>
            </w:tcBorders>
            <w:shd w:val="clear" w:color="auto" w:fill="auto"/>
            <w:noWrap/>
            <w:vAlign w:val="center"/>
            <w:hideMark/>
          </w:tcPr>
          <w:p w14:paraId="72B0C6C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w:t>
            </w:r>
          </w:p>
        </w:tc>
        <w:tc>
          <w:tcPr>
            <w:tcW w:w="1220" w:type="dxa"/>
            <w:tcBorders>
              <w:top w:val="nil"/>
              <w:left w:val="nil"/>
              <w:bottom w:val="single" w:sz="4" w:space="0" w:color="auto"/>
              <w:right w:val="single" w:sz="4" w:space="0" w:color="auto"/>
            </w:tcBorders>
            <w:shd w:val="clear" w:color="auto" w:fill="auto"/>
            <w:noWrap/>
            <w:vAlign w:val="center"/>
          </w:tcPr>
          <w:p w14:paraId="02C7553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3.77</w:t>
            </w:r>
          </w:p>
        </w:tc>
        <w:tc>
          <w:tcPr>
            <w:tcW w:w="892" w:type="dxa"/>
            <w:tcBorders>
              <w:top w:val="nil"/>
              <w:left w:val="nil"/>
              <w:bottom w:val="single" w:sz="4" w:space="0" w:color="auto"/>
              <w:right w:val="single" w:sz="4" w:space="0" w:color="auto"/>
            </w:tcBorders>
            <w:shd w:val="clear" w:color="auto" w:fill="auto"/>
            <w:noWrap/>
            <w:vAlign w:val="center"/>
          </w:tcPr>
          <w:p w14:paraId="341D791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7.41</w:t>
            </w:r>
          </w:p>
        </w:tc>
        <w:tc>
          <w:tcPr>
            <w:tcW w:w="1309" w:type="dxa"/>
            <w:tcBorders>
              <w:top w:val="nil"/>
              <w:left w:val="nil"/>
              <w:bottom w:val="single" w:sz="4" w:space="0" w:color="auto"/>
              <w:right w:val="single" w:sz="4" w:space="0" w:color="auto"/>
            </w:tcBorders>
            <w:shd w:val="clear" w:color="auto" w:fill="auto"/>
            <w:noWrap/>
            <w:vAlign w:val="center"/>
          </w:tcPr>
          <w:p w14:paraId="69BB848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25.00</w:t>
            </w:r>
          </w:p>
        </w:tc>
      </w:tr>
      <w:tr w:rsidR="00FE35A9" w:rsidRPr="0044118C" w14:paraId="1DA2C412"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7C02FB2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I</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1969344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Polar Quintiles 1&amp;2</w:t>
            </w:r>
          </w:p>
        </w:tc>
        <w:tc>
          <w:tcPr>
            <w:tcW w:w="1264" w:type="dxa"/>
            <w:tcBorders>
              <w:top w:val="nil"/>
              <w:left w:val="nil"/>
              <w:bottom w:val="single" w:sz="4" w:space="0" w:color="auto"/>
              <w:right w:val="single" w:sz="4" w:space="0" w:color="auto"/>
            </w:tcBorders>
            <w:shd w:val="clear" w:color="auto" w:fill="auto"/>
            <w:noWrap/>
            <w:vAlign w:val="center"/>
            <w:hideMark/>
          </w:tcPr>
          <w:p w14:paraId="740825A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51</w:t>
            </w:r>
          </w:p>
        </w:tc>
        <w:tc>
          <w:tcPr>
            <w:tcW w:w="892" w:type="dxa"/>
            <w:tcBorders>
              <w:top w:val="nil"/>
              <w:left w:val="nil"/>
              <w:bottom w:val="single" w:sz="4" w:space="0" w:color="auto"/>
              <w:right w:val="single" w:sz="4" w:space="0" w:color="auto"/>
            </w:tcBorders>
            <w:shd w:val="clear" w:color="auto" w:fill="auto"/>
            <w:noWrap/>
            <w:vAlign w:val="center"/>
            <w:hideMark/>
          </w:tcPr>
          <w:p w14:paraId="7799033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49.04</w:t>
            </w:r>
          </w:p>
        </w:tc>
        <w:tc>
          <w:tcPr>
            <w:tcW w:w="892" w:type="dxa"/>
            <w:tcBorders>
              <w:top w:val="nil"/>
              <w:left w:val="nil"/>
              <w:bottom w:val="single" w:sz="4" w:space="0" w:color="auto"/>
              <w:right w:val="single" w:sz="4" w:space="0" w:color="auto"/>
            </w:tcBorders>
            <w:shd w:val="clear" w:color="auto" w:fill="auto"/>
            <w:noWrap/>
            <w:vAlign w:val="center"/>
            <w:hideMark/>
          </w:tcPr>
          <w:p w14:paraId="441CE13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48.8</w:t>
            </w:r>
          </w:p>
        </w:tc>
        <w:tc>
          <w:tcPr>
            <w:tcW w:w="1220" w:type="dxa"/>
            <w:tcBorders>
              <w:top w:val="nil"/>
              <w:left w:val="nil"/>
              <w:bottom w:val="single" w:sz="4" w:space="0" w:color="auto"/>
              <w:right w:val="single" w:sz="4" w:space="0" w:color="auto"/>
            </w:tcBorders>
            <w:shd w:val="clear" w:color="auto" w:fill="auto"/>
            <w:noWrap/>
            <w:vAlign w:val="center"/>
          </w:tcPr>
          <w:p w14:paraId="22F8060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45.28</w:t>
            </w:r>
          </w:p>
        </w:tc>
        <w:tc>
          <w:tcPr>
            <w:tcW w:w="892" w:type="dxa"/>
            <w:tcBorders>
              <w:top w:val="nil"/>
              <w:left w:val="nil"/>
              <w:bottom w:val="single" w:sz="4" w:space="0" w:color="auto"/>
              <w:right w:val="single" w:sz="4" w:space="0" w:color="auto"/>
            </w:tcBorders>
            <w:shd w:val="clear" w:color="auto" w:fill="auto"/>
            <w:noWrap/>
            <w:vAlign w:val="center"/>
          </w:tcPr>
          <w:p w14:paraId="200BB2E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51.85</w:t>
            </w:r>
          </w:p>
        </w:tc>
        <w:tc>
          <w:tcPr>
            <w:tcW w:w="1309" w:type="dxa"/>
            <w:tcBorders>
              <w:top w:val="nil"/>
              <w:left w:val="nil"/>
              <w:bottom w:val="single" w:sz="4" w:space="0" w:color="auto"/>
              <w:right w:val="single" w:sz="4" w:space="0" w:color="auto"/>
            </w:tcBorders>
            <w:shd w:val="clear" w:color="auto" w:fill="auto"/>
            <w:noWrap/>
            <w:vAlign w:val="center"/>
          </w:tcPr>
          <w:p w14:paraId="7BDB0D8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hAnsi="Tahoma" w:cs="Tahoma"/>
                <w:sz w:val="20"/>
                <w:szCs w:val="20"/>
              </w:rPr>
              <w:t>54.17</w:t>
            </w:r>
          </w:p>
        </w:tc>
      </w:tr>
      <w:tr w:rsidR="00FE35A9" w:rsidRPr="0044118C" w14:paraId="0B9A499F" w14:textId="77777777" w:rsidTr="00A81245">
        <w:trPr>
          <w:trHeight w:val="300"/>
          <w:jc w:val="center"/>
        </w:trPr>
        <w:tc>
          <w:tcPr>
            <w:tcW w:w="383" w:type="dxa"/>
            <w:tcBorders>
              <w:top w:val="nil"/>
              <w:left w:val="single" w:sz="4" w:space="0" w:color="auto"/>
              <w:bottom w:val="single" w:sz="4" w:space="0" w:color="auto"/>
              <w:right w:val="single" w:sz="4" w:space="0" w:color="auto"/>
            </w:tcBorders>
            <w:vAlign w:val="center"/>
          </w:tcPr>
          <w:p w14:paraId="084899B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J</w:t>
            </w:r>
          </w:p>
        </w:tc>
        <w:tc>
          <w:tcPr>
            <w:tcW w:w="2164" w:type="dxa"/>
            <w:tcBorders>
              <w:top w:val="nil"/>
              <w:left w:val="single" w:sz="4" w:space="0" w:color="auto"/>
              <w:bottom w:val="single" w:sz="4" w:space="0" w:color="auto"/>
              <w:right w:val="single" w:sz="4" w:space="0" w:color="auto"/>
            </w:tcBorders>
            <w:shd w:val="clear" w:color="auto" w:fill="auto"/>
            <w:noWrap/>
            <w:vAlign w:val="center"/>
            <w:hideMark/>
          </w:tcPr>
          <w:p w14:paraId="643DDDA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Non care leaver</w:t>
            </w:r>
          </w:p>
        </w:tc>
        <w:tc>
          <w:tcPr>
            <w:tcW w:w="1264" w:type="dxa"/>
            <w:tcBorders>
              <w:top w:val="nil"/>
              <w:left w:val="nil"/>
              <w:bottom w:val="single" w:sz="4" w:space="0" w:color="auto"/>
              <w:right w:val="single" w:sz="4" w:space="0" w:color="auto"/>
            </w:tcBorders>
            <w:shd w:val="clear" w:color="auto" w:fill="auto"/>
            <w:noWrap/>
            <w:vAlign w:val="center"/>
            <w:hideMark/>
          </w:tcPr>
          <w:p w14:paraId="346CC67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104</w:t>
            </w:r>
          </w:p>
        </w:tc>
        <w:tc>
          <w:tcPr>
            <w:tcW w:w="892" w:type="dxa"/>
            <w:tcBorders>
              <w:top w:val="nil"/>
              <w:left w:val="nil"/>
              <w:bottom w:val="single" w:sz="4" w:space="0" w:color="auto"/>
              <w:right w:val="single" w:sz="4" w:space="0" w:color="auto"/>
            </w:tcBorders>
            <w:shd w:val="clear" w:color="auto" w:fill="auto"/>
            <w:noWrap/>
            <w:vAlign w:val="center"/>
            <w:hideMark/>
          </w:tcPr>
          <w:p w14:paraId="4C061CD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100.00</w:t>
            </w:r>
          </w:p>
        </w:tc>
        <w:tc>
          <w:tcPr>
            <w:tcW w:w="892" w:type="dxa"/>
            <w:tcBorders>
              <w:top w:val="nil"/>
              <w:left w:val="nil"/>
              <w:bottom w:val="single" w:sz="4" w:space="0" w:color="auto"/>
              <w:right w:val="single" w:sz="4" w:space="0" w:color="auto"/>
            </w:tcBorders>
            <w:shd w:val="clear" w:color="auto" w:fill="auto"/>
            <w:noWrap/>
            <w:vAlign w:val="center"/>
            <w:hideMark/>
          </w:tcPr>
          <w:p w14:paraId="218E4A7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0.6</w:t>
            </w:r>
          </w:p>
        </w:tc>
        <w:tc>
          <w:tcPr>
            <w:tcW w:w="1220" w:type="dxa"/>
            <w:tcBorders>
              <w:top w:val="nil"/>
              <w:left w:val="nil"/>
              <w:bottom w:val="single" w:sz="4" w:space="0" w:color="auto"/>
              <w:right w:val="single" w:sz="4" w:space="0" w:color="auto"/>
            </w:tcBorders>
            <w:shd w:val="clear" w:color="auto" w:fill="auto"/>
            <w:noWrap/>
            <w:vAlign w:val="center"/>
          </w:tcPr>
          <w:p w14:paraId="6ACC6F1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50.96</w:t>
            </w:r>
          </w:p>
        </w:tc>
        <w:tc>
          <w:tcPr>
            <w:tcW w:w="892" w:type="dxa"/>
            <w:tcBorders>
              <w:top w:val="nil"/>
              <w:left w:val="nil"/>
              <w:bottom w:val="single" w:sz="4" w:space="0" w:color="auto"/>
              <w:right w:val="single" w:sz="4" w:space="0" w:color="auto"/>
            </w:tcBorders>
            <w:shd w:val="clear" w:color="auto" w:fill="auto"/>
            <w:noWrap/>
            <w:vAlign w:val="center"/>
          </w:tcPr>
          <w:p w14:paraId="3FCE520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25.96</w:t>
            </w:r>
          </w:p>
        </w:tc>
        <w:tc>
          <w:tcPr>
            <w:tcW w:w="1309" w:type="dxa"/>
            <w:tcBorders>
              <w:top w:val="nil"/>
              <w:left w:val="nil"/>
              <w:bottom w:val="single" w:sz="4" w:space="0" w:color="auto"/>
              <w:right w:val="single" w:sz="4" w:space="0" w:color="auto"/>
            </w:tcBorders>
            <w:shd w:val="clear" w:color="auto" w:fill="auto"/>
            <w:noWrap/>
            <w:vAlign w:val="center"/>
          </w:tcPr>
          <w:p w14:paraId="692D581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23.08</w:t>
            </w:r>
          </w:p>
        </w:tc>
      </w:tr>
    </w:tbl>
    <w:p w14:paraId="3907209E"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617B2EA7" w14:textId="77777777" w:rsidR="00FE35A9" w:rsidRPr="0044118C" w:rsidRDefault="00FE35A9" w:rsidP="00FE35A9">
      <w:pPr>
        <w:spacing w:line="360" w:lineRule="auto"/>
        <w:rPr>
          <w:rFonts w:ascii="Tahoma" w:eastAsia="Times New Roman" w:hAnsi="Tahoma" w:cs="Tahoma"/>
          <w:b/>
          <w:color w:val="000000"/>
          <w:sz w:val="28"/>
          <w:szCs w:val="28"/>
          <w:lang w:eastAsia="en-GB"/>
        </w:rPr>
      </w:pPr>
      <w:r w:rsidRPr="0044118C">
        <w:rPr>
          <w:rFonts w:ascii="Tahoma" w:eastAsia="Times New Roman" w:hAnsi="Tahoma" w:cs="Tahoma"/>
          <w:b/>
          <w:color w:val="000000"/>
          <w:sz w:val="28"/>
          <w:szCs w:val="28"/>
          <w:lang w:eastAsia="en-GB"/>
        </w:rPr>
        <w:t>Impact</w:t>
      </w:r>
    </w:p>
    <w:p w14:paraId="4DB9B407" w14:textId="77777777" w:rsidR="00FE35A9" w:rsidRPr="0044118C" w:rsidRDefault="00FE35A9" w:rsidP="00FE35A9">
      <w:pPr>
        <w:spacing w:line="360" w:lineRule="auto"/>
        <w:rPr>
          <w:rFonts w:ascii="Tahoma" w:eastAsia="Times New Roman" w:hAnsi="Tahoma" w:cs="Tahoma"/>
          <w:b/>
          <w:color w:val="000000"/>
          <w:sz w:val="24"/>
          <w:szCs w:val="24"/>
          <w:lang w:eastAsia="en-GB"/>
        </w:rPr>
      </w:pPr>
      <w:r w:rsidRPr="0044118C">
        <w:rPr>
          <w:rFonts w:ascii="Tahoma" w:eastAsia="Times New Roman" w:hAnsi="Tahoma" w:cs="Tahoma"/>
          <w:color w:val="000000"/>
          <w:sz w:val="24"/>
          <w:szCs w:val="24"/>
          <w:lang w:eastAsia="en-GB"/>
        </w:rPr>
        <w:t xml:space="preserve">Phase 4 of the research explored the individual characteristics of the students defined by The Staffordshire University Access and Participation Plan, (APP 2020) who were offered the fitness to study package as an option to re-engage. It was found that there was a strong correlation with the students referred into fitness to study alongside the characteristics identified within APP. A high percentage of </w:t>
      </w:r>
      <w:r w:rsidRPr="0044118C">
        <w:rPr>
          <w:rFonts w:ascii="Tahoma" w:eastAsia="Times New Roman" w:hAnsi="Tahoma" w:cs="Tahoma"/>
          <w:color w:val="000000"/>
          <w:sz w:val="24"/>
          <w:szCs w:val="24"/>
          <w:lang w:eastAsia="en-GB"/>
        </w:rPr>
        <w:lastRenderedPageBreak/>
        <w:t>students from Polar quintiles 1&amp;2 and IMD quintiles 1&amp;2 were referred to fitness to study processes (49.04% and 39.42% of the 104 cases are student from this social classification).  This compares to university figures of 49% Polar quintiles 1&amp;2 and 45% IMD quintiles 1&amp;2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2020). Interestingly there are disproportionately more males 71.19% than females who underwent fitness to study processes during 2019-2020. BAME and students with declared disability are also disproportionately represented (at 37.50% and 25.96% of all respective cases) when compared to the University figures (BAME full-time students 18% and those full-time with declared disability 18% - (</w:t>
      </w:r>
      <w:proofErr w:type="spellStart"/>
      <w:r w:rsidRPr="0044118C">
        <w:rPr>
          <w:rFonts w:ascii="Tahoma" w:eastAsia="Times New Roman" w:hAnsi="Tahoma" w:cs="Tahoma"/>
          <w:color w:val="000000"/>
          <w:sz w:val="24"/>
          <w:szCs w:val="24"/>
          <w:lang w:eastAsia="en-GB"/>
        </w:rPr>
        <w:t>OfS</w:t>
      </w:r>
      <w:proofErr w:type="spellEnd"/>
      <w:r w:rsidRPr="0044118C">
        <w:rPr>
          <w:rFonts w:ascii="Tahoma" w:eastAsia="Times New Roman" w:hAnsi="Tahoma" w:cs="Tahoma"/>
          <w:color w:val="000000"/>
          <w:sz w:val="24"/>
          <w:szCs w:val="24"/>
          <w:lang w:eastAsia="en-GB"/>
        </w:rPr>
        <w:t>, 2019).  Those in the category of non-traditional qualifications (BTEC, access to higher education routes and students who were given accredited prior learning exemptions) also formed a common characteristic with students who were referred to the fitness to study scheme. It was found that 70.19% hold BTEC Level 3, level 2 or were mature students (This compares to a university average of 82% for 2019-2020 intake). This led to speculation that alternative approaches were required to support students with multiple intersections of categories identified within the APP. Arguably, this is principally about early relationship building and attentional approaches and is to some extent unsurprising theoretically, but powerful when put into direct practice as described here.</w:t>
      </w:r>
    </w:p>
    <w:p w14:paraId="683C57F1"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What is interesting concerns the actual number of withdrawals. It can be seen from Table 3 that 10 students were withdrawn, compared to those recommended for withdrawal, equating to 17 students or 16% (outcome of fitness to study, see Figure 1). After further analysis this was found to be due to late processing as the end of year exam board approached, so effectively the students were not withdrawn officially for lack of engagement, </w:t>
      </w:r>
      <w:r>
        <w:rPr>
          <w:rFonts w:ascii="Tahoma" w:eastAsia="Times New Roman" w:hAnsi="Tahoma" w:cs="Tahoma"/>
          <w:color w:val="000000"/>
          <w:sz w:val="24"/>
          <w:szCs w:val="24"/>
          <w:lang w:eastAsia="en-GB"/>
        </w:rPr>
        <w:t xml:space="preserve">but for </w:t>
      </w:r>
      <w:r w:rsidRPr="0044118C">
        <w:rPr>
          <w:rFonts w:ascii="Tahoma" w:eastAsia="Times New Roman" w:hAnsi="Tahoma" w:cs="Tahoma"/>
          <w:color w:val="000000"/>
          <w:sz w:val="24"/>
          <w:szCs w:val="24"/>
          <w:lang w:eastAsia="en-GB"/>
        </w:rPr>
        <w:t xml:space="preserve">academic failure or progression at exam board. Out of the students that were deemed to have re-engaged or having followed a study plan (highlighted in green which totalled 53/104 students or 51% (Figure 1), 81% went on to progress into the next year (Table 3 Row G – shows 19% of the students that re-engaged through the fitness to study procedure did not progress onto the next year of study). In comparison, students in the Red or Amber fitness to study categories saw over 25% of students not progressing (Table 3 row G); and </w:t>
      </w:r>
      <w:r w:rsidRPr="0044118C">
        <w:rPr>
          <w:rFonts w:ascii="Tahoma" w:eastAsia="Times New Roman" w:hAnsi="Tahoma" w:cs="Tahoma"/>
          <w:color w:val="000000"/>
          <w:sz w:val="24"/>
          <w:szCs w:val="24"/>
          <w:lang w:eastAsia="en-GB"/>
        </w:rPr>
        <w:lastRenderedPageBreak/>
        <w:t xml:space="preserve">more concerning in the </w:t>
      </w:r>
      <w:proofErr w:type="gramStart"/>
      <w:r w:rsidRPr="0044118C">
        <w:rPr>
          <w:rFonts w:ascii="Tahoma" w:eastAsia="Times New Roman" w:hAnsi="Tahoma" w:cs="Tahoma"/>
          <w:color w:val="000000"/>
          <w:sz w:val="24"/>
          <w:szCs w:val="24"/>
          <w:lang w:eastAsia="en-GB"/>
        </w:rPr>
        <w:t>Red</w:t>
      </w:r>
      <w:proofErr w:type="gramEnd"/>
      <w:r w:rsidRPr="0044118C">
        <w:rPr>
          <w:rFonts w:ascii="Tahoma" w:eastAsia="Times New Roman" w:hAnsi="Tahoma" w:cs="Tahoma"/>
          <w:color w:val="000000"/>
          <w:sz w:val="24"/>
          <w:szCs w:val="24"/>
          <w:lang w:eastAsia="en-GB"/>
        </w:rPr>
        <w:t xml:space="preserve"> category a significant number of the students were ultimately withdrawn (25%). Whereas the students that engaged or were identified as “at risk” (Table 3 Positive and At Risk) had significantly less cases resulting in withdrawal 4% and 7% respectively. </w:t>
      </w:r>
    </w:p>
    <w:p w14:paraId="6E06ABDD"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Further correlations between the protected characteristic (Table 4) illustrated some interesting and significant relationships. Three protected characteristics (Qualifications, sex-male and Polar 4) correlated with between 4-6 other influencing factors (shaded grey in Table 4</w:t>
      </w:r>
      <w:r>
        <w:rPr>
          <w:rFonts w:ascii="Tahoma" w:eastAsia="Times New Roman" w:hAnsi="Tahoma" w:cs="Tahoma"/>
          <w:color w:val="000000"/>
          <w:sz w:val="24"/>
          <w:szCs w:val="24"/>
          <w:lang w:eastAsia="en-GB"/>
        </w:rPr>
        <w:t>, overleaf</w:t>
      </w:r>
      <w:r w:rsidRPr="0044118C">
        <w:rPr>
          <w:rFonts w:ascii="Tahoma" w:eastAsia="Times New Roman" w:hAnsi="Tahoma" w:cs="Tahoma"/>
          <w:color w:val="000000"/>
          <w:sz w:val="24"/>
          <w:szCs w:val="24"/>
          <w:lang w:eastAsia="en-GB"/>
        </w:rPr>
        <w:t>). Students who were disabled and referred to the fitness to study process, were also predominantly (85.19%) those holding non-traditional entry qualifications (BTEC, Level 2 &amp; 3 or alternative access route to HE). There was also a strong correlation with disability and those from Polar 4 quartiles 1&amp;2 (areas where young people are less likely to participate in higher education). The same correlation pattern was also evident for both male students and IMD quintiles 1&amp;2.</w:t>
      </w:r>
    </w:p>
    <w:p w14:paraId="10FC2C08"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second strongest correlation was identified with mature students and qualifications (84%), this is unsurprising since many mature students enter into higher education holding non-traditional qualifications, this demonstrates the widening participation agenda at Post 92 institutions.  Mature students also correlates with male, disproportionately there were more mature male students referred to the fitness to study process </w:t>
      </w:r>
      <w:proofErr w:type="gramStart"/>
      <w:r w:rsidRPr="0044118C">
        <w:rPr>
          <w:rFonts w:ascii="Tahoma" w:eastAsia="Times New Roman" w:hAnsi="Tahoma" w:cs="Tahoma"/>
          <w:color w:val="000000"/>
          <w:sz w:val="24"/>
          <w:szCs w:val="24"/>
          <w:lang w:eastAsia="en-GB"/>
        </w:rPr>
        <w:t>as a result of</w:t>
      </w:r>
      <w:proofErr w:type="gramEnd"/>
      <w:r w:rsidRPr="0044118C">
        <w:rPr>
          <w:rFonts w:ascii="Tahoma" w:eastAsia="Times New Roman" w:hAnsi="Tahoma" w:cs="Tahoma"/>
          <w:color w:val="000000"/>
          <w:sz w:val="24"/>
          <w:szCs w:val="24"/>
          <w:lang w:eastAsia="en-GB"/>
        </w:rPr>
        <w:t xml:space="preserve"> lack of attendance (76%). Correlations were also found with BAME; and male (79.46%) and non-traditional qualifications (66.67%); and Polar 4, with male (66.67%) and non-traditional (76.47%).  The final observation was that students entering into fitness to study with non-traditional qualifications had a significant chance of also having a second protected characteristic of either being in an area of low participation to higher education (Polar 4, quintiles 1&amp;2 53.42%) or male (72.6%).</w:t>
      </w:r>
    </w:p>
    <w:p w14:paraId="3531F45E" w14:textId="77777777" w:rsidR="00FE35A9" w:rsidRDefault="00FE35A9" w:rsidP="00FE35A9">
      <w:pPr>
        <w:rPr>
          <w:rFonts w:ascii="Tahoma" w:eastAsia="Times New Roman" w:hAnsi="Tahoma" w:cs="Tahoma"/>
          <w:b/>
          <w:color w:val="000000"/>
          <w:sz w:val="24"/>
          <w:szCs w:val="24"/>
          <w:lang w:eastAsia="en-GB"/>
        </w:rPr>
      </w:pPr>
    </w:p>
    <w:p w14:paraId="7754C8D3" w14:textId="77777777" w:rsidR="001239FC" w:rsidRDefault="001239FC" w:rsidP="00FE35A9">
      <w:pPr>
        <w:spacing w:line="360" w:lineRule="auto"/>
        <w:rPr>
          <w:rFonts w:ascii="Tahoma" w:eastAsia="Times New Roman" w:hAnsi="Tahoma" w:cs="Tahoma"/>
          <w:b/>
          <w:color w:val="000000"/>
          <w:sz w:val="24"/>
          <w:szCs w:val="24"/>
          <w:lang w:eastAsia="en-GB"/>
        </w:rPr>
      </w:pPr>
    </w:p>
    <w:p w14:paraId="1A2FDB65" w14:textId="77777777" w:rsidR="001239FC" w:rsidRDefault="001239FC" w:rsidP="00FE35A9">
      <w:pPr>
        <w:spacing w:line="360" w:lineRule="auto"/>
        <w:rPr>
          <w:rFonts w:ascii="Tahoma" w:eastAsia="Times New Roman" w:hAnsi="Tahoma" w:cs="Tahoma"/>
          <w:b/>
          <w:color w:val="000000"/>
          <w:sz w:val="24"/>
          <w:szCs w:val="24"/>
          <w:lang w:eastAsia="en-GB"/>
        </w:rPr>
      </w:pPr>
    </w:p>
    <w:p w14:paraId="58787C3C" w14:textId="0AA94104" w:rsidR="00FE35A9" w:rsidRPr="0044118C" w:rsidRDefault="00FE35A9" w:rsidP="00FE35A9">
      <w:pPr>
        <w:spacing w:line="360" w:lineRule="auto"/>
        <w:rPr>
          <w:rFonts w:ascii="Tahoma" w:eastAsia="Times New Roman" w:hAnsi="Tahoma" w:cs="Tahoma"/>
          <w:b/>
          <w:color w:val="000000"/>
          <w:sz w:val="24"/>
          <w:szCs w:val="24"/>
          <w:lang w:eastAsia="en-GB"/>
        </w:rPr>
      </w:pPr>
      <w:r w:rsidRPr="0044118C">
        <w:rPr>
          <w:rFonts w:ascii="Tahoma" w:eastAsia="Times New Roman" w:hAnsi="Tahoma" w:cs="Tahoma"/>
          <w:b/>
          <w:color w:val="000000"/>
          <w:sz w:val="24"/>
          <w:szCs w:val="24"/>
          <w:lang w:eastAsia="en-GB"/>
        </w:rPr>
        <w:lastRenderedPageBreak/>
        <w:t>Table 4. Correlation of the protected characteristics</w:t>
      </w:r>
    </w:p>
    <w:tbl>
      <w:tblPr>
        <w:tblW w:w="9016" w:type="dxa"/>
        <w:tblLook w:val="04A0" w:firstRow="1" w:lastRow="0" w:firstColumn="1" w:lastColumn="0" w:noHBand="0" w:noVBand="1"/>
      </w:tblPr>
      <w:tblGrid>
        <w:gridCol w:w="1262"/>
        <w:gridCol w:w="1285"/>
        <w:gridCol w:w="974"/>
        <w:gridCol w:w="1127"/>
        <w:gridCol w:w="1127"/>
        <w:gridCol w:w="1127"/>
        <w:gridCol w:w="1127"/>
        <w:gridCol w:w="987"/>
      </w:tblGrid>
      <w:tr w:rsidR="00FE35A9" w:rsidRPr="0044118C" w14:paraId="1F54682E" w14:textId="77777777" w:rsidTr="00A81245">
        <w:trPr>
          <w:trHeight w:val="300"/>
        </w:trPr>
        <w:tc>
          <w:tcPr>
            <w:tcW w:w="9016" w:type="dxa"/>
            <w:gridSpan w:val="8"/>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142EB9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Influencing Factors - Percentage Stats (%)</w:t>
            </w:r>
          </w:p>
        </w:tc>
      </w:tr>
      <w:tr w:rsidR="00FE35A9" w:rsidRPr="0044118C" w14:paraId="68313C57"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042D774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w:t>
            </w:r>
          </w:p>
        </w:tc>
        <w:tc>
          <w:tcPr>
            <w:tcW w:w="1285" w:type="dxa"/>
            <w:tcBorders>
              <w:top w:val="nil"/>
              <w:left w:val="nil"/>
              <w:bottom w:val="single" w:sz="4" w:space="0" w:color="auto"/>
              <w:right w:val="single" w:sz="4" w:space="0" w:color="auto"/>
            </w:tcBorders>
            <w:shd w:val="clear" w:color="auto" w:fill="auto"/>
            <w:noWrap/>
            <w:vAlign w:val="bottom"/>
            <w:hideMark/>
          </w:tcPr>
          <w:p w14:paraId="5F453B4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Disability</w:t>
            </w:r>
          </w:p>
        </w:tc>
        <w:tc>
          <w:tcPr>
            <w:tcW w:w="974" w:type="dxa"/>
            <w:tcBorders>
              <w:top w:val="nil"/>
              <w:left w:val="nil"/>
              <w:bottom w:val="single" w:sz="4" w:space="0" w:color="auto"/>
              <w:right w:val="single" w:sz="4" w:space="0" w:color="auto"/>
            </w:tcBorders>
            <w:shd w:val="clear" w:color="auto" w:fill="auto"/>
            <w:noWrap/>
            <w:vAlign w:val="bottom"/>
            <w:hideMark/>
          </w:tcPr>
          <w:p w14:paraId="7DFFE8E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BAME</w:t>
            </w:r>
          </w:p>
        </w:tc>
        <w:tc>
          <w:tcPr>
            <w:tcW w:w="1127" w:type="dxa"/>
            <w:tcBorders>
              <w:top w:val="nil"/>
              <w:left w:val="nil"/>
              <w:bottom w:val="single" w:sz="4" w:space="0" w:color="auto"/>
              <w:right w:val="single" w:sz="4" w:space="0" w:color="auto"/>
            </w:tcBorders>
            <w:shd w:val="clear" w:color="auto" w:fill="auto"/>
            <w:noWrap/>
            <w:vAlign w:val="bottom"/>
            <w:hideMark/>
          </w:tcPr>
          <w:p w14:paraId="5D961AF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Sex: Male</w:t>
            </w:r>
          </w:p>
        </w:tc>
        <w:tc>
          <w:tcPr>
            <w:tcW w:w="1127" w:type="dxa"/>
            <w:tcBorders>
              <w:top w:val="nil"/>
              <w:left w:val="nil"/>
              <w:bottom w:val="single" w:sz="4" w:space="0" w:color="auto"/>
              <w:right w:val="single" w:sz="4" w:space="0" w:color="auto"/>
            </w:tcBorders>
            <w:shd w:val="clear" w:color="auto" w:fill="auto"/>
            <w:noWrap/>
            <w:vAlign w:val="bottom"/>
            <w:hideMark/>
          </w:tcPr>
          <w:p w14:paraId="6296438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Mature</w:t>
            </w:r>
          </w:p>
        </w:tc>
        <w:tc>
          <w:tcPr>
            <w:tcW w:w="1127" w:type="dxa"/>
            <w:tcBorders>
              <w:top w:val="nil"/>
              <w:left w:val="nil"/>
              <w:bottom w:val="single" w:sz="4" w:space="0" w:color="auto"/>
              <w:right w:val="single" w:sz="4" w:space="0" w:color="auto"/>
            </w:tcBorders>
            <w:shd w:val="clear" w:color="auto" w:fill="auto"/>
            <w:noWrap/>
            <w:vAlign w:val="bottom"/>
            <w:hideMark/>
          </w:tcPr>
          <w:p w14:paraId="39A9C0A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Quals</w:t>
            </w:r>
          </w:p>
        </w:tc>
        <w:tc>
          <w:tcPr>
            <w:tcW w:w="1127" w:type="dxa"/>
            <w:tcBorders>
              <w:top w:val="nil"/>
              <w:left w:val="nil"/>
              <w:bottom w:val="single" w:sz="4" w:space="0" w:color="auto"/>
              <w:right w:val="single" w:sz="4" w:space="0" w:color="auto"/>
            </w:tcBorders>
            <w:shd w:val="clear" w:color="auto" w:fill="auto"/>
            <w:noWrap/>
            <w:vAlign w:val="bottom"/>
            <w:hideMark/>
          </w:tcPr>
          <w:p w14:paraId="404F9C8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IMD 1&amp;2</w:t>
            </w:r>
          </w:p>
        </w:tc>
        <w:tc>
          <w:tcPr>
            <w:tcW w:w="987" w:type="dxa"/>
            <w:tcBorders>
              <w:top w:val="nil"/>
              <w:left w:val="nil"/>
              <w:bottom w:val="single" w:sz="4" w:space="0" w:color="auto"/>
              <w:right w:val="single" w:sz="4" w:space="0" w:color="auto"/>
            </w:tcBorders>
            <w:shd w:val="clear" w:color="auto" w:fill="auto"/>
            <w:noWrap/>
            <w:vAlign w:val="bottom"/>
            <w:hideMark/>
          </w:tcPr>
          <w:p w14:paraId="4933EDA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Polar 4</w:t>
            </w:r>
          </w:p>
        </w:tc>
      </w:tr>
      <w:tr w:rsidR="00FE35A9" w:rsidRPr="0044118C" w14:paraId="601FD138"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43E4CE8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Disability</w:t>
            </w:r>
          </w:p>
        </w:tc>
        <w:tc>
          <w:tcPr>
            <w:tcW w:w="1285" w:type="dxa"/>
            <w:tcBorders>
              <w:top w:val="nil"/>
              <w:left w:val="nil"/>
              <w:bottom w:val="single" w:sz="4" w:space="0" w:color="auto"/>
              <w:right w:val="single" w:sz="4" w:space="0" w:color="auto"/>
            </w:tcBorders>
            <w:shd w:val="clear" w:color="auto" w:fill="000000" w:themeFill="text1"/>
            <w:noWrap/>
            <w:vAlign w:val="bottom"/>
            <w:hideMark/>
          </w:tcPr>
          <w:p w14:paraId="3BD4646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25.96</w:t>
            </w:r>
          </w:p>
        </w:tc>
        <w:tc>
          <w:tcPr>
            <w:tcW w:w="974" w:type="dxa"/>
            <w:tcBorders>
              <w:top w:val="nil"/>
              <w:left w:val="nil"/>
              <w:bottom w:val="single" w:sz="4" w:space="0" w:color="auto"/>
              <w:right w:val="single" w:sz="4" w:space="0" w:color="auto"/>
            </w:tcBorders>
            <w:shd w:val="clear" w:color="auto" w:fill="auto"/>
            <w:noWrap/>
            <w:vAlign w:val="bottom"/>
            <w:hideMark/>
          </w:tcPr>
          <w:p w14:paraId="5E1D200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2.56</w:t>
            </w:r>
          </w:p>
        </w:tc>
        <w:tc>
          <w:tcPr>
            <w:tcW w:w="1127" w:type="dxa"/>
            <w:tcBorders>
              <w:top w:val="nil"/>
              <w:left w:val="nil"/>
              <w:bottom w:val="single" w:sz="4" w:space="0" w:color="auto"/>
              <w:right w:val="single" w:sz="4" w:space="0" w:color="auto"/>
            </w:tcBorders>
            <w:shd w:val="clear" w:color="auto" w:fill="auto"/>
            <w:noWrap/>
            <w:vAlign w:val="bottom"/>
            <w:hideMark/>
          </w:tcPr>
          <w:p w14:paraId="1E61BCF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21.62</w:t>
            </w:r>
          </w:p>
        </w:tc>
        <w:tc>
          <w:tcPr>
            <w:tcW w:w="1127" w:type="dxa"/>
            <w:tcBorders>
              <w:top w:val="nil"/>
              <w:left w:val="nil"/>
              <w:bottom w:val="single" w:sz="4" w:space="0" w:color="auto"/>
              <w:right w:val="single" w:sz="4" w:space="0" w:color="auto"/>
            </w:tcBorders>
            <w:shd w:val="clear" w:color="auto" w:fill="auto"/>
            <w:noWrap/>
            <w:vAlign w:val="bottom"/>
            <w:hideMark/>
          </w:tcPr>
          <w:p w14:paraId="269B8AE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44.00</w:t>
            </w:r>
          </w:p>
        </w:tc>
        <w:tc>
          <w:tcPr>
            <w:tcW w:w="1127" w:type="dxa"/>
            <w:tcBorders>
              <w:top w:val="nil"/>
              <w:left w:val="nil"/>
              <w:bottom w:val="single" w:sz="4" w:space="0" w:color="auto"/>
              <w:right w:val="single" w:sz="4" w:space="0" w:color="auto"/>
            </w:tcBorders>
            <w:shd w:val="clear" w:color="auto" w:fill="auto"/>
            <w:noWrap/>
            <w:vAlign w:val="bottom"/>
            <w:hideMark/>
          </w:tcPr>
          <w:p w14:paraId="382C8FB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31.51</w:t>
            </w:r>
          </w:p>
        </w:tc>
        <w:tc>
          <w:tcPr>
            <w:tcW w:w="1127" w:type="dxa"/>
            <w:tcBorders>
              <w:top w:val="nil"/>
              <w:left w:val="nil"/>
              <w:bottom w:val="single" w:sz="4" w:space="0" w:color="auto"/>
              <w:right w:val="single" w:sz="4" w:space="0" w:color="auto"/>
            </w:tcBorders>
            <w:shd w:val="clear" w:color="auto" w:fill="auto"/>
            <w:noWrap/>
            <w:vAlign w:val="bottom"/>
            <w:hideMark/>
          </w:tcPr>
          <w:p w14:paraId="20924A7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31.71</w:t>
            </w:r>
          </w:p>
        </w:tc>
        <w:tc>
          <w:tcPr>
            <w:tcW w:w="987" w:type="dxa"/>
            <w:tcBorders>
              <w:top w:val="nil"/>
              <w:left w:val="nil"/>
              <w:bottom w:val="single" w:sz="4" w:space="0" w:color="auto"/>
              <w:right w:val="single" w:sz="4" w:space="0" w:color="auto"/>
            </w:tcBorders>
            <w:shd w:val="clear" w:color="auto" w:fill="auto"/>
            <w:noWrap/>
            <w:vAlign w:val="bottom"/>
            <w:hideMark/>
          </w:tcPr>
          <w:p w14:paraId="274012D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33.33</w:t>
            </w:r>
          </w:p>
        </w:tc>
      </w:tr>
      <w:tr w:rsidR="00FE35A9" w:rsidRPr="0044118C" w14:paraId="53872A22"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3FAA28A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BAME</w:t>
            </w:r>
          </w:p>
        </w:tc>
        <w:tc>
          <w:tcPr>
            <w:tcW w:w="1285" w:type="dxa"/>
            <w:tcBorders>
              <w:top w:val="nil"/>
              <w:left w:val="nil"/>
              <w:bottom w:val="single" w:sz="4" w:space="0" w:color="auto"/>
              <w:right w:val="single" w:sz="4" w:space="0" w:color="auto"/>
            </w:tcBorders>
            <w:shd w:val="clear" w:color="auto" w:fill="auto"/>
            <w:noWrap/>
            <w:vAlign w:val="bottom"/>
            <w:hideMark/>
          </w:tcPr>
          <w:p w14:paraId="7DE5C02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3.70</w:t>
            </w:r>
          </w:p>
        </w:tc>
        <w:tc>
          <w:tcPr>
            <w:tcW w:w="974" w:type="dxa"/>
            <w:tcBorders>
              <w:top w:val="nil"/>
              <w:left w:val="nil"/>
              <w:bottom w:val="single" w:sz="4" w:space="0" w:color="auto"/>
              <w:right w:val="single" w:sz="4" w:space="0" w:color="auto"/>
            </w:tcBorders>
            <w:shd w:val="clear" w:color="auto" w:fill="000000" w:themeFill="text1"/>
            <w:noWrap/>
            <w:vAlign w:val="bottom"/>
            <w:hideMark/>
          </w:tcPr>
          <w:p w14:paraId="7209177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37.50</w:t>
            </w:r>
          </w:p>
        </w:tc>
        <w:tc>
          <w:tcPr>
            <w:tcW w:w="1127" w:type="dxa"/>
            <w:tcBorders>
              <w:top w:val="nil"/>
              <w:left w:val="nil"/>
              <w:bottom w:val="single" w:sz="4" w:space="0" w:color="auto"/>
              <w:right w:val="single" w:sz="4" w:space="0" w:color="auto"/>
            </w:tcBorders>
            <w:shd w:val="clear" w:color="auto" w:fill="auto"/>
            <w:noWrap/>
            <w:vAlign w:val="bottom"/>
            <w:hideMark/>
          </w:tcPr>
          <w:p w14:paraId="61D724B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41.89</w:t>
            </w:r>
          </w:p>
        </w:tc>
        <w:tc>
          <w:tcPr>
            <w:tcW w:w="1127" w:type="dxa"/>
            <w:tcBorders>
              <w:top w:val="nil"/>
              <w:left w:val="nil"/>
              <w:bottom w:val="single" w:sz="4" w:space="0" w:color="auto"/>
              <w:right w:val="single" w:sz="4" w:space="0" w:color="auto"/>
            </w:tcBorders>
            <w:shd w:val="clear" w:color="auto" w:fill="auto"/>
            <w:noWrap/>
            <w:vAlign w:val="bottom"/>
            <w:hideMark/>
          </w:tcPr>
          <w:p w14:paraId="15A7BE7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36.00</w:t>
            </w:r>
          </w:p>
        </w:tc>
        <w:tc>
          <w:tcPr>
            <w:tcW w:w="1127" w:type="dxa"/>
            <w:tcBorders>
              <w:top w:val="nil"/>
              <w:left w:val="nil"/>
              <w:bottom w:val="single" w:sz="4" w:space="0" w:color="auto"/>
              <w:right w:val="single" w:sz="4" w:space="0" w:color="auto"/>
            </w:tcBorders>
            <w:shd w:val="clear" w:color="auto" w:fill="auto"/>
            <w:noWrap/>
            <w:vAlign w:val="bottom"/>
            <w:hideMark/>
          </w:tcPr>
          <w:p w14:paraId="5F42DA7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35.62</w:t>
            </w:r>
          </w:p>
        </w:tc>
        <w:tc>
          <w:tcPr>
            <w:tcW w:w="1127" w:type="dxa"/>
            <w:tcBorders>
              <w:top w:val="nil"/>
              <w:left w:val="nil"/>
              <w:bottom w:val="single" w:sz="4" w:space="0" w:color="auto"/>
              <w:right w:val="single" w:sz="4" w:space="0" w:color="auto"/>
            </w:tcBorders>
            <w:shd w:val="clear" w:color="auto" w:fill="auto"/>
            <w:noWrap/>
            <w:vAlign w:val="bottom"/>
            <w:hideMark/>
          </w:tcPr>
          <w:p w14:paraId="22C3A4AE"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48.78</w:t>
            </w:r>
          </w:p>
        </w:tc>
        <w:tc>
          <w:tcPr>
            <w:tcW w:w="987" w:type="dxa"/>
            <w:tcBorders>
              <w:top w:val="nil"/>
              <w:left w:val="nil"/>
              <w:bottom w:val="single" w:sz="4" w:space="0" w:color="auto"/>
              <w:right w:val="single" w:sz="4" w:space="0" w:color="auto"/>
            </w:tcBorders>
            <w:shd w:val="clear" w:color="auto" w:fill="auto"/>
            <w:noWrap/>
            <w:vAlign w:val="bottom"/>
            <w:hideMark/>
          </w:tcPr>
          <w:p w14:paraId="4691697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33.33</w:t>
            </w:r>
          </w:p>
        </w:tc>
      </w:tr>
      <w:tr w:rsidR="00FE35A9" w:rsidRPr="0044118C" w14:paraId="1396322B"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03682D8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Sex: male</w:t>
            </w:r>
          </w:p>
        </w:tc>
        <w:tc>
          <w:tcPr>
            <w:tcW w:w="1285" w:type="dxa"/>
            <w:tcBorders>
              <w:top w:val="nil"/>
              <w:left w:val="nil"/>
              <w:bottom w:val="single" w:sz="4" w:space="0" w:color="auto"/>
              <w:right w:val="single" w:sz="4" w:space="0" w:color="auto"/>
            </w:tcBorders>
            <w:shd w:val="clear" w:color="auto" w:fill="auto"/>
            <w:noWrap/>
            <w:vAlign w:val="bottom"/>
            <w:hideMark/>
          </w:tcPr>
          <w:p w14:paraId="4EA738F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59.26</w:t>
            </w:r>
          </w:p>
        </w:tc>
        <w:tc>
          <w:tcPr>
            <w:tcW w:w="974" w:type="dxa"/>
            <w:tcBorders>
              <w:top w:val="nil"/>
              <w:left w:val="nil"/>
              <w:bottom w:val="single" w:sz="4" w:space="0" w:color="auto"/>
              <w:right w:val="single" w:sz="4" w:space="0" w:color="auto"/>
            </w:tcBorders>
            <w:shd w:val="clear" w:color="auto" w:fill="BFBFBF" w:themeFill="background1" w:themeFillShade="BF"/>
            <w:noWrap/>
            <w:vAlign w:val="bottom"/>
            <w:hideMark/>
          </w:tcPr>
          <w:p w14:paraId="0041E41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79.49</w:t>
            </w:r>
          </w:p>
        </w:tc>
        <w:tc>
          <w:tcPr>
            <w:tcW w:w="1127" w:type="dxa"/>
            <w:tcBorders>
              <w:top w:val="nil"/>
              <w:left w:val="nil"/>
              <w:bottom w:val="single" w:sz="4" w:space="0" w:color="auto"/>
              <w:right w:val="single" w:sz="4" w:space="0" w:color="auto"/>
            </w:tcBorders>
            <w:shd w:val="clear" w:color="auto" w:fill="000000" w:themeFill="text1"/>
            <w:noWrap/>
            <w:vAlign w:val="bottom"/>
            <w:hideMark/>
          </w:tcPr>
          <w:p w14:paraId="7AD7A68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71.15</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3E1BC1D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76.00</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49E90E1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72.60</w:t>
            </w:r>
          </w:p>
        </w:tc>
        <w:tc>
          <w:tcPr>
            <w:tcW w:w="1127" w:type="dxa"/>
            <w:tcBorders>
              <w:top w:val="nil"/>
              <w:left w:val="nil"/>
              <w:bottom w:val="single" w:sz="4" w:space="0" w:color="auto"/>
              <w:right w:val="single" w:sz="4" w:space="0" w:color="auto"/>
            </w:tcBorders>
            <w:shd w:val="clear" w:color="auto" w:fill="auto"/>
            <w:noWrap/>
            <w:vAlign w:val="bottom"/>
            <w:hideMark/>
          </w:tcPr>
          <w:p w14:paraId="0CCE0A7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68.29</w:t>
            </w:r>
          </w:p>
        </w:tc>
        <w:tc>
          <w:tcPr>
            <w:tcW w:w="9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773E14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66.67</w:t>
            </w:r>
          </w:p>
        </w:tc>
      </w:tr>
      <w:tr w:rsidR="00FE35A9" w:rsidRPr="0044118C" w14:paraId="31063456"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040F592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Mature</w:t>
            </w:r>
          </w:p>
        </w:tc>
        <w:tc>
          <w:tcPr>
            <w:tcW w:w="1285" w:type="dxa"/>
            <w:tcBorders>
              <w:top w:val="nil"/>
              <w:left w:val="nil"/>
              <w:bottom w:val="single" w:sz="4" w:space="0" w:color="auto"/>
              <w:right w:val="single" w:sz="4" w:space="0" w:color="auto"/>
            </w:tcBorders>
            <w:shd w:val="clear" w:color="auto" w:fill="auto"/>
            <w:noWrap/>
            <w:vAlign w:val="bottom"/>
            <w:hideMark/>
          </w:tcPr>
          <w:p w14:paraId="5BDB726C"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40.74</w:t>
            </w:r>
          </w:p>
        </w:tc>
        <w:tc>
          <w:tcPr>
            <w:tcW w:w="974" w:type="dxa"/>
            <w:tcBorders>
              <w:top w:val="nil"/>
              <w:left w:val="nil"/>
              <w:bottom w:val="single" w:sz="4" w:space="0" w:color="auto"/>
              <w:right w:val="single" w:sz="4" w:space="0" w:color="auto"/>
            </w:tcBorders>
            <w:shd w:val="clear" w:color="auto" w:fill="auto"/>
            <w:noWrap/>
            <w:vAlign w:val="bottom"/>
            <w:hideMark/>
          </w:tcPr>
          <w:p w14:paraId="0CC189D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23.08</w:t>
            </w:r>
          </w:p>
        </w:tc>
        <w:tc>
          <w:tcPr>
            <w:tcW w:w="1127" w:type="dxa"/>
            <w:tcBorders>
              <w:top w:val="nil"/>
              <w:left w:val="nil"/>
              <w:bottom w:val="single" w:sz="4" w:space="0" w:color="auto"/>
              <w:right w:val="single" w:sz="4" w:space="0" w:color="auto"/>
            </w:tcBorders>
            <w:shd w:val="clear" w:color="auto" w:fill="auto"/>
            <w:noWrap/>
            <w:vAlign w:val="bottom"/>
            <w:hideMark/>
          </w:tcPr>
          <w:p w14:paraId="77D24A4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25.68</w:t>
            </w:r>
          </w:p>
        </w:tc>
        <w:tc>
          <w:tcPr>
            <w:tcW w:w="1127" w:type="dxa"/>
            <w:tcBorders>
              <w:top w:val="nil"/>
              <w:left w:val="nil"/>
              <w:bottom w:val="single" w:sz="4" w:space="0" w:color="auto"/>
              <w:right w:val="single" w:sz="4" w:space="0" w:color="auto"/>
            </w:tcBorders>
            <w:shd w:val="clear" w:color="auto" w:fill="000000" w:themeFill="text1"/>
            <w:noWrap/>
            <w:vAlign w:val="bottom"/>
            <w:hideMark/>
          </w:tcPr>
          <w:p w14:paraId="5977AC8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24.04</w:t>
            </w:r>
          </w:p>
        </w:tc>
        <w:tc>
          <w:tcPr>
            <w:tcW w:w="1127" w:type="dxa"/>
            <w:tcBorders>
              <w:top w:val="nil"/>
              <w:left w:val="nil"/>
              <w:bottom w:val="single" w:sz="4" w:space="0" w:color="auto"/>
              <w:right w:val="single" w:sz="4" w:space="0" w:color="auto"/>
            </w:tcBorders>
            <w:shd w:val="clear" w:color="auto" w:fill="auto"/>
            <w:noWrap/>
            <w:vAlign w:val="bottom"/>
            <w:hideMark/>
          </w:tcPr>
          <w:p w14:paraId="5F2390B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28.77</w:t>
            </w:r>
          </w:p>
        </w:tc>
        <w:tc>
          <w:tcPr>
            <w:tcW w:w="1127" w:type="dxa"/>
            <w:tcBorders>
              <w:top w:val="nil"/>
              <w:left w:val="nil"/>
              <w:bottom w:val="single" w:sz="4" w:space="0" w:color="auto"/>
              <w:right w:val="single" w:sz="4" w:space="0" w:color="auto"/>
            </w:tcBorders>
            <w:shd w:val="clear" w:color="auto" w:fill="auto"/>
            <w:noWrap/>
            <w:vAlign w:val="bottom"/>
            <w:hideMark/>
          </w:tcPr>
          <w:p w14:paraId="7272864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29.27</w:t>
            </w:r>
          </w:p>
        </w:tc>
        <w:tc>
          <w:tcPr>
            <w:tcW w:w="987" w:type="dxa"/>
            <w:tcBorders>
              <w:top w:val="nil"/>
              <w:left w:val="nil"/>
              <w:bottom w:val="single" w:sz="4" w:space="0" w:color="auto"/>
              <w:right w:val="single" w:sz="4" w:space="0" w:color="auto"/>
            </w:tcBorders>
            <w:shd w:val="clear" w:color="auto" w:fill="auto"/>
            <w:noWrap/>
            <w:vAlign w:val="bottom"/>
            <w:hideMark/>
          </w:tcPr>
          <w:p w14:paraId="2E954F0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29.41</w:t>
            </w:r>
          </w:p>
        </w:tc>
      </w:tr>
      <w:tr w:rsidR="00FE35A9" w:rsidRPr="0044118C" w14:paraId="15CAD116"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56128AD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Quals</w:t>
            </w:r>
          </w:p>
        </w:tc>
        <w:tc>
          <w:tcPr>
            <w:tcW w:w="1285" w:type="dxa"/>
            <w:tcBorders>
              <w:top w:val="nil"/>
              <w:left w:val="nil"/>
              <w:bottom w:val="single" w:sz="4" w:space="0" w:color="auto"/>
              <w:right w:val="single" w:sz="4" w:space="0" w:color="auto"/>
            </w:tcBorders>
            <w:shd w:val="clear" w:color="auto" w:fill="BFBFBF" w:themeFill="background1" w:themeFillShade="BF"/>
            <w:noWrap/>
            <w:vAlign w:val="bottom"/>
            <w:hideMark/>
          </w:tcPr>
          <w:p w14:paraId="2064BAB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85.19</w:t>
            </w:r>
          </w:p>
        </w:tc>
        <w:tc>
          <w:tcPr>
            <w:tcW w:w="974" w:type="dxa"/>
            <w:tcBorders>
              <w:top w:val="nil"/>
              <w:left w:val="nil"/>
              <w:bottom w:val="single" w:sz="4" w:space="0" w:color="auto"/>
              <w:right w:val="single" w:sz="4" w:space="0" w:color="auto"/>
            </w:tcBorders>
            <w:shd w:val="clear" w:color="auto" w:fill="BFBFBF" w:themeFill="background1" w:themeFillShade="BF"/>
            <w:noWrap/>
            <w:vAlign w:val="bottom"/>
            <w:hideMark/>
          </w:tcPr>
          <w:p w14:paraId="535BADD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66.67</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7F28BCC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71.62</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58DF674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84.00</w:t>
            </w:r>
          </w:p>
        </w:tc>
        <w:tc>
          <w:tcPr>
            <w:tcW w:w="1127" w:type="dxa"/>
            <w:tcBorders>
              <w:top w:val="nil"/>
              <w:left w:val="nil"/>
              <w:bottom w:val="single" w:sz="4" w:space="0" w:color="auto"/>
              <w:right w:val="single" w:sz="4" w:space="0" w:color="auto"/>
            </w:tcBorders>
            <w:shd w:val="clear" w:color="auto" w:fill="000000" w:themeFill="text1"/>
            <w:noWrap/>
            <w:vAlign w:val="bottom"/>
            <w:hideMark/>
          </w:tcPr>
          <w:p w14:paraId="0D88E26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70.19</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5761A52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75.61</w:t>
            </w:r>
          </w:p>
        </w:tc>
        <w:tc>
          <w:tcPr>
            <w:tcW w:w="987" w:type="dxa"/>
            <w:tcBorders>
              <w:top w:val="nil"/>
              <w:left w:val="nil"/>
              <w:bottom w:val="single" w:sz="4" w:space="0" w:color="auto"/>
              <w:right w:val="single" w:sz="4" w:space="0" w:color="auto"/>
            </w:tcBorders>
            <w:shd w:val="clear" w:color="auto" w:fill="BFBFBF" w:themeFill="background1" w:themeFillShade="BF"/>
            <w:noWrap/>
            <w:vAlign w:val="bottom"/>
            <w:hideMark/>
          </w:tcPr>
          <w:p w14:paraId="580A14BF"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76.47</w:t>
            </w:r>
          </w:p>
        </w:tc>
      </w:tr>
      <w:tr w:rsidR="00FE35A9" w:rsidRPr="0044118C" w14:paraId="47FEB3DA"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20C3E97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IMD1&amp;2</w:t>
            </w:r>
          </w:p>
        </w:tc>
        <w:tc>
          <w:tcPr>
            <w:tcW w:w="1285" w:type="dxa"/>
            <w:tcBorders>
              <w:top w:val="nil"/>
              <w:left w:val="nil"/>
              <w:bottom w:val="single" w:sz="4" w:space="0" w:color="auto"/>
              <w:right w:val="single" w:sz="4" w:space="0" w:color="auto"/>
            </w:tcBorders>
            <w:shd w:val="clear" w:color="auto" w:fill="auto"/>
            <w:noWrap/>
            <w:vAlign w:val="bottom"/>
            <w:hideMark/>
          </w:tcPr>
          <w:p w14:paraId="16E08E7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48.15</w:t>
            </w:r>
          </w:p>
        </w:tc>
        <w:tc>
          <w:tcPr>
            <w:tcW w:w="974" w:type="dxa"/>
            <w:tcBorders>
              <w:top w:val="nil"/>
              <w:left w:val="nil"/>
              <w:bottom w:val="single" w:sz="4" w:space="0" w:color="auto"/>
              <w:right w:val="single" w:sz="4" w:space="0" w:color="auto"/>
            </w:tcBorders>
            <w:shd w:val="clear" w:color="auto" w:fill="auto"/>
            <w:noWrap/>
            <w:vAlign w:val="bottom"/>
            <w:hideMark/>
          </w:tcPr>
          <w:p w14:paraId="3FC5437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51.28</w:t>
            </w:r>
          </w:p>
        </w:tc>
        <w:tc>
          <w:tcPr>
            <w:tcW w:w="1127" w:type="dxa"/>
            <w:tcBorders>
              <w:top w:val="nil"/>
              <w:left w:val="nil"/>
              <w:bottom w:val="single" w:sz="4" w:space="0" w:color="auto"/>
              <w:right w:val="single" w:sz="4" w:space="0" w:color="auto"/>
            </w:tcBorders>
            <w:shd w:val="clear" w:color="auto" w:fill="auto"/>
            <w:noWrap/>
            <w:vAlign w:val="bottom"/>
            <w:hideMark/>
          </w:tcPr>
          <w:p w14:paraId="0DBA11D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37.84</w:t>
            </w:r>
          </w:p>
        </w:tc>
        <w:tc>
          <w:tcPr>
            <w:tcW w:w="1127" w:type="dxa"/>
            <w:tcBorders>
              <w:top w:val="nil"/>
              <w:left w:val="nil"/>
              <w:bottom w:val="single" w:sz="4" w:space="0" w:color="auto"/>
              <w:right w:val="single" w:sz="4" w:space="0" w:color="auto"/>
            </w:tcBorders>
            <w:shd w:val="clear" w:color="auto" w:fill="auto"/>
            <w:noWrap/>
            <w:vAlign w:val="bottom"/>
            <w:hideMark/>
          </w:tcPr>
          <w:p w14:paraId="364AFDE8"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48.00</w:t>
            </w:r>
          </w:p>
        </w:tc>
        <w:tc>
          <w:tcPr>
            <w:tcW w:w="1127" w:type="dxa"/>
            <w:tcBorders>
              <w:top w:val="nil"/>
              <w:left w:val="nil"/>
              <w:bottom w:val="single" w:sz="4" w:space="0" w:color="auto"/>
              <w:right w:val="single" w:sz="4" w:space="0" w:color="auto"/>
            </w:tcBorders>
            <w:shd w:val="clear" w:color="auto" w:fill="auto"/>
            <w:noWrap/>
            <w:vAlign w:val="bottom"/>
            <w:hideMark/>
          </w:tcPr>
          <w:p w14:paraId="75FB8BD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42.47</w:t>
            </w:r>
          </w:p>
        </w:tc>
        <w:tc>
          <w:tcPr>
            <w:tcW w:w="1127" w:type="dxa"/>
            <w:tcBorders>
              <w:top w:val="nil"/>
              <w:left w:val="nil"/>
              <w:bottom w:val="single" w:sz="4" w:space="0" w:color="auto"/>
              <w:right w:val="single" w:sz="4" w:space="0" w:color="auto"/>
            </w:tcBorders>
            <w:shd w:val="clear" w:color="auto" w:fill="000000" w:themeFill="text1"/>
            <w:noWrap/>
            <w:vAlign w:val="bottom"/>
            <w:hideMark/>
          </w:tcPr>
          <w:p w14:paraId="4E3099C9"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39.42</w:t>
            </w:r>
          </w:p>
        </w:tc>
        <w:tc>
          <w:tcPr>
            <w:tcW w:w="987" w:type="dxa"/>
            <w:tcBorders>
              <w:top w:val="nil"/>
              <w:left w:val="nil"/>
              <w:bottom w:val="single" w:sz="4" w:space="0" w:color="auto"/>
              <w:right w:val="single" w:sz="4" w:space="0" w:color="auto"/>
            </w:tcBorders>
            <w:shd w:val="clear" w:color="auto" w:fill="auto"/>
            <w:noWrap/>
            <w:vAlign w:val="bottom"/>
            <w:hideMark/>
          </w:tcPr>
          <w:p w14:paraId="3988966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58.82</w:t>
            </w:r>
          </w:p>
        </w:tc>
      </w:tr>
      <w:tr w:rsidR="00FE35A9" w:rsidRPr="0044118C" w14:paraId="0B1740FA" w14:textId="77777777" w:rsidTr="00A81245">
        <w:trPr>
          <w:trHeight w:val="300"/>
        </w:trPr>
        <w:tc>
          <w:tcPr>
            <w:tcW w:w="1262" w:type="dxa"/>
            <w:tcBorders>
              <w:top w:val="nil"/>
              <w:left w:val="single" w:sz="4" w:space="0" w:color="auto"/>
              <w:bottom w:val="single" w:sz="4" w:space="0" w:color="auto"/>
              <w:right w:val="single" w:sz="4" w:space="0" w:color="auto"/>
            </w:tcBorders>
            <w:shd w:val="clear" w:color="auto" w:fill="auto"/>
            <w:noWrap/>
            <w:vAlign w:val="bottom"/>
            <w:hideMark/>
          </w:tcPr>
          <w:p w14:paraId="11468226"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Polar 4</w:t>
            </w:r>
          </w:p>
        </w:tc>
        <w:tc>
          <w:tcPr>
            <w:tcW w:w="1285" w:type="dxa"/>
            <w:tcBorders>
              <w:top w:val="nil"/>
              <w:left w:val="nil"/>
              <w:bottom w:val="single" w:sz="4" w:space="0" w:color="auto"/>
              <w:right w:val="single" w:sz="4" w:space="0" w:color="auto"/>
            </w:tcBorders>
            <w:shd w:val="clear" w:color="auto" w:fill="BFBFBF" w:themeFill="background1" w:themeFillShade="BF"/>
            <w:noWrap/>
            <w:vAlign w:val="bottom"/>
            <w:hideMark/>
          </w:tcPr>
          <w:p w14:paraId="58FB980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62.96</w:t>
            </w:r>
          </w:p>
        </w:tc>
        <w:tc>
          <w:tcPr>
            <w:tcW w:w="974" w:type="dxa"/>
            <w:tcBorders>
              <w:top w:val="nil"/>
              <w:left w:val="nil"/>
              <w:bottom w:val="single" w:sz="4" w:space="0" w:color="auto"/>
              <w:right w:val="single" w:sz="4" w:space="0" w:color="auto"/>
            </w:tcBorders>
            <w:shd w:val="clear" w:color="auto" w:fill="auto"/>
            <w:noWrap/>
            <w:vAlign w:val="bottom"/>
            <w:hideMark/>
          </w:tcPr>
          <w:p w14:paraId="47038B5F"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43.59</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6E06A502"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45.95</w:t>
            </w:r>
          </w:p>
        </w:tc>
        <w:tc>
          <w:tcPr>
            <w:tcW w:w="1127" w:type="dxa"/>
            <w:tcBorders>
              <w:top w:val="nil"/>
              <w:left w:val="nil"/>
              <w:bottom w:val="single" w:sz="4" w:space="0" w:color="auto"/>
              <w:right w:val="single" w:sz="4" w:space="0" w:color="auto"/>
            </w:tcBorders>
            <w:shd w:val="clear" w:color="auto" w:fill="auto"/>
            <w:noWrap/>
            <w:vAlign w:val="bottom"/>
            <w:hideMark/>
          </w:tcPr>
          <w:p w14:paraId="0FF5345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60.00</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4CE5B5C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53.42</w:t>
            </w:r>
          </w:p>
        </w:tc>
        <w:tc>
          <w:tcPr>
            <w:tcW w:w="1127" w:type="dxa"/>
            <w:tcBorders>
              <w:top w:val="nil"/>
              <w:left w:val="nil"/>
              <w:bottom w:val="single" w:sz="4" w:space="0" w:color="auto"/>
              <w:right w:val="single" w:sz="4" w:space="0" w:color="auto"/>
            </w:tcBorders>
            <w:shd w:val="clear" w:color="auto" w:fill="BFBFBF" w:themeFill="background1" w:themeFillShade="BF"/>
            <w:noWrap/>
            <w:vAlign w:val="bottom"/>
            <w:hideMark/>
          </w:tcPr>
          <w:p w14:paraId="237AD09C"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73.17</w:t>
            </w:r>
          </w:p>
        </w:tc>
        <w:tc>
          <w:tcPr>
            <w:tcW w:w="987" w:type="dxa"/>
            <w:tcBorders>
              <w:top w:val="nil"/>
              <w:left w:val="nil"/>
              <w:bottom w:val="single" w:sz="4" w:space="0" w:color="auto"/>
              <w:right w:val="single" w:sz="4" w:space="0" w:color="auto"/>
            </w:tcBorders>
            <w:shd w:val="clear" w:color="auto" w:fill="000000" w:themeFill="text1"/>
            <w:noWrap/>
            <w:vAlign w:val="bottom"/>
            <w:hideMark/>
          </w:tcPr>
          <w:p w14:paraId="39A1B130"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49.04</w:t>
            </w:r>
          </w:p>
        </w:tc>
      </w:tr>
    </w:tbl>
    <w:p w14:paraId="162475B0"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0FC3A3A0"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These relationships are significant, since they suggest that key influencing factors for the referral to fitness to student (identified through non-attendance) are highly dependent on non-traditional entry qualifications, sex (</w:t>
      </w:r>
      <w:r>
        <w:rPr>
          <w:rFonts w:ascii="Tahoma" w:eastAsia="Times New Roman" w:hAnsi="Tahoma" w:cs="Tahoma"/>
          <w:color w:val="000000"/>
          <w:sz w:val="24"/>
          <w:szCs w:val="24"/>
          <w:lang w:eastAsia="en-GB"/>
        </w:rPr>
        <w:t xml:space="preserve">males are </w:t>
      </w:r>
      <w:r w:rsidRPr="0044118C">
        <w:rPr>
          <w:rFonts w:ascii="Tahoma" w:eastAsia="Times New Roman" w:hAnsi="Tahoma" w:cs="Tahoma"/>
          <w:color w:val="000000"/>
          <w:sz w:val="24"/>
          <w:szCs w:val="24"/>
          <w:lang w:eastAsia="en-GB"/>
        </w:rPr>
        <w:t>more likely to be referred to fitness to study) and location (Polar 4 quintiles 1&amp;2). This implies and supports the “What Works” agenda of Thomas et al. (2017). They note that: “</w:t>
      </w:r>
      <w:r>
        <w:rPr>
          <w:rFonts w:ascii="Tahoma" w:eastAsia="Times New Roman" w:hAnsi="Tahoma" w:cs="Tahoma"/>
          <w:color w:val="000000"/>
          <w:sz w:val="24"/>
          <w:szCs w:val="24"/>
          <w:lang w:eastAsia="en-GB"/>
        </w:rPr>
        <w:t>i</w:t>
      </w:r>
      <w:r w:rsidRPr="0044118C">
        <w:rPr>
          <w:rFonts w:ascii="Tahoma" w:eastAsia="Times New Roman" w:hAnsi="Tahoma" w:cs="Tahoma"/>
          <w:color w:val="000000"/>
          <w:sz w:val="24"/>
          <w:szCs w:val="24"/>
          <w:lang w:eastAsia="en-GB"/>
        </w:rPr>
        <w:t>nterventions or activities should aim to enhance student engagement and belonging through supportive peer relations, meaningful interaction between staff and students, developing students’ capacity as successful higher education (HE) learners, and providing an HE experience that is relevant to students’ interests and future goals” (p.4). This study provides reinforcing evidence for Thomas et al</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(2017) assertions that students are more likely to fall into patterns of non-attendance and without positive intervention and support (which had a more profound impact) these individuals are more likely to disengage with studies and eventually withdrawal. </w:t>
      </w:r>
    </w:p>
    <w:p w14:paraId="5F68FDED" w14:textId="77777777" w:rsidR="00FE35A9"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final part of this analysis correlated the number of students who undertook fitness to study during 2019-2020 with multiple intersections of the protected </w:t>
      </w:r>
      <w:r w:rsidRPr="0044118C">
        <w:rPr>
          <w:rFonts w:ascii="Tahoma" w:eastAsia="Times New Roman" w:hAnsi="Tahoma" w:cs="Tahoma"/>
          <w:color w:val="000000"/>
          <w:sz w:val="24"/>
          <w:szCs w:val="24"/>
          <w:lang w:eastAsia="en-GB"/>
        </w:rPr>
        <w:lastRenderedPageBreak/>
        <w:t xml:space="preserve">characteristics used in the study. The data is presented in two formats: initially number of students with 1, 2 or more than 3 of the identified characteristics (Table 5 and Figure 2); followed by a more comprehensive analysis for each of the five protected characteristics (Table 6). </w:t>
      </w:r>
    </w:p>
    <w:p w14:paraId="59E24DE7"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59D38AD5" w14:textId="77777777" w:rsidR="00FE35A9" w:rsidRPr="0044118C" w:rsidRDefault="00FE35A9" w:rsidP="001239FC">
      <w:pPr>
        <w:spacing w:line="360" w:lineRule="auto"/>
        <w:rPr>
          <w:rFonts w:ascii="Tahoma" w:eastAsia="Times New Roman" w:hAnsi="Tahoma" w:cs="Tahoma"/>
          <w:color w:val="000000"/>
          <w:sz w:val="24"/>
          <w:szCs w:val="24"/>
          <w:lang w:eastAsia="en-GB"/>
        </w:rPr>
      </w:pPr>
      <w:r w:rsidRPr="0044118C">
        <w:rPr>
          <w:rFonts w:ascii="Tahoma" w:hAnsi="Tahoma" w:cs="Tahoma"/>
          <w:noProof/>
          <w:sz w:val="24"/>
          <w:szCs w:val="24"/>
          <w:lang w:eastAsia="en-GB"/>
        </w:rPr>
        <w:drawing>
          <wp:inline distT="0" distB="0" distL="0" distR="0" wp14:anchorId="18DFDEB5" wp14:editId="61FFCE17">
            <wp:extent cx="5104015" cy="3408218"/>
            <wp:effectExtent l="0" t="0" r="190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81E725" w14:textId="77777777" w:rsidR="00FE35A9"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b/>
          <w:color w:val="000000"/>
          <w:sz w:val="24"/>
          <w:szCs w:val="24"/>
          <w:lang w:eastAsia="en-GB"/>
        </w:rPr>
        <w:t xml:space="preserve">Figure 2. Students with multiple protected characteristics intersections </w:t>
      </w:r>
    </w:p>
    <w:p w14:paraId="498D4125"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It is interesting and of significance that over 68% of the students referred into fitness to study had three or more of the protected characteristics (which will be explored more fully) and perhaps more interesting that only 3% had no protected characteristic (all female). A more detailed analysis revealed that the 11 students with one protected characteristic are predominantly male (7 in total). For those with two identified protected characteristics, 13 were male (68%) and of these 6 had a second protected characteristic of non-traditional qualifications, and 5 had the second characteristics of BAME. If we manipulate the data determined from the 19 students, it was found that 8 are BAME students (42%) and 9 are students with non-traditional qualifications (50%). There is a significant jump to students who were </w:t>
      </w:r>
      <w:r w:rsidRPr="0044118C">
        <w:rPr>
          <w:rFonts w:ascii="Tahoma" w:eastAsia="Times New Roman" w:hAnsi="Tahoma" w:cs="Tahoma"/>
          <w:color w:val="000000"/>
          <w:sz w:val="24"/>
          <w:szCs w:val="24"/>
          <w:lang w:eastAsia="en-GB"/>
        </w:rPr>
        <w:lastRenderedPageBreak/>
        <w:t>referred into fitness to study with 3 or more protected characteristics. Non-traditional entry qualifications accounted for 84.5%, 76% were male, 56% lived in areas with IMD (quintiles 1&amp;2) 44% were BAME and 35% disabled or mature. Further correlations of the protected characteristics were conducted, and this analysis is detailed in Table 6</w:t>
      </w:r>
      <w:r>
        <w:rPr>
          <w:rFonts w:ascii="Tahoma" w:eastAsia="Times New Roman" w:hAnsi="Tahoma" w:cs="Tahoma"/>
          <w:color w:val="000000"/>
          <w:sz w:val="24"/>
          <w:szCs w:val="24"/>
          <w:lang w:eastAsia="en-GB"/>
        </w:rPr>
        <w:t xml:space="preserve"> below</w:t>
      </w:r>
      <w:r w:rsidRPr="0044118C">
        <w:rPr>
          <w:rFonts w:ascii="Tahoma" w:eastAsia="Times New Roman" w:hAnsi="Tahoma" w:cs="Tahoma"/>
          <w:color w:val="000000"/>
          <w:sz w:val="24"/>
          <w:szCs w:val="24"/>
          <w:lang w:eastAsia="en-GB"/>
        </w:rPr>
        <w:t>.</w:t>
      </w:r>
    </w:p>
    <w:p w14:paraId="4B0905F4"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34362F7E" w14:textId="77777777" w:rsidR="00FE35A9" w:rsidRPr="0044118C" w:rsidRDefault="00FE35A9" w:rsidP="00FE35A9">
      <w:pPr>
        <w:spacing w:line="360" w:lineRule="auto"/>
        <w:rPr>
          <w:rFonts w:ascii="Tahoma" w:eastAsia="Times New Roman" w:hAnsi="Tahoma" w:cs="Tahoma"/>
          <w:b/>
          <w:color w:val="000000"/>
          <w:sz w:val="24"/>
          <w:szCs w:val="24"/>
          <w:lang w:eastAsia="en-GB"/>
        </w:rPr>
      </w:pPr>
      <w:r w:rsidRPr="0044118C">
        <w:rPr>
          <w:rFonts w:ascii="Tahoma" w:eastAsia="Times New Roman" w:hAnsi="Tahoma" w:cs="Tahoma"/>
          <w:b/>
          <w:color w:val="000000"/>
          <w:sz w:val="24"/>
          <w:szCs w:val="24"/>
          <w:lang w:eastAsia="en-GB"/>
        </w:rPr>
        <w:t>Table 5. Accumulated protected characteristics</w:t>
      </w:r>
    </w:p>
    <w:tbl>
      <w:tblPr>
        <w:tblStyle w:val="TableGrid"/>
        <w:tblW w:w="0" w:type="auto"/>
        <w:tblLook w:val="04A0" w:firstRow="1" w:lastRow="0" w:firstColumn="1" w:lastColumn="0" w:noHBand="0" w:noVBand="1"/>
      </w:tblPr>
      <w:tblGrid>
        <w:gridCol w:w="2857"/>
        <w:gridCol w:w="2651"/>
        <w:gridCol w:w="2794"/>
      </w:tblGrid>
      <w:tr w:rsidR="00FE35A9" w:rsidRPr="0044118C" w14:paraId="22E2C014" w14:textId="77777777" w:rsidTr="00A81245">
        <w:trPr>
          <w:trHeight w:val="383"/>
        </w:trPr>
        <w:tc>
          <w:tcPr>
            <w:tcW w:w="2857" w:type="dxa"/>
            <w:shd w:val="clear" w:color="auto" w:fill="auto"/>
          </w:tcPr>
          <w:p w14:paraId="1DC8C40D"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 xml:space="preserve">Protected Characteristics </w:t>
            </w:r>
          </w:p>
        </w:tc>
        <w:tc>
          <w:tcPr>
            <w:tcW w:w="2651" w:type="dxa"/>
            <w:shd w:val="clear" w:color="auto" w:fill="auto"/>
          </w:tcPr>
          <w:p w14:paraId="3A15E0F1"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No.</w:t>
            </w:r>
          </w:p>
        </w:tc>
        <w:tc>
          <w:tcPr>
            <w:tcW w:w="2794" w:type="dxa"/>
            <w:shd w:val="clear" w:color="auto" w:fill="auto"/>
          </w:tcPr>
          <w:p w14:paraId="74635C8F" w14:textId="77777777" w:rsidR="00FE35A9" w:rsidRPr="0044118C" w:rsidRDefault="00FE35A9" w:rsidP="00A81245">
            <w:pPr>
              <w:spacing w:line="360" w:lineRule="auto"/>
              <w:rPr>
                <w:rFonts w:ascii="Tahoma" w:eastAsia="Times New Roman" w:hAnsi="Tahoma" w:cs="Tahoma"/>
                <w:b/>
                <w:color w:val="000000"/>
                <w:sz w:val="20"/>
                <w:szCs w:val="20"/>
                <w:lang w:eastAsia="en-GB"/>
              </w:rPr>
            </w:pPr>
            <w:r w:rsidRPr="0044118C">
              <w:rPr>
                <w:rFonts w:ascii="Tahoma" w:eastAsia="Times New Roman" w:hAnsi="Tahoma" w:cs="Tahoma"/>
                <w:b/>
                <w:color w:val="000000"/>
                <w:sz w:val="20"/>
                <w:szCs w:val="20"/>
                <w:lang w:eastAsia="en-GB"/>
              </w:rPr>
              <w:t>Percentage (%)</w:t>
            </w:r>
          </w:p>
        </w:tc>
      </w:tr>
      <w:tr w:rsidR="00FE35A9" w:rsidRPr="0044118C" w14:paraId="625B6512" w14:textId="77777777" w:rsidTr="00A81245">
        <w:tc>
          <w:tcPr>
            <w:tcW w:w="2857" w:type="dxa"/>
          </w:tcPr>
          <w:p w14:paraId="6FEF88EB"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No characteristics</w:t>
            </w:r>
          </w:p>
        </w:tc>
        <w:tc>
          <w:tcPr>
            <w:tcW w:w="2651" w:type="dxa"/>
          </w:tcPr>
          <w:p w14:paraId="53648E6A"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3</w:t>
            </w:r>
          </w:p>
        </w:tc>
        <w:tc>
          <w:tcPr>
            <w:tcW w:w="2794" w:type="dxa"/>
          </w:tcPr>
          <w:p w14:paraId="53B859D7"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2.88</w:t>
            </w:r>
          </w:p>
        </w:tc>
      </w:tr>
      <w:tr w:rsidR="00FE35A9" w:rsidRPr="0044118C" w14:paraId="14E9B00C" w14:textId="77777777" w:rsidTr="00A81245">
        <w:tc>
          <w:tcPr>
            <w:tcW w:w="2857" w:type="dxa"/>
          </w:tcPr>
          <w:p w14:paraId="674146D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 xml:space="preserve">One </w:t>
            </w:r>
            <w:proofErr w:type="gramStart"/>
            <w:r w:rsidRPr="0044118C">
              <w:rPr>
                <w:rFonts w:ascii="Tahoma" w:eastAsia="Times New Roman" w:hAnsi="Tahoma" w:cs="Tahoma"/>
                <w:color w:val="000000"/>
                <w:sz w:val="20"/>
                <w:szCs w:val="20"/>
                <w:lang w:eastAsia="en-GB"/>
              </w:rPr>
              <w:t>characteristics</w:t>
            </w:r>
            <w:proofErr w:type="gramEnd"/>
          </w:p>
        </w:tc>
        <w:tc>
          <w:tcPr>
            <w:tcW w:w="2651" w:type="dxa"/>
          </w:tcPr>
          <w:p w14:paraId="4E46B39D"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11</w:t>
            </w:r>
          </w:p>
        </w:tc>
        <w:tc>
          <w:tcPr>
            <w:tcW w:w="2794" w:type="dxa"/>
          </w:tcPr>
          <w:p w14:paraId="09657943"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10.58</w:t>
            </w:r>
          </w:p>
        </w:tc>
      </w:tr>
      <w:tr w:rsidR="00FE35A9" w:rsidRPr="0044118C" w14:paraId="1F7241AD" w14:textId="77777777" w:rsidTr="00A81245">
        <w:tc>
          <w:tcPr>
            <w:tcW w:w="2857" w:type="dxa"/>
          </w:tcPr>
          <w:p w14:paraId="6413726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Two characteristics</w:t>
            </w:r>
          </w:p>
        </w:tc>
        <w:tc>
          <w:tcPr>
            <w:tcW w:w="2651" w:type="dxa"/>
          </w:tcPr>
          <w:p w14:paraId="5917F20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19</w:t>
            </w:r>
          </w:p>
        </w:tc>
        <w:tc>
          <w:tcPr>
            <w:tcW w:w="2794" w:type="dxa"/>
          </w:tcPr>
          <w:p w14:paraId="06AC6A2F"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18.27</w:t>
            </w:r>
          </w:p>
        </w:tc>
      </w:tr>
      <w:tr w:rsidR="00FE35A9" w:rsidRPr="0044118C" w14:paraId="38205B59" w14:textId="77777777" w:rsidTr="00A81245">
        <w:tc>
          <w:tcPr>
            <w:tcW w:w="2857" w:type="dxa"/>
          </w:tcPr>
          <w:p w14:paraId="7D4E50F4"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Three characteristics or above</w:t>
            </w:r>
          </w:p>
        </w:tc>
        <w:tc>
          <w:tcPr>
            <w:tcW w:w="2651" w:type="dxa"/>
          </w:tcPr>
          <w:p w14:paraId="408488F1"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71</w:t>
            </w:r>
          </w:p>
        </w:tc>
        <w:tc>
          <w:tcPr>
            <w:tcW w:w="2794" w:type="dxa"/>
          </w:tcPr>
          <w:p w14:paraId="37865965" w14:textId="77777777" w:rsidR="00FE35A9" w:rsidRPr="0044118C" w:rsidRDefault="00FE35A9" w:rsidP="00A81245">
            <w:pPr>
              <w:spacing w:line="360" w:lineRule="auto"/>
              <w:rPr>
                <w:rFonts w:ascii="Tahoma" w:eastAsia="Times New Roman" w:hAnsi="Tahoma" w:cs="Tahoma"/>
                <w:color w:val="000000"/>
                <w:sz w:val="20"/>
                <w:szCs w:val="20"/>
                <w:lang w:eastAsia="en-GB"/>
              </w:rPr>
            </w:pPr>
            <w:r w:rsidRPr="0044118C">
              <w:rPr>
                <w:rFonts w:ascii="Tahoma" w:eastAsia="Times New Roman" w:hAnsi="Tahoma" w:cs="Tahoma"/>
                <w:color w:val="000000"/>
                <w:sz w:val="20"/>
                <w:szCs w:val="20"/>
                <w:lang w:eastAsia="en-GB"/>
              </w:rPr>
              <w:t>68.27</w:t>
            </w:r>
          </w:p>
        </w:tc>
      </w:tr>
    </w:tbl>
    <w:p w14:paraId="4C5D2F23"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2DE62855" w14:textId="77777777" w:rsidR="00FE35A9" w:rsidRPr="0044118C" w:rsidRDefault="00FE35A9" w:rsidP="00FE35A9">
      <w:pPr>
        <w:spacing w:line="360" w:lineRule="auto"/>
        <w:rPr>
          <w:rFonts w:ascii="Tahoma" w:eastAsia="Times New Roman" w:hAnsi="Tahoma" w:cs="Tahoma"/>
          <w:b/>
          <w:color w:val="000000"/>
          <w:sz w:val="24"/>
          <w:szCs w:val="24"/>
          <w:lang w:eastAsia="en-GB"/>
        </w:rPr>
      </w:pPr>
      <w:r w:rsidRPr="0044118C">
        <w:rPr>
          <w:rFonts w:ascii="Tahoma" w:eastAsia="Times New Roman" w:hAnsi="Tahoma" w:cs="Tahoma"/>
          <w:b/>
          <w:color w:val="000000"/>
          <w:sz w:val="24"/>
          <w:szCs w:val="24"/>
          <w:lang w:eastAsia="en-GB"/>
        </w:rPr>
        <w:t xml:space="preserve">Table 6. Highest related second characteristic </w:t>
      </w:r>
      <w:r w:rsidRPr="0044118C">
        <w:rPr>
          <w:rFonts w:ascii="Tahoma" w:hAnsi="Tahoma" w:cs="Tahoma"/>
          <w:b/>
          <w:sz w:val="16"/>
          <w:szCs w:val="16"/>
        </w:rPr>
        <w:t>n=104</w:t>
      </w:r>
    </w:p>
    <w:tbl>
      <w:tblPr>
        <w:tblStyle w:val="TableGrid"/>
        <w:tblW w:w="0" w:type="auto"/>
        <w:tblLook w:val="04A0" w:firstRow="1" w:lastRow="0" w:firstColumn="1" w:lastColumn="0" w:noHBand="0" w:noVBand="1"/>
      </w:tblPr>
      <w:tblGrid>
        <w:gridCol w:w="1384"/>
        <w:gridCol w:w="1089"/>
        <w:gridCol w:w="1131"/>
        <w:gridCol w:w="1804"/>
        <w:gridCol w:w="1804"/>
        <w:gridCol w:w="1804"/>
      </w:tblGrid>
      <w:tr w:rsidR="00FE35A9" w:rsidRPr="0044118C" w14:paraId="1BE2351A" w14:textId="77777777" w:rsidTr="00A81245">
        <w:tc>
          <w:tcPr>
            <w:tcW w:w="1413" w:type="dxa"/>
          </w:tcPr>
          <w:p w14:paraId="71A61DD1" w14:textId="77777777" w:rsidR="00FE35A9" w:rsidRPr="0044118C" w:rsidRDefault="00FE35A9" w:rsidP="00A81245">
            <w:pPr>
              <w:spacing w:line="360" w:lineRule="auto"/>
              <w:jc w:val="both"/>
              <w:rPr>
                <w:rFonts w:ascii="Tahoma" w:hAnsi="Tahoma" w:cs="Tahoma"/>
                <w:b/>
                <w:sz w:val="20"/>
                <w:szCs w:val="20"/>
              </w:rPr>
            </w:pPr>
            <w:r w:rsidRPr="0044118C">
              <w:rPr>
                <w:rFonts w:ascii="Tahoma" w:hAnsi="Tahoma" w:cs="Tahoma"/>
                <w:b/>
                <w:sz w:val="20"/>
                <w:szCs w:val="20"/>
              </w:rPr>
              <w:t>a</w:t>
            </w:r>
          </w:p>
        </w:tc>
        <w:tc>
          <w:tcPr>
            <w:tcW w:w="1003" w:type="dxa"/>
          </w:tcPr>
          <w:p w14:paraId="0CD2CC12" w14:textId="77777777" w:rsidR="00FE35A9" w:rsidRPr="0044118C" w:rsidRDefault="00FE35A9" w:rsidP="00A81245">
            <w:pPr>
              <w:spacing w:line="360" w:lineRule="auto"/>
              <w:jc w:val="both"/>
              <w:rPr>
                <w:rFonts w:ascii="Tahoma" w:hAnsi="Tahoma" w:cs="Tahoma"/>
                <w:b/>
                <w:sz w:val="20"/>
                <w:szCs w:val="20"/>
              </w:rPr>
            </w:pPr>
            <w:r w:rsidRPr="0044118C">
              <w:rPr>
                <w:rFonts w:ascii="Tahoma" w:hAnsi="Tahoma" w:cs="Tahoma"/>
                <w:b/>
                <w:sz w:val="20"/>
                <w:szCs w:val="20"/>
              </w:rPr>
              <w:t>b</w:t>
            </w:r>
          </w:p>
        </w:tc>
        <w:tc>
          <w:tcPr>
            <w:tcW w:w="1134" w:type="dxa"/>
          </w:tcPr>
          <w:p w14:paraId="0DEB8CCF" w14:textId="77777777" w:rsidR="00FE35A9" w:rsidRPr="0044118C" w:rsidRDefault="00FE35A9" w:rsidP="00A81245">
            <w:pPr>
              <w:spacing w:line="360" w:lineRule="auto"/>
              <w:jc w:val="both"/>
              <w:rPr>
                <w:rFonts w:ascii="Tahoma" w:hAnsi="Tahoma" w:cs="Tahoma"/>
                <w:b/>
                <w:sz w:val="20"/>
                <w:szCs w:val="20"/>
              </w:rPr>
            </w:pPr>
            <w:r w:rsidRPr="0044118C">
              <w:rPr>
                <w:rFonts w:ascii="Tahoma" w:hAnsi="Tahoma" w:cs="Tahoma"/>
                <w:b/>
                <w:sz w:val="20"/>
                <w:szCs w:val="20"/>
              </w:rPr>
              <w:t>c</w:t>
            </w:r>
          </w:p>
        </w:tc>
        <w:tc>
          <w:tcPr>
            <w:tcW w:w="1822" w:type="dxa"/>
          </w:tcPr>
          <w:p w14:paraId="20859281" w14:textId="77777777" w:rsidR="00FE35A9" w:rsidRPr="0044118C" w:rsidRDefault="00FE35A9" w:rsidP="00A81245">
            <w:pPr>
              <w:spacing w:line="360" w:lineRule="auto"/>
              <w:jc w:val="both"/>
              <w:rPr>
                <w:rFonts w:ascii="Tahoma" w:hAnsi="Tahoma" w:cs="Tahoma"/>
                <w:b/>
                <w:sz w:val="20"/>
                <w:szCs w:val="20"/>
              </w:rPr>
            </w:pPr>
            <w:r w:rsidRPr="0044118C">
              <w:rPr>
                <w:rFonts w:ascii="Tahoma" w:hAnsi="Tahoma" w:cs="Tahoma"/>
                <w:b/>
                <w:sz w:val="20"/>
                <w:szCs w:val="20"/>
              </w:rPr>
              <w:t>d</w:t>
            </w:r>
          </w:p>
        </w:tc>
        <w:tc>
          <w:tcPr>
            <w:tcW w:w="1822" w:type="dxa"/>
          </w:tcPr>
          <w:p w14:paraId="3F522645" w14:textId="77777777" w:rsidR="00FE35A9" w:rsidRPr="0044118C" w:rsidRDefault="00FE35A9" w:rsidP="00A81245">
            <w:pPr>
              <w:spacing w:line="360" w:lineRule="auto"/>
              <w:jc w:val="both"/>
              <w:rPr>
                <w:rFonts w:ascii="Tahoma" w:hAnsi="Tahoma" w:cs="Tahoma"/>
                <w:b/>
                <w:sz w:val="20"/>
                <w:szCs w:val="20"/>
              </w:rPr>
            </w:pPr>
            <w:r w:rsidRPr="0044118C">
              <w:rPr>
                <w:rFonts w:ascii="Tahoma" w:hAnsi="Tahoma" w:cs="Tahoma"/>
                <w:b/>
                <w:sz w:val="20"/>
                <w:szCs w:val="20"/>
              </w:rPr>
              <w:t>e</w:t>
            </w:r>
          </w:p>
        </w:tc>
        <w:tc>
          <w:tcPr>
            <w:tcW w:w="1822" w:type="dxa"/>
          </w:tcPr>
          <w:p w14:paraId="4D9302E0" w14:textId="77777777" w:rsidR="00FE35A9" w:rsidRPr="0044118C" w:rsidRDefault="00FE35A9" w:rsidP="00A81245">
            <w:pPr>
              <w:spacing w:line="360" w:lineRule="auto"/>
              <w:jc w:val="both"/>
              <w:rPr>
                <w:rFonts w:ascii="Tahoma" w:hAnsi="Tahoma" w:cs="Tahoma"/>
                <w:b/>
                <w:sz w:val="20"/>
                <w:szCs w:val="20"/>
              </w:rPr>
            </w:pPr>
            <w:r w:rsidRPr="0044118C">
              <w:rPr>
                <w:rFonts w:ascii="Tahoma" w:hAnsi="Tahoma" w:cs="Tahoma"/>
                <w:b/>
                <w:sz w:val="20"/>
                <w:szCs w:val="20"/>
              </w:rPr>
              <w:t>f</w:t>
            </w:r>
          </w:p>
        </w:tc>
      </w:tr>
      <w:tr w:rsidR="00FE35A9" w:rsidRPr="0044118C" w14:paraId="007467B2" w14:textId="77777777" w:rsidTr="00A81245">
        <w:tc>
          <w:tcPr>
            <w:tcW w:w="1413" w:type="dxa"/>
          </w:tcPr>
          <w:p w14:paraId="501BE53C" w14:textId="77777777" w:rsidR="00FE35A9" w:rsidRPr="0044118C" w:rsidRDefault="00FE35A9" w:rsidP="00A81245">
            <w:pPr>
              <w:spacing w:line="360" w:lineRule="auto"/>
              <w:jc w:val="both"/>
              <w:rPr>
                <w:rFonts w:ascii="Tahoma" w:hAnsi="Tahoma" w:cs="Tahoma"/>
                <w:b/>
                <w:sz w:val="20"/>
                <w:szCs w:val="20"/>
              </w:rPr>
            </w:pPr>
          </w:p>
        </w:tc>
        <w:tc>
          <w:tcPr>
            <w:tcW w:w="1003" w:type="dxa"/>
          </w:tcPr>
          <w:p w14:paraId="593610E0" w14:textId="77777777" w:rsidR="00FE35A9" w:rsidRPr="0044118C" w:rsidRDefault="00FE35A9" w:rsidP="00A81245">
            <w:pPr>
              <w:spacing w:line="360" w:lineRule="auto"/>
              <w:rPr>
                <w:rFonts w:ascii="Tahoma" w:hAnsi="Tahoma" w:cs="Tahoma"/>
                <w:b/>
                <w:sz w:val="20"/>
                <w:szCs w:val="20"/>
              </w:rPr>
            </w:pPr>
            <w:r w:rsidRPr="0044118C">
              <w:rPr>
                <w:rFonts w:ascii="Tahoma" w:hAnsi="Tahoma" w:cs="Tahoma"/>
                <w:b/>
                <w:sz w:val="20"/>
                <w:szCs w:val="20"/>
              </w:rPr>
              <w:t>No of students</w:t>
            </w:r>
          </w:p>
        </w:tc>
        <w:tc>
          <w:tcPr>
            <w:tcW w:w="1134" w:type="dxa"/>
          </w:tcPr>
          <w:p w14:paraId="0A3258AA" w14:textId="77777777" w:rsidR="00FE35A9" w:rsidRPr="0044118C" w:rsidRDefault="00FE35A9" w:rsidP="00A81245">
            <w:pPr>
              <w:spacing w:line="360" w:lineRule="auto"/>
              <w:rPr>
                <w:rFonts w:ascii="Tahoma" w:hAnsi="Tahoma" w:cs="Tahoma"/>
                <w:b/>
                <w:sz w:val="20"/>
                <w:szCs w:val="20"/>
              </w:rPr>
            </w:pPr>
            <w:r w:rsidRPr="0044118C">
              <w:rPr>
                <w:rFonts w:ascii="Tahoma" w:hAnsi="Tahoma" w:cs="Tahoma"/>
                <w:b/>
                <w:sz w:val="20"/>
                <w:szCs w:val="20"/>
              </w:rPr>
              <w:t xml:space="preserve">% of students </w:t>
            </w:r>
          </w:p>
        </w:tc>
        <w:tc>
          <w:tcPr>
            <w:tcW w:w="1822" w:type="dxa"/>
          </w:tcPr>
          <w:p w14:paraId="48802BD4" w14:textId="77777777" w:rsidR="00FE35A9" w:rsidRPr="0044118C" w:rsidRDefault="00FE35A9" w:rsidP="00A81245">
            <w:pPr>
              <w:spacing w:line="360" w:lineRule="auto"/>
              <w:rPr>
                <w:rFonts w:ascii="Tahoma" w:hAnsi="Tahoma" w:cs="Tahoma"/>
                <w:b/>
                <w:sz w:val="20"/>
                <w:szCs w:val="20"/>
              </w:rPr>
            </w:pPr>
            <w:r w:rsidRPr="0044118C">
              <w:rPr>
                <w:rFonts w:ascii="Tahoma" w:hAnsi="Tahoma" w:cs="Tahoma"/>
                <w:b/>
                <w:sz w:val="20"/>
                <w:szCs w:val="20"/>
              </w:rPr>
              <w:t>1</w:t>
            </w:r>
            <w:r w:rsidRPr="0044118C">
              <w:rPr>
                <w:rFonts w:ascii="Tahoma" w:hAnsi="Tahoma" w:cs="Tahoma"/>
                <w:b/>
                <w:sz w:val="20"/>
                <w:szCs w:val="20"/>
                <w:vertAlign w:val="superscript"/>
              </w:rPr>
              <w:t>st</w:t>
            </w:r>
            <w:r>
              <w:rPr>
                <w:rFonts w:ascii="Tahoma" w:hAnsi="Tahoma" w:cs="Tahoma"/>
                <w:b/>
                <w:sz w:val="20"/>
                <w:szCs w:val="20"/>
                <w:vertAlign w:val="superscript"/>
              </w:rPr>
              <w:t xml:space="preserve"> </w:t>
            </w:r>
            <w:r w:rsidRPr="0044118C">
              <w:rPr>
                <w:rFonts w:ascii="Tahoma" w:hAnsi="Tahoma" w:cs="Tahoma"/>
                <w:b/>
                <w:sz w:val="20"/>
                <w:szCs w:val="20"/>
              </w:rPr>
              <w:t>related characteristic</w:t>
            </w:r>
          </w:p>
        </w:tc>
        <w:tc>
          <w:tcPr>
            <w:tcW w:w="1822" w:type="dxa"/>
          </w:tcPr>
          <w:p w14:paraId="781E3516" w14:textId="77777777" w:rsidR="00FE35A9" w:rsidRPr="0044118C" w:rsidRDefault="00FE35A9" w:rsidP="00A81245">
            <w:pPr>
              <w:spacing w:line="360" w:lineRule="auto"/>
              <w:rPr>
                <w:rFonts w:ascii="Tahoma" w:hAnsi="Tahoma" w:cs="Tahoma"/>
                <w:b/>
                <w:sz w:val="20"/>
                <w:szCs w:val="20"/>
              </w:rPr>
            </w:pPr>
            <w:r w:rsidRPr="0044118C">
              <w:rPr>
                <w:rFonts w:ascii="Tahoma" w:hAnsi="Tahoma" w:cs="Tahoma"/>
                <w:b/>
                <w:sz w:val="20"/>
                <w:szCs w:val="20"/>
              </w:rPr>
              <w:t>2</w:t>
            </w:r>
            <w:r w:rsidRPr="0044118C">
              <w:rPr>
                <w:rFonts w:ascii="Tahoma" w:hAnsi="Tahoma" w:cs="Tahoma"/>
                <w:b/>
                <w:sz w:val="20"/>
                <w:szCs w:val="20"/>
                <w:vertAlign w:val="superscript"/>
              </w:rPr>
              <w:t>nd</w:t>
            </w:r>
            <w:r w:rsidRPr="0044118C">
              <w:rPr>
                <w:rFonts w:ascii="Tahoma" w:hAnsi="Tahoma" w:cs="Tahoma"/>
                <w:b/>
                <w:sz w:val="20"/>
                <w:szCs w:val="20"/>
              </w:rPr>
              <w:t xml:space="preserve"> related characteristic</w:t>
            </w:r>
          </w:p>
        </w:tc>
        <w:tc>
          <w:tcPr>
            <w:tcW w:w="1822" w:type="dxa"/>
          </w:tcPr>
          <w:p w14:paraId="39E77B5D" w14:textId="77777777" w:rsidR="00FE35A9" w:rsidRPr="0044118C" w:rsidRDefault="00FE35A9" w:rsidP="00A81245">
            <w:pPr>
              <w:spacing w:line="360" w:lineRule="auto"/>
              <w:rPr>
                <w:rFonts w:ascii="Tahoma" w:hAnsi="Tahoma" w:cs="Tahoma"/>
                <w:b/>
                <w:sz w:val="20"/>
                <w:szCs w:val="20"/>
              </w:rPr>
            </w:pPr>
            <w:r w:rsidRPr="0044118C">
              <w:rPr>
                <w:rFonts w:ascii="Tahoma" w:hAnsi="Tahoma" w:cs="Tahoma"/>
                <w:b/>
                <w:sz w:val="20"/>
                <w:szCs w:val="20"/>
              </w:rPr>
              <w:t>3rd related characteristic</w:t>
            </w:r>
          </w:p>
        </w:tc>
      </w:tr>
      <w:tr w:rsidR="00FE35A9" w:rsidRPr="0044118C" w14:paraId="3BF81527" w14:textId="77777777" w:rsidTr="00A81245">
        <w:tc>
          <w:tcPr>
            <w:tcW w:w="1413" w:type="dxa"/>
          </w:tcPr>
          <w:p w14:paraId="0CBAC107"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Male</w:t>
            </w:r>
          </w:p>
        </w:tc>
        <w:tc>
          <w:tcPr>
            <w:tcW w:w="1003" w:type="dxa"/>
          </w:tcPr>
          <w:p w14:paraId="738BE735"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74</w:t>
            </w:r>
          </w:p>
        </w:tc>
        <w:tc>
          <w:tcPr>
            <w:tcW w:w="1134" w:type="dxa"/>
          </w:tcPr>
          <w:p w14:paraId="5931D46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71.15</w:t>
            </w:r>
          </w:p>
        </w:tc>
        <w:tc>
          <w:tcPr>
            <w:tcW w:w="1822" w:type="dxa"/>
          </w:tcPr>
          <w:p w14:paraId="67AE441D"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 50.96%</w:t>
            </w:r>
          </w:p>
        </w:tc>
        <w:tc>
          <w:tcPr>
            <w:tcW w:w="1822" w:type="dxa"/>
          </w:tcPr>
          <w:p w14:paraId="2377FE6E"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Polar 26.92%</w:t>
            </w:r>
          </w:p>
        </w:tc>
        <w:tc>
          <w:tcPr>
            <w:tcW w:w="1822" w:type="dxa"/>
          </w:tcPr>
          <w:p w14:paraId="4D687908"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BAME 7.69%</w:t>
            </w:r>
          </w:p>
        </w:tc>
      </w:tr>
      <w:tr w:rsidR="00FE35A9" w:rsidRPr="0044118C" w14:paraId="11BB0A18" w14:textId="77777777" w:rsidTr="00A81245">
        <w:tc>
          <w:tcPr>
            <w:tcW w:w="1413" w:type="dxa"/>
          </w:tcPr>
          <w:p w14:paraId="37504C90"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w:t>
            </w:r>
          </w:p>
        </w:tc>
        <w:tc>
          <w:tcPr>
            <w:tcW w:w="1003" w:type="dxa"/>
          </w:tcPr>
          <w:p w14:paraId="1E96108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73</w:t>
            </w:r>
          </w:p>
        </w:tc>
        <w:tc>
          <w:tcPr>
            <w:tcW w:w="1134" w:type="dxa"/>
          </w:tcPr>
          <w:p w14:paraId="7E04A0D8"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70.19</w:t>
            </w:r>
          </w:p>
        </w:tc>
        <w:tc>
          <w:tcPr>
            <w:tcW w:w="1822" w:type="dxa"/>
          </w:tcPr>
          <w:p w14:paraId="129B7934"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Male 50.96%</w:t>
            </w:r>
          </w:p>
        </w:tc>
        <w:tc>
          <w:tcPr>
            <w:tcW w:w="1822" w:type="dxa"/>
          </w:tcPr>
          <w:p w14:paraId="718587BF"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Polar 26.92%</w:t>
            </w:r>
          </w:p>
        </w:tc>
        <w:tc>
          <w:tcPr>
            <w:tcW w:w="1822" w:type="dxa"/>
          </w:tcPr>
          <w:p w14:paraId="2AB58BA5"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IMD 15.38%</w:t>
            </w:r>
          </w:p>
        </w:tc>
      </w:tr>
      <w:tr w:rsidR="00FE35A9" w:rsidRPr="0044118C" w14:paraId="71FA14BB" w14:textId="77777777" w:rsidTr="00A81245">
        <w:tc>
          <w:tcPr>
            <w:tcW w:w="1413" w:type="dxa"/>
          </w:tcPr>
          <w:p w14:paraId="4F7EE354"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Polar 4</w:t>
            </w:r>
          </w:p>
        </w:tc>
        <w:tc>
          <w:tcPr>
            <w:tcW w:w="1003" w:type="dxa"/>
          </w:tcPr>
          <w:p w14:paraId="51E3F89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51</w:t>
            </w:r>
          </w:p>
        </w:tc>
        <w:tc>
          <w:tcPr>
            <w:tcW w:w="1134" w:type="dxa"/>
          </w:tcPr>
          <w:p w14:paraId="31C481FD"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49.04</w:t>
            </w:r>
          </w:p>
        </w:tc>
        <w:tc>
          <w:tcPr>
            <w:tcW w:w="1822" w:type="dxa"/>
          </w:tcPr>
          <w:p w14:paraId="5ABB852D"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 37.50%</w:t>
            </w:r>
          </w:p>
        </w:tc>
        <w:tc>
          <w:tcPr>
            <w:tcW w:w="1822" w:type="dxa"/>
          </w:tcPr>
          <w:p w14:paraId="66F0E703"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Male 26.92%</w:t>
            </w:r>
          </w:p>
        </w:tc>
        <w:tc>
          <w:tcPr>
            <w:tcW w:w="1822" w:type="dxa"/>
          </w:tcPr>
          <w:p w14:paraId="42DB4BDC"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IMD 15.38%</w:t>
            </w:r>
          </w:p>
        </w:tc>
      </w:tr>
      <w:tr w:rsidR="00FE35A9" w:rsidRPr="0044118C" w14:paraId="4DC4CA4F" w14:textId="77777777" w:rsidTr="00A81245">
        <w:tc>
          <w:tcPr>
            <w:tcW w:w="1413" w:type="dxa"/>
          </w:tcPr>
          <w:p w14:paraId="21FA33A9"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IMD (1&amp;2)</w:t>
            </w:r>
          </w:p>
        </w:tc>
        <w:tc>
          <w:tcPr>
            <w:tcW w:w="1003" w:type="dxa"/>
          </w:tcPr>
          <w:p w14:paraId="169C9943"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41</w:t>
            </w:r>
          </w:p>
        </w:tc>
        <w:tc>
          <w:tcPr>
            <w:tcW w:w="1134" w:type="dxa"/>
          </w:tcPr>
          <w:p w14:paraId="10B06207"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39.42</w:t>
            </w:r>
          </w:p>
        </w:tc>
        <w:tc>
          <w:tcPr>
            <w:tcW w:w="1822" w:type="dxa"/>
          </w:tcPr>
          <w:p w14:paraId="59AD7358"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 29.81%</w:t>
            </w:r>
          </w:p>
        </w:tc>
        <w:tc>
          <w:tcPr>
            <w:tcW w:w="1822" w:type="dxa"/>
          </w:tcPr>
          <w:p w14:paraId="6E2ED7C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 xml:space="preserve">Polar 22.12% </w:t>
            </w:r>
          </w:p>
        </w:tc>
        <w:tc>
          <w:tcPr>
            <w:tcW w:w="1822" w:type="dxa"/>
          </w:tcPr>
          <w:p w14:paraId="1618BAD9"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Male 15.38%</w:t>
            </w:r>
          </w:p>
        </w:tc>
      </w:tr>
      <w:tr w:rsidR="00FE35A9" w:rsidRPr="0044118C" w14:paraId="440326F6" w14:textId="77777777" w:rsidTr="00A81245">
        <w:tc>
          <w:tcPr>
            <w:tcW w:w="1413" w:type="dxa"/>
          </w:tcPr>
          <w:p w14:paraId="11920A60"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BAME</w:t>
            </w:r>
          </w:p>
        </w:tc>
        <w:tc>
          <w:tcPr>
            <w:tcW w:w="1003" w:type="dxa"/>
          </w:tcPr>
          <w:p w14:paraId="2AA4B7E7"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39</w:t>
            </w:r>
          </w:p>
        </w:tc>
        <w:tc>
          <w:tcPr>
            <w:tcW w:w="1134" w:type="dxa"/>
          </w:tcPr>
          <w:p w14:paraId="0C2FE72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37.50</w:t>
            </w:r>
          </w:p>
        </w:tc>
        <w:tc>
          <w:tcPr>
            <w:tcW w:w="1822" w:type="dxa"/>
          </w:tcPr>
          <w:p w14:paraId="24C34232" w14:textId="77777777" w:rsidR="00FE35A9" w:rsidRPr="0044118C" w:rsidRDefault="00FE35A9" w:rsidP="00A81245">
            <w:pPr>
              <w:tabs>
                <w:tab w:val="left" w:pos="964"/>
              </w:tabs>
              <w:spacing w:line="360" w:lineRule="auto"/>
              <w:jc w:val="both"/>
              <w:rPr>
                <w:rFonts w:ascii="Tahoma" w:hAnsi="Tahoma" w:cs="Tahoma"/>
                <w:sz w:val="20"/>
                <w:szCs w:val="20"/>
              </w:rPr>
            </w:pPr>
            <w:r w:rsidRPr="0044118C">
              <w:rPr>
                <w:rFonts w:ascii="Tahoma" w:hAnsi="Tahoma" w:cs="Tahoma"/>
                <w:sz w:val="20"/>
                <w:szCs w:val="20"/>
              </w:rPr>
              <w:t>Male 29.81%</w:t>
            </w:r>
          </w:p>
        </w:tc>
        <w:tc>
          <w:tcPr>
            <w:tcW w:w="1822" w:type="dxa"/>
          </w:tcPr>
          <w:p w14:paraId="71CF4423"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 18.27%</w:t>
            </w:r>
          </w:p>
        </w:tc>
        <w:tc>
          <w:tcPr>
            <w:tcW w:w="1822" w:type="dxa"/>
          </w:tcPr>
          <w:p w14:paraId="3775F9F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IMD 11.54%</w:t>
            </w:r>
          </w:p>
        </w:tc>
      </w:tr>
      <w:tr w:rsidR="00FE35A9" w:rsidRPr="0044118C" w14:paraId="00A6808C" w14:textId="77777777" w:rsidTr="00A81245">
        <w:tc>
          <w:tcPr>
            <w:tcW w:w="1413" w:type="dxa"/>
          </w:tcPr>
          <w:p w14:paraId="47FA87FA"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Disability</w:t>
            </w:r>
          </w:p>
        </w:tc>
        <w:tc>
          <w:tcPr>
            <w:tcW w:w="1003" w:type="dxa"/>
          </w:tcPr>
          <w:p w14:paraId="713F6F23"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27</w:t>
            </w:r>
          </w:p>
        </w:tc>
        <w:tc>
          <w:tcPr>
            <w:tcW w:w="1134" w:type="dxa"/>
          </w:tcPr>
          <w:p w14:paraId="29979271"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25.96</w:t>
            </w:r>
          </w:p>
        </w:tc>
        <w:tc>
          <w:tcPr>
            <w:tcW w:w="1822" w:type="dxa"/>
          </w:tcPr>
          <w:p w14:paraId="36D9D54A"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 20.19%</w:t>
            </w:r>
          </w:p>
        </w:tc>
        <w:tc>
          <w:tcPr>
            <w:tcW w:w="1822" w:type="dxa"/>
          </w:tcPr>
          <w:p w14:paraId="5DD8425C"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Polar 13.46%</w:t>
            </w:r>
          </w:p>
        </w:tc>
        <w:tc>
          <w:tcPr>
            <w:tcW w:w="1822" w:type="dxa"/>
          </w:tcPr>
          <w:p w14:paraId="4C76B264"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Male 10.58%</w:t>
            </w:r>
          </w:p>
        </w:tc>
      </w:tr>
      <w:tr w:rsidR="00FE35A9" w:rsidRPr="0044118C" w14:paraId="740E81A9" w14:textId="77777777" w:rsidTr="00A81245">
        <w:tc>
          <w:tcPr>
            <w:tcW w:w="1413" w:type="dxa"/>
          </w:tcPr>
          <w:p w14:paraId="0E9E22A6"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Mature</w:t>
            </w:r>
          </w:p>
        </w:tc>
        <w:tc>
          <w:tcPr>
            <w:tcW w:w="1003" w:type="dxa"/>
          </w:tcPr>
          <w:p w14:paraId="63A3FF17"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25</w:t>
            </w:r>
          </w:p>
        </w:tc>
        <w:tc>
          <w:tcPr>
            <w:tcW w:w="1134" w:type="dxa"/>
          </w:tcPr>
          <w:p w14:paraId="257DF0F5"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24.04</w:t>
            </w:r>
          </w:p>
        </w:tc>
        <w:tc>
          <w:tcPr>
            <w:tcW w:w="1822" w:type="dxa"/>
          </w:tcPr>
          <w:p w14:paraId="6B91AFD5"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Quals 16.35%</w:t>
            </w:r>
          </w:p>
        </w:tc>
        <w:tc>
          <w:tcPr>
            <w:tcW w:w="1822" w:type="dxa"/>
          </w:tcPr>
          <w:p w14:paraId="4F136D7F"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Male 15.38%</w:t>
            </w:r>
          </w:p>
        </w:tc>
        <w:tc>
          <w:tcPr>
            <w:tcW w:w="1822" w:type="dxa"/>
          </w:tcPr>
          <w:p w14:paraId="375C895D"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Polar 8.65%</w:t>
            </w:r>
          </w:p>
        </w:tc>
      </w:tr>
      <w:tr w:rsidR="00FE35A9" w:rsidRPr="0044118C" w14:paraId="62947F1C" w14:textId="77777777" w:rsidTr="00A81245">
        <w:tc>
          <w:tcPr>
            <w:tcW w:w="1413" w:type="dxa"/>
          </w:tcPr>
          <w:p w14:paraId="6B91182B"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Care leaver</w:t>
            </w:r>
          </w:p>
        </w:tc>
        <w:tc>
          <w:tcPr>
            <w:tcW w:w="1003" w:type="dxa"/>
          </w:tcPr>
          <w:p w14:paraId="3859197D"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0</w:t>
            </w:r>
          </w:p>
        </w:tc>
        <w:tc>
          <w:tcPr>
            <w:tcW w:w="1134" w:type="dxa"/>
          </w:tcPr>
          <w:p w14:paraId="4D33B197"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0.00</w:t>
            </w:r>
          </w:p>
        </w:tc>
        <w:tc>
          <w:tcPr>
            <w:tcW w:w="1822" w:type="dxa"/>
          </w:tcPr>
          <w:p w14:paraId="5330DE3F"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N/A</w:t>
            </w:r>
          </w:p>
        </w:tc>
        <w:tc>
          <w:tcPr>
            <w:tcW w:w="1822" w:type="dxa"/>
          </w:tcPr>
          <w:p w14:paraId="14CB0269"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N/A</w:t>
            </w:r>
          </w:p>
        </w:tc>
        <w:tc>
          <w:tcPr>
            <w:tcW w:w="1822" w:type="dxa"/>
          </w:tcPr>
          <w:p w14:paraId="4B2842B9" w14:textId="77777777" w:rsidR="00FE35A9" w:rsidRPr="0044118C" w:rsidRDefault="00FE35A9" w:rsidP="00A81245">
            <w:pPr>
              <w:spacing w:line="360" w:lineRule="auto"/>
              <w:jc w:val="both"/>
              <w:rPr>
                <w:rFonts w:ascii="Tahoma" w:hAnsi="Tahoma" w:cs="Tahoma"/>
                <w:sz w:val="20"/>
                <w:szCs w:val="20"/>
              </w:rPr>
            </w:pPr>
            <w:r w:rsidRPr="0044118C">
              <w:rPr>
                <w:rFonts w:ascii="Tahoma" w:hAnsi="Tahoma" w:cs="Tahoma"/>
                <w:sz w:val="20"/>
                <w:szCs w:val="20"/>
              </w:rPr>
              <w:t>N/A</w:t>
            </w:r>
          </w:p>
        </w:tc>
      </w:tr>
    </w:tbl>
    <w:p w14:paraId="75DD2F15"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416437A2"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Table 6 illustrates that the students who have B-tec qualifications or have entered higher education from access courses (those in column </w:t>
      </w:r>
      <w:r>
        <w:rPr>
          <w:rFonts w:ascii="Tahoma" w:eastAsia="Times New Roman" w:hAnsi="Tahoma" w:cs="Tahoma"/>
          <w:color w:val="000000"/>
          <w:sz w:val="24"/>
          <w:szCs w:val="24"/>
          <w:lang w:eastAsia="en-GB"/>
        </w:rPr>
        <w:t>d</w:t>
      </w:r>
      <w:r w:rsidRPr="0044118C">
        <w:rPr>
          <w:rFonts w:ascii="Tahoma" w:eastAsia="Times New Roman" w:hAnsi="Tahoma" w:cs="Tahoma"/>
          <w:color w:val="000000"/>
          <w:sz w:val="24"/>
          <w:szCs w:val="24"/>
          <w:lang w:eastAsia="en-GB"/>
        </w:rPr>
        <w:t xml:space="preserve"> marked Qual), were strongly related to five other characteristics (Male, Polar4, IMD 1&amp;2, those with a </w:t>
      </w:r>
      <w:r w:rsidRPr="0044118C">
        <w:rPr>
          <w:rFonts w:ascii="Tahoma" w:eastAsia="Times New Roman" w:hAnsi="Tahoma" w:cs="Tahoma"/>
          <w:color w:val="000000"/>
          <w:sz w:val="24"/>
          <w:szCs w:val="24"/>
          <w:lang w:eastAsia="en-GB"/>
        </w:rPr>
        <w:lastRenderedPageBreak/>
        <w:t xml:space="preserve">disability and mature students). The second most related characteristic was in the main Polar 4 category; hence, those students who are less likely to enter higher education based on location. This was evident from column e where it is related as the second highest for four characteristics (column a - Male, Quals, IMD (1&amp;2) and Disability). The final prominent characteristic (column f) was IMD (quintiles 1&amp;2) meaning those students that are in some of the most deprived areas in England, and this was related to (Quals, Polar 4, BAME). Other interesting points to note are BAME students were the third highest related category for male students; so 7.69% of male students (74 in total) who entered fitness to study were BAME (7 students). This is significant as the </w:t>
      </w:r>
      <w:proofErr w:type="gramStart"/>
      <w:r w:rsidRPr="0044118C">
        <w:rPr>
          <w:rFonts w:ascii="Tahoma" w:eastAsia="Times New Roman" w:hAnsi="Tahoma" w:cs="Tahoma"/>
          <w:color w:val="000000"/>
          <w:sz w:val="24"/>
          <w:szCs w:val="24"/>
          <w:lang w:eastAsia="en-GB"/>
        </w:rPr>
        <w:t>School</w:t>
      </w:r>
      <w:proofErr w:type="gramEnd"/>
      <w:r w:rsidRPr="0044118C">
        <w:rPr>
          <w:rFonts w:ascii="Tahoma" w:eastAsia="Times New Roman" w:hAnsi="Tahoma" w:cs="Tahoma"/>
          <w:color w:val="000000"/>
          <w:sz w:val="24"/>
          <w:szCs w:val="24"/>
          <w:lang w:eastAsia="en-GB"/>
        </w:rPr>
        <w:t xml:space="preserve"> has 14.3% BAME students in a population of 2174 students. Another interesting point shows that disability and mature students did not appear in the top 3 strongest correlations for any other category.     </w:t>
      </w:r>
    </w:p>
    <w:p w14:paraId="3CB71732"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5701AEBB" w14:textId="77777777" w:rsidR="00FE35A9" w:rsidRPr="0044118C" w:rsidRDefault="00FE35A9" w:rsidP="00FE35A9">
      <w:pPr>
        <w:spacing w:line="360" w:lineRule="auto"/>
        <w:rPr>
          <w:rFonts w:ascii="Tahoma" w:eastAsia="Times New Roman" w:hAnsi="Tahoma" w:cs="Tahoma"/>
          <w:b/>
          <w:color w:val="000000"/>
          <w:sz w:val="28"/>
          <w:szCs w:val="28"/>
          <w:lang w:eastAsia="en-GB"/>
        </w:rPr>
      </w:pPr>
      <w:r w:rsidRPr="0044118C">
        <w:rPr>
          <w:rFonts w:ascii="Tahoma" w:eastAsia="Times New Roman" w:hAnsi="Tahoma" w:cs="Tahoma"/>
          <w:b/>
          <w:color w:val="000000"/>
          <w:sz w:val="28"/>
          <w:szCs w:val="28"/>
          <w:lang w:eastAsia="en-GB"/>
        </w:rPr>
        <w:t>Conclusion</w:t>
      </w:r>
    </w:p>
    <w:p w14:paraId="76992667"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work presented in this paper contributes interesting knowledge in two areas. Firstly, it demonstrates the potential of positive impact in terms of re-engagement when using a connected approach (fitness to study). This occurs by forming a partnership between the individual student, academic team and guidance. This has a profound impact on re-engaging the student with their studies and offers significant early intervention to support students in progressing successfully. Whilst the process increased workload in terms of guidance meetings, it also reduced workloads significantly concerning appeals processes. The number of students who were withdrawn and then appealed reduced from 17 in the year 2018-2019, to zero during the academic year 2019-2020. This is far-reaching in time-saving benefits to the </w:t>
      </w:r>
      <w:r>
        <w:rPr>
          <w:rFonts w:ascii="Tahoma" w:eastAsia="Times New Roman" w:hAnsi="Tahoma" w:cs="Tahoma"/>
          <w:color w:val="000000"/>
          <w:sz w:val="24"/>
          <w:szCs w:val="24"/>
          <w:lang w:eastAsia="en-GB"/>
        </w:rPr>
        <w:t>u</w:t>
      </w:r>
      <w:r w:rsidRPr="0044118C">
        <w:rPr>
          <w:rFonts w:ascii="Tahoma" w:eastAsia="Times New Roman" w:hAnsi="Tahoma" w:cs="Tahoma"/>
          <w:color w:val="000000"/>
          <w:sz w:val="24"/>
          <w:szCs w:val="24"/>
          <w:lang w:eastAsia="en-GB"/>
        </w:rPr>
        <w:t xml:space="preserve">niversity in terms of processing appeals and reinstating students, to students themselves and academic formulating of appeals etc. More importantly, it reduced the negative affect of appealing and having to experience a potential loss of study time whilst the appeal filters through university processes. </w:t>
      </w:r>
    </w:p>
    <w:p w14:paraId="6C6341E4"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lastRenderedPageBreak/>
        <w:t xml:space="preserve">The process of referral to fitness to study enables the student to be kept live in the system with full access to all </w:t>
      </w:r>
      <w:r>
        <w:rPr>
          <w:rFonts w:ascii="Tahoma" w:eastAsia="Times New Roman" w:hAnsi="Tahoma" w:cs="Tahoma"/>
          <w:color w:val="000000"/>
          <w:sz w:val="24"/>
          <w:szCs w:val="24"/>
          <w:lang w:eastAsia="en-GB"/>
        </w:rPr>
        <w:t>u</w:t>
      </w:r>
      <w:r w:rsidRPr="0044118C">
        <w:rPr>
          <w:rFonts w:ascii="Tahoma" w:eastAsia="Times New Roman" w:hAnsi="Tahoma" w:cs="Tahoma"/>
          <w:color w:val="000000"/>
          <w:sz w:val="24"/>
          <w:szCs w:val="24"/>
          <w:lang w:eastAsia="en-GB"/>
        </w:rPr>
        <w:t xml:space="preserve">niversity support mechanisms. It enabled a community of connected support to be facilitated and monitored and tracked so that the student can engage fully with a safety net wraparound. The number of students that experienced positive re-engagement is a success </w:t>
      </w:r>
      <w:proofErr w:type="gramStart"/>
      <w:r w:rsidRPr="0044118C">
        <w:rPr>
          <w:rFonts w:ascii="Tahoma" w:eastAsia="Times New Roman" w:hAnsi="Tahoma" w:cs="Tahoma"/>
          <w:color w:val="000000"/>
          <w:sz w:val="24"/>
          <w:szCs w:val="24"/>
          <w:lang w:eastAsia="en-GB"/>
        </w:rPr>
        <w:t>story in itself</w:t>
      </w:r>
      <w:r>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and</w:t>
      </w:r>
      <w:proofErr w:type="gramEnd"/>
      <w:r w:rsidRPr="0044118C">
        <w:rPr>
          <w:rFonts w:ascii="Tahoma" w:eastAsia="Times New Roman" w:hAnsi="Tahoma" w:cs="Tahoma"/>
          <w:color w:val="000000"/>
          <w:sz w:val="24"/>
          <w:szCs w:val="24"/>
          <w:lang w:eastAsia="en-GB"/>
        </w:rPr>
        <w:t xml:space="preserve"> the impact on retention has been significant for the academic programs that participated. If this was costed comprehensively in terms of fees, loss to economy etc., it would add further powerful evidence to the possible rationale for this scheme.</w:t>
      </w:r>
    </w:p>
    <w:p w14:paraId="36E3A710"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The second area of knowledge contribution is unsurprising theoretically, but powerful when put in practice as here. Theoretically it might be assumed that students with more protected characteristics might need extra support to be afforded more equality of opportunity. Therefore, the results are unsurprising. It is the prominence of seeing this data translated into students identified as at risk that is alarming and the emerging notion that BAME students and students with disabilities are more represented in this data set than </w:t>
      </w:r>
      <w:r>
        <w:rPr>
          <w:rFonts w:ascii="Tahoma" w:eastAsia="Times New Roman" w:hAnsi="Tahoma" w:cs="Tahoma"/>
          <w:color w:val="000000"/>
          <w:sz w:val="24"/>
          <w:szCs w:val="24"/>
          <w:lang w:eastAsia="en-GB"/>
        </w:rPr>
        <w:t>u</w:t>
      </w:r>
      <w:r w:rsidRPr="0044118C">
        <w:rPr>
          <w:rFonts w:ascii="Tahoma" w:eastAsia="Times New Roman" w:hAnsi="Tahoma" w:cs="Tahoma"/>
          <w:color w:val="000000"/>
          <w:sz w:val="24"/>
          <w:szCs w:val="24"/>
          <w:lang w:eastAsia="en-GB"/>
        </w:rPr>
        <w:t>niversity average figures. Furthermore, for students who had identified themselves as disabled, 85% also had non-traditional qualifications and 63% came from non-traditional entry areas, as defined by Polar 4, quintiles 1 and 2. The data for BAME students presents much of the same narrative, 66% have non-traditional qualifications and 79% were male – this again supports recent research (Wong</w:t>
      </w:r>
      <w:r>
        <w:rPr>
          <w:rFonts w:ascii="Tahoma" w:eastAsia="Times New Roman" w:hAnsi="Tahoma" w:cs="Tahoma"/>
          <w:color w:val="000000"/>
          <w:sz w:val="24"/>
          <w:szCs w:val="24"/>
          <w:lang w:eastAsia="en-GB"/>
        </w:rPr>
        <w:t xml:space="preserve"> et al.</w:t>
      </w:r>
      <w:r w:rsidRPr="0044118C">
        <w:rPr>
          <w:rFonts w:ascii="Tahoma" w:eastAsia="Times New Roman" w:hAnsi="Tahoma" w:cs="Tahoma"/>
          <w:color w:val="000000"/>
          <w:sz w:val="24"/>
          <w:szCs w:val="24"/>
          <w:lang w:eastAsia="en-GB"/>
        </w:rPr>
        <w:t>, 2021) concerning perceptions of some challenges faced by male BAME students during studies.</w:t>
      </w:r>
    </w:p>
    <w:p w14:paraId="568CE58E"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When you begin to explore the multiple intersections of the protected characteristics of the data set, a powerful (yet disturbing) image emerges. Over 68% of students identified through this study as ‘at risk’ have multiple intersections of protected characteristics (three or above).  When correlated, the three highest characteristics were found to be non-traditional entry qualifications, students entering form areas with traditionally low participation rates in HE (polar 4 quintiles 1and2, and students from the most deprived neighbourhoods as defined by IMD 1&amp;2.</w:t>
      </w:r>
    </w:p>
    <w:p w14:paraId="764F6322"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lastRenderedPageBreak/>
        <w:t xml:space="preserve">There is much more work to do to uncover the complexities of engagement, or lack of, related to various </w:t>
      </w:r>
      <w:proofErr w:type="spellStart"/>
      <w:r w:rsidRPr="0044118C">
        <w:rPr>
          <w:rFonts w:ascii="Tahoma" w:eastAsia="Times New Roman" w:hAnsi="Tahoma" w:cs="Tahoma"/>
          <w:color w:val="000000"/>
          <w:sz w:val="24"/>
          <w:szCs w:val="24"/>
          <w:lang w:eastAsia="en-GB"/>
        </w:rPr>
        <w:t>intersectionalities</w:t>
      </w:r>
      <w:proofErr w:type="spellEnd"/>
      <w:r w:rsidRPr="0044118C">
        <w:rPr>
          <w:rFonts w:ascii="Tahoma" w:eastAsia="Times New Roman" w:hAnsi="Tahoma" w:cs="Tahoma"/>
          <w:color w:val="000000"/>
          <w:sz w:val="24"/>
          <w:szCs w:val="24"/>
          <w:lang w:eastAsia="en-GB"/>
        </w:rPr>
        <w:t xml:space="preserve">. This study hopes to stimulate debate by sharing ideas which might begin to make a difference to a range of students’ life chances.  </w:t>
      </w:r>
    </w:p>
    <w:p w14:paraId="5E9AF46E" w14:textId="77777777" w:rsidR="00FE35A9" w:rsidRPr="0044118C" w:rsidRDefault="00FE35A9" w:rsidP="00FE35A9">
      <w:pPr>
        <w:spacing w:line="360" w:lineRule="auto"/>
        <w:rPr>
          <w:rFonts w:ascii="Tahoma" w:eastAsia="Times New Roman" w:hAnsi="Tahoma" w:cs="Tahoma"/>
          <w:color w:val="000000"/>
          <w:sz w:val="24"/>
          <w:szCs w:val="24"/>
          <w:lang w:eastAsia="en-GB"/>
        </w:rPr>
      </w:pPr>
    </w:p>
    <w:p w14:paraId="799FFB25" w14:textId="77777777" w:rsidR="00FE35A9" w:rsidRPr="0044118C" w:rsidRDefault="00FE35A9" w:rsidP="00FE35A9">
      <w:pPr>
        <w:spacing w:line="360" w:lineRule="auto"/>
        <w:rPr>
          <w:rFonts w:ascii="Tahoma" w:eastAsia="Times New Roman" w:hAnsi="Tahoma" w:cs="Tahoma"/>
          <w:b/>
          <w:color w:val="000000"/>
          <w:sz w:val="28"/>
          <w:szCs w:val="28"/>
          <w:lang w:eastAsia="en-GB"/>
        </w:rPr>
      </w:pPr>
      <w:r w:rsidRPr="0044118C">
        <w:rPr>
          <w:rFonts w:ascii="Tahoma" w:eastAsia="Times New Roman" w:hAnsi="Tahoma" w:cs="Tahoma"/>
          <w:b/>
          <w:color w:val="000000"/>
          <w:sz w:val="28"/>
          <w:szCs w:val="28"/>
          <w:lang w:eastAsia="en-GB"/>
        </w:rPr>
        <w:t>Acknowledgments</w:t>
      </w:r>
    </w:p>
    <w:p w14:paraId="0972BCD2" w14:textId="77777777" w:rsidR="00FE35A9" w:rsidRPr="0044118C" w:rsidRDefault="00FE35A9" w:rsidP="00FE35A9">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Kathryn Olyott and Alice Kitson (setting up system), Tatiana </w:t>
      </w:r>
      <w:proofErr w:type="spellStart"/>
      <w:r w:rsidRPr="0044118C">
        <w:rPr>
          <w:rFonts w:ascii="Tahoma" w:eastAsia="Times New Roman" w:hAnsi="Tahoma" w:cs="Tahoma"/>
          <w:color w:val="000000"/>
          <w:sz w:val="24"/>
          <w:szCs w:val="24"/>
          <w:lang w:eastAsia="en-GB"/>
        </w:rPr>
        <w:t>Ursachi</w:t>
      </w:r>
      <w:proofErr w:type="spellEnd"/>
      <w:r w:rsidRPr="0044118C">
        <w:rPr>
          <w:rFonts w:ascii="Tahoma" w:eastAsia="Times New Roman" w:hAnsi="Tahoma" w:cs="Tahoma"/>
          <w:color w:val="000000"/>
          <w:sz w:val="24"/>
          <w:szCs w:val="24"/>
          <w:lang w:eastAsia="en-GB"/>
        </w:rPr>
        <w:t xml:space="preserve"> , Hugo Snape, Ben Winstanley, Jo Harris for continuing the work into the second year. Guidance team Rachel Thompson and Ann Clowes; Caroline Ferguson for assistance in original referral, Amie Heath for data correlation. All of the Staff in the form</w:t>
      </w:r>
      <w:r>
        <w:rPr>
          <w:rFonts w:ascii="Tahoma" w:eastAsia="Times New Roman" w:hAnsi="Tahoma" w:cs="Tahoma"/>
          <w:color w:val="000000"/>
          <w:sz w:val="24"/>
          <w:szCs w:val="24"/>
          <w:lang w:eastAsia="en-GB"/>
        </w:rPr>
        <w:t>er</w:t>
      </w:r>
      <w:r w:rsidRPr="0044118C">
        <w:rPr>
          <w:rFonts w:ascii="Tahoma" w:eastAsia="Times New Roman" w:hAnsi="Tahoma" w:cs="Tahoma"/>
          <w:color w:val="000000"/>
          <w:sz w:val="24"/>
          <w:szCs w:val="24"/>
          <w:lang w:eastAsia="en-GB"/>
        </w:rPr>
        <w:t xml:space="preserve"> CAE area for participating in trial and David Hawkins </w:t>
      </w:r>
      <w:r>
        <w:rPr>
          <w:rFonts w:ascii="Tahoma" w:eastAsia="Times New Roman" w:hAnsi="Tahoma" w:cs="Tahoma"/>
          <w:color w:val="000000"/>
          <w:sz w:val="24"/>
          <w:szCs w:val="24"/>
          <w:lang w:eastAsia="en-GB"/>
        </w:rPr>
        <w:t>f</w:t>
      </w:r>
      <w:r w:rsidRPr="0044118C">
        <w:rPr>
          <w:rFonts w:ascii="Tahoma" w:eastAsia="Times New Roman" w:hAnsi="Tahoma" w:cs="Tahoma"/>
          <w:color w:val="000000"/>
          <w:sz w:val="24"/>
          <w:szCs w:val="24"/>
          <w:lang w:eastAsia="en-GB"/>
        </w:rPr>
        <w:t xml:space="preserve">ormer Dean for supporting an ambition change project within the </w:t>
      </w:r>
      <w:proofErr w:type="gramStart"/>
      <w:r w:rsidRPr="0044118C">
        <w:rPr>
          <w:rFonts w:ascii="Tahoma" w:eastAsia="Times New Roman" w:hAnsi="Tahoma" w:cs="Tahoma"/>
          <w:color w:val="000000"/>
          <w:sz w:val="24"/>
          <w:szCs w:val="24"/>
          <w:lang w:eastAsia="en-GB"/>
        </w:rPr>
        <w:t>School</w:t>
      </w:r>
      <w:proofErr w:type="gramEnd"/>
      <w:r w:rsidRPr="0044118C">
        <w:rPr>
          <w:rFonts w:ascii="Tahoma" w:eastAsia="Times New Roman" w:hAnsi="Tahoma" w:cs="Tahoma"/>
          <w:color w:val="000000"/>
          <w:sz w:val="24"/>
          <w:szCs w:val="24"/>
          <w:lang w:eastAsia="en-GB"/>
        </w:rPr>
        <w:t>.</w:t>
      </w:r>
    </w:p>
    <w:p w14:paraId="6BEC4836" w14:textId="77777777" w:rsidR="00CF2FA4" w:rsidRPr="0044118C" w:rsidRDefault="00CF2FA4" w:rsidP="0044118C">
      <w:pPr>
        <w:spacing w:line="360" w:lineRule="auto"/>
        <w:rPr>
          <w:rFonts w:ascii="Tahoma" w:eastAsia="Times New Roman" w:hAnsi="Tahoma" w:cs="Tahoma"/>
          <w:color w:val="000000"/>
          <w:sz w:val="24"/>
          <w:szCs w:val="24"/>
          <w:lang w:eastAsia="en-GB"/>
        </w:rPr>
      </w:pPr>
    </w:p>
    <w:p w14:paraId="786F6094" w14:textId="77777777" w:rsidR="0028106B" w:rsidRPr="0044118C" w:rsidRDefault="0028106B" w:rsidP="0044118C">
      <w:pPr>
        <w:spacing w:line="360" w:lineRule="auto"/>
        <w:rPr>
          <w:rFonts w:ascii="Tahoma" w:eastAsia="Times New Roman" w:hAnsi="Tahoma" w:cs="Tahoma"/>
          <w:b/>
          <w:color w:val="000000"/>
          <w:sz w:val="28"/>
          <w:szCs w:val="28"/>
          <w:lang w:eastAsia="en-GB"/>
        </w:rPr>
      </w:pPr>
      <w:r w:rsidRPr="0044118C">
        <w:rPr>
          <w:rFonts w:ascii="Tahoma" w:eastAsia="Times New Roman" w:hAnsi="Tahoma" w:cs="Tahoma"/>
          <w:b/>
          <w:color w:val="000000"/>
          <w:sz w:val="28"/>
          <w:szCs w:val="28"/>
          <w:lang w:eastAsia="en-GB"/>
        </w:rPr>
        <w:t>References</w:t>
      </w:r>
    </w:p>
    <w:p w14:paraId="59695C6E" w14:textId="03D5DD9E"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Corbin J. and Strauss A. (2008) </w:t>
      </w:r>
      <w:r w:rsidRPr="0044118C">
        <w:rPr>
          <w:rFonts w:ascii="Tahoma" w:eastAsia="Times New Roman" w:hAnsi="Tahoma" w:cs="Tahoma"/>
          <w:i/>
          <w:iCs/>
          <w:color w:val="000000"/>
          <w:sz w:val="24"/>
          <w:szCs w:val="24"/>
          <w:lang w:eastAsia="en-GB"/>
        </w:rPr>
        <w:t>Basics of Qualitative Research: Techniques and Procedures for Developing Grounded Theory 3rd Ed.</w:t>
      </w:r>
      <w:r w:rsidRPr="0044118C">
        <w:rPr>
          <w:rFonts w:ascii="Tahoma" w:eastAsia="Times New Roman" w:hAnsi="Tahoma" w:cs="Tahoma"/>
          <w:color w:val="000000"/>
          <w:sz w:val="24"/>
          <w:szCs w:val="24"/>
          <w:lang w:eastAsia="en-GB"/>
        </w:rPr>
        <w:t xml:space="preserve"> Thousand Oak CA Sage.</w:t>
      </w:r>
    </w:p>
    <w:p w14:paraId="3A0BD129" w14:textId="25B1ED15"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De Souza Santos, B. (2010) ‘The university in the twenty-first century: toward a democratic and emancipatory university reform’. In Apple, M. W., Ball, S. J. and Armando </w:t>
      </w:r>
      <w:proofErr w:type="spellStart"/>
      <w:r w:rsidRPr="0044118C">
        <w:rPr>
          <w:rFonts w:ascii="Tahoma" w:eastAsia="Times New Roman" w:hAnsi="Tahoma" w:cs="Tahoma"/>
          <w:color w:val="000000"/>
          <w:sz w:val="24"/>
          <w:szCs w:val="24"/>
          <w:lang w:eastAsia="en-GB"/>
        </w:rPr>
        <w:t>Gandin</w:t>
      </w:r>
      <w:proofErr w:type="spellEnd"/>
      <w:r w:rsidRPr="0044118C">
        <w:rPr>
          <w:rFonts w:ascii="Tahoma" w:eastAsia="Times New Roman" w:hAnsi="Tahoma" w:cs="Tahoma"/>
          <w:color w:val="000000"/>
          <w:sz w:val="24"/>
          <w:szCs w:val="24"/>
          <w:lang w:eastAsia="en-GB"/>
        </w:rPr>
        <w:t xml:space="preserve"> L. </w:t>
      </w:r>
      <w:r w:rsidR="00D52B9C">
        <w:rPr>
          <w:rFonts w:ascii="Tahoma" w:eastAsia="Times New Roman" w:hAnsi="Tahoma" w:cs="Tahoma"/>
          <w:color w:val="000000"/>
          <w:sz w:val="24"/>
          <w:szCs w:val="24"/>
          <w:lang w:eastAsia="en-GB"/>
        </w:rPr>
        <w:t>(ed.)</w:t>
      </w:r>
      <w:r w:rsidRPr="0044118C">
        <w:rPr>
          <w:rFonts w:ascii="Tahoma" w:eastAsia="Times New Roman" w:hAnsi="Tahoma" w:cs="Tahoma"/>
          <w:i/>
          <w:iCs/>
          <w:color w:val="000000"/>
          <w:sz w:val="24"/>
          <w:szCs w:val="24"/>
          <w:lang w:eastAsia="en-GB"/>
        </w:rPr>
        <w:t>The Routledge International Handbook of the Sociology of Education.</w:t>
      </w:r>
      <w:r w:rsidRPr="0044118C">
        <w:rPr>
          <w:rFonts w:ascii="Tahoma" w:eastAsia="Times New Roman" w:hAnsi="Tahoma" w:cs="Tahoma"/>
          <w:color w:val="000000"/>
          <w:sz w:val="24"/>
          <w:szCs w:val="24"/>
          <w:lang w:eastAsia="en-GB"/>
        </w:rPr>
        <w:t xml:space="preserve"> London and New York: Routledge</w:t>
      </w:r>
      <w:r w:rsidR="00354507">
        <w:rPr>
          <w:rFonts w:ascii="Tahoma" w:eastAsia="Times New Roman" w:hAnsi="Tahoma" w:cs="Tahoma"/>
          <w:color w:val="000000"/>
          <w:sz w:val="24"/>
          <w:szCs w:val="24"/>
          <w:lang w:eastAsia="en-GB"/>
        </w:rPr>
        <w:t>, pp.274-282</w:t>
      </w:r>
      <w:r w:rsidRPr="0044118C">
        <w:rPr>
          <w:rFonts w:ascii="Tahoma" w:eastAsia="Times New Roman" w:hAnsi="Tahoma" w:cs="Tahoma"/>
          <w:color w:val="000000"/>
          <w:sz w:val="24"/>
          <w:szCs w:val="24"/>
          <w:lang w:eastAsia="en-GB"/>
        </w:rPr>
        <w:t>.</w:t>
      </w:r>
    </w:p>
    <w:p w14:paraId="7263ECA1" w14:textId="13C88F8F"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Debut Careers (2023) </w:t>
      </w:r>
      <w:r w:rsidRPr="002C4BB2">
        <w:rPr>
          <w:rFonts w:ascii="Tahoma" w:eastAsia="Times New Roman" w:hAnsi="Tahoma" w:cs="Tahoma"/>
          <w:i/>
          <w:iCs/>
          <w:color w:val="000000"/>
          <w:sz w:val="24"/>
          <w:szCs w:val="24"/>
          <w:lang w:eastAsia="en-GB"/>
        </w:rPr>
        <w:t>Degree Dropouts</w:t>
      </w:r>
      <w:r w:rsidR="00354507">
        <w:rPr>
          <w:rFonts w:ascii="Tahoma" w:eastAsia="Times New Roman" w:hAnsi="Tahoma" w:cs="Tahoma"/>
          <w:i/>
          <w:iCs/>
          <w:color w:val="000000"/>
          <w:sz w:val="24"/>
          <w:szCs w:val="24"/>
          <w:lang w:eastAsia="en-GB"/>
        </w:rPr>
        <w:t>.</w:t>
      </w:r>
      <w:r w:rsidRPr="0044118C">
        <w:rPr>
          <w:rFonts w:ascii="Tahoma" w:eastAsia="Times New Roman" w:hAnsi="Tahoma" w:cs="Tahoma"/>
          <w:color w:val="000000"/>
          <w:sz w:val="24"/>
          <w:szCs w:val="24"/>
          <w:lang w:eastAsia="en-GB"/>
        </w:rPr>
        <w:t xml:space="preserve"> Available at: </w:t>
      </w:r>
      <w:hyperlink r:id="rId11" w:history="1">
        <w:r w:rsidRPr="0044118C">
          <w:rPr>
            <w:rStyle w:val="Hyperlink"/>
            <w:rFonts w:ascii="Tahoma" w:eastAsia="Times New Roman" w:hAnsi="Tahoma" w:cs="Tahoma"/>
            <w:sz w:val="24"/>
            <w:szCs w:val="24"/>
            <w:lang w:eastAsia="en-GB"/>
          </w:rPr>
          <w:t>https://debut.careers/degree-dropouts/</w:t>
        </w:r>
      </w:hyperlink>
      <w:r w:rsidRPr="0044118C">
        <w:rPr>
          <w:rFonts w:ascii="Tahoma" w:eastAsia="Times New Roman" w:hAnsi="Tahoma" w:cs="Tahoma"/>
          <w:color w:val="000000"/>
          <w:sz w:val="24"/>
          <w:szCs w:val="24"/>
          <w:lang w:eastAsia="en-GB"/>
        </w:rPr>
        <w:t xml:space="preserve"> (Accessed</w:t>
      </w:r>
      <w:r w:rsidR="00B16AA5">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w:t>
      </w:r>
      <w:r w:rsidR="002F1817">
        <w:rPr>
          <w:rFonts w:ascii="Tahoma" w:eastAsia="Times New Roman" w:hAnsi="Tahoma" w:cs="Tahoma"/>
          <w:color w:val="000000"/>
          <w:sz w:val="24"/>
          <w:szCs w:val="24"/>
          <w:lang w:eastAsia="en-GB"/>
        </w:rPr>
        <w:t>September</w:t>
      </w:r>
      <w:r w:rsidRPr="0044118C">
        <w:rPr>
          <w:rFonts w:ascii="Tahoma" w:eastAsia="Times New Roman" w:hAnsi="Tahoma" w:cs="Tahoma"/>
          <w:color w:val="000000"/>
          <w:sz w:val="24"/>
          <w:szCs w:val="24"/>
          <w:lang w:eastAsia="en-GB"/>
        </w:rPr>
        <w:t xml:space="preserve"> 2023).</w:t>
      </w:r>
    </w:p>
    <w:p w14:paraId="7E79DB6A" w14:textId="77777777"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Donnelly, M. and </w:t>
      </w:r>
      <w:proofErr w:type="spellStart"/>
      <w:r w:rsidRPr="0044118C">
        <w:rPr>
          <w:rFonts w:ascii="Tahoma" w:eastAsia="Times New Roman" w:hAnsi="Tahoma" w:cs="Tahoma"/>
          <w:color w:val="000000"/>
          <w:sz w:val="24"/>
          <w:szCs w:val="24"/>
          <w:lang w:eastAsia="en-GB"/>
        </w:rPr>
        <w:t>Gamsu</w:t>
      </w:r>
      <w:proofErr w:type="spellEnd"/>
      <w:r w:rsidRPr="0044118C">
        <w:rPr>
          <w:rFonts w:ascii="Tahoma" w:eastAsia="Times New Roman" w:hAnsi="Tahoma" w:cs="Tahoma"/>
          <w:color w:val="000000"/>
          <w:sz w:val="24"/>
          <w:szCs w:val="24"/>
          <w:lang w:eastAsia="en-GB"/>
        </w:rPr>
        <w:t xml:space="preserve">, S. (2018) 'HOME AND AWAY: social, ethnic and spatial inequalities in student mobility’. </w:t>
      </w:r>
      <w:r w:rsidRPr="0044118C">
        <w:rPr>
          <w:rFonts w:ascii="Tahoma" w:eastAsia="Times New Roman" w:hAnsi="Tahoma" w:cs="Tahoma"/>
          <w:i/>
          <w:iCs/>
          <w:color w:val="000000"/>
          <w:sz w:val="24"/>
          <w:szCs w:val="24"/>
          <w:lang w:eastAsia="en-GB"/>
        </w:rPr>
        <w:t>Project Report. The Sutton Trust</w:t>
      </w:r>
      <w:r w:rsidRPr="0044118C">
        <w:rPr>
          <w:rFonts w:ascii="Tahoma" w:eastAsia="Times New Roman" w:hAnsi="Tahoma" w:cs="Tahoma"/>
          <w:color w:val="000000"/>
          <w:sz w:val="24"/>
          <w:szCs w:val="24"/>
          <w:lang w:eastAsia="en-GB"/>
        </w:rPr>
        <w:t>, London.</w:t>
      </w:r>
    </w:p>
    <w:p w14:paraId="23E36653" w14:textId="5AB9ECDC"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Equality Act (2010) ‘Equality Act 2010’. </w:t>
      </w:r>
      <w:r w:rsidRPr="0044118C">
        <w:rPr>
          <w:rFonts w:ascii="Tahoma" w:eastAsia="Times New Roman" w:hAnsi="Tahoma" w:cs="Tahoma"/>
          <w:i/>
          <w:iCs/>
          <w:color w:val="000000"/>
          <w:sz w:val="24"/>
          <w:szCs w:val="24"/>
          <w:lang w:eastAsia="en-GB"/>
        </w:rPr>
        <w:t xml:space="preserve">London: HMSO. </w:t>
      </w:r>
      <w:r w:rsidRPr="0044118C">
        <w:rPr>
          <w:rFonts w:ascii="Tahoma" w:eastAsia="Times New Roman" w:hAnsi="Tahoma" w:cs="Tahoma"/>
          <w:color w:val="000000"/>
          <w:sz w:val="24"/>
          <w:szCs w:val="24"/>
          <w:lang w:eastAsia="en-GB"/>
        </w:rPr>
        <w:t xml:space="preserve">Available at: </w:t>
      </w:r>
      <w:hyperlink r:id="rId12" w:history="1">
        <w:r w:rsidRPr="0044118C">
          <w:rPr>
            <w:rStyle w:val="Hyperlink"/>
            <w:rFonts w:ascii="Tahoma" w:eastAsia="Times New Roman" w:hAnsi="Tahoma" w:cs="Tahoma"/>
            <w:sz w:val="24"/>
            <w:szCs w:val="24"/>
            <w:lang w:eastAsia="en-GB"/>
          </w:rPr>
          <w:t>https://www.legislation.gov.uk/ukpga/2010/15/part/2</w:t>
        </w:r>
      </w:hyperlink>
      <w:r w:rsidRPr="0044118C">
        <w:rPr>
          <w:rFonts w:ascii="Tahoma" w:eastAsia="Times New Roman" w:hAnsi="Tahoma" w:cs="Tahoma"/>
          <w:color w:val="000000"/>
          <w:sz w:val="24"/>
          <w:szCs w:val="24"/>
          <w:lang w:eastAsia="en-GB"/>
        </w:rPr>
        <w:t xml:space="preserve"> (</w:t>
      </w:r>
      <w:r w:rsidR="002F1817" w:rsidRPr="0044118C">
        <w:rPr>
          <w:rFonts w:ascii="Tahoma" w:eastAsia="Times New Roman" w:hAnsi="Tahoma" w:cs="Tahoma"/>
          <w:color w:val="000000"/>
          <w:sz w:val="24"/>
          <w:szCs w:val="24"/>
          <w:lang w:eastAsia="en-GB"/>
        </w:rPr>
        <w:t>Accessed</w:t>
      </w:r>
      <w:r w:rsidR="002F1817">
        <w:rPr>
          <w:rFonts w:ascii="Tahoma" w:eastAsia="Times New Roman" w:hAnsi="Tahoma" w:cs="Tahoma"/>
          <w:color w:val="000000"/>
          <w:sz w:val="24"/>
          <w:szCs w:val="24"/>
          <w:lang w:eastAsia="en-GB"/>
        </w:rPr>
        <w:t>:</w:t>
      </w:r>
      <w:r w:rsidR="002F1817" w:rsidRPr="0044118C">
        <w:rPr>
          <w:rFonts w:ascii="Tahoma" w:eastAsia="Times New Roman" w:hAnsi="Tahoma" w:cs="Tahoma"/>
          <w:color w:val="000000"/>
          <w:sz w:val="24"/>
          <w:szCs w:val="24"/>
          <w:lang w:eastAsia="en-GB"/>
        </w:rPr>
        <w:t xml:space="preserve"> </w:t>
      </w:r>
      <w:r w:rsidR="002F1817">
        <w:rPr>
          <w:rFonts w:ascii="Tahoma" w:eastAsia="Times New Roman" w:hAnsi="Tahoma" w:cs="Tahoma"/>
          <w:color w:val="000000"/>
          <w:sz w:val="24"/>
          <w:szCs w:val="24"/>
          <w:lang w:eastAsia="en-GB"/>
        </w:rPr>
        <w:t>September</w:t>
      </w:r>
      <w:r w:rsidR="002F1817" w:rsidRPr="0044118C">
        <w:rPr>
          <w:rFonts w:ascii="Tahoma" w:eastAsia="Times New Roman" w:hAnsi="Tahoma" w:cs="Tahoma"/>
          <w:color w:val="000000"/>
          <w:sz w:val="24"/>
          <w:szCs w:val="24"/>
          <w:lang w:eastAsia="en-GB"/>
        </w:rPr>
        <w:t xml:space="preserve"> 2023</w:t>
      </w:r>
      <w:r w:rsidRPr="0044118C">
        <w:rPr>
          <w:rFonts w:ascii="Tahoma" w:eastAsia="Times New Roman" w:hAnsi="Tahoma" w:cs="Tahoma"/>
          <w:color w:val="000000"/>
          <w:sz w:val="24"/>
          <w:szCs w:val="24"/>
          <w:lang w:eastAsia="en-GB"/>
        </w:rPr>
        <w:t>)</w:t>
      </w:r>
    </w:p>
    <w:p w14:paraId="62650F1A" w14:textId="7FF97827"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lastRenderedPageBreak/>
        <w:t xml:space="preserve">IMD (2019) </w:t>
      </w:r>
      <w:r w:rsidRPr="00D34AB9">
        <w:rPr>
          <w:rFonts w:ascii="Tahoma" w:eastAsia="Times New Roman" w:hAnsi="Tahoma" w:cs="Tahoma"/>
          <w:i/>
          <w:iCs/>
          <w:color w:val="000000"/>
          <w:sz w:val="24"/>
          <w:szCs w:val="24"/>
          <w:lang w:eastAsia="en-GB"/>
        </w:rPr>
        <w:t>The English Indices of Deprivation 2019 (IoD2019)</w:t>
      </w:r>
      <w:r w:rsidR="00D34AB9" w:rsidRPr="00D34AB9">
        <w:rPr>
          <w:rFonts w:ascii="Tahoma" w:eastAsia="Times New Roman" w:hAnsi="Tahoma" w:cs="Tahoma"/>
          <w:i/>
          <w:iCs/>
          <w:color w:val="000000"/>
          <w:sz w:val="24"/>
          <w:szCs w:val="24"/>
          <w:lang w:eastAsia="en-GB"/>
        </w:rPr>
        <w:t>.</w:t>
      </w:r>
      <w:r w:rsidRPr="0044118C">
        <w:rPr>
          <w:rFonts w:ascii="Tahoma" w:eastAsia="Times New Roman" w:hAnsi="Tahoma" w:cs="Tahoma"/>
          <w:color w:val="000000"/>
          <w:sz w:val="24"/>
          <w:szCs w:val="24"/>
          <w:lang w:eastAsia="en-GB"/>
        </w:rPr>
        <w:t xml:space="preserve"> Available at:   </w:t>
      </w:r>
      <w:hyperlink r:id="rId13" w:history="1">
        <w:r w:rsidRPr="0044118C">
          <w:rPr>
            <w:rStyle w:val="Hyperlink"/>
            <w:rFonts w:ascii="Tahoma" w:eastAsia="Times New Roman" w:hAnsi="Tahoma" w:cs="Tahoma"/>
            <w:sz w:val="24"/>
            <w:szCs w:val="24"/>
            <w:lang w:eastAsia="en-GB"/>
          </w:rPr>
          <w:t>https://assets.publishing.service.gov.uk/government/uploads/system/uploads/attachment_data/file/835115/IoD2019_Statistical_Release.pdf</w:t>
        </w:r>
      </w:hyperlink>
    </w:p>
    <w:p w14:paraId="6395CCF3" w14:textId="6CB1874F" w:rsidR="000D2BB3" w:rsidRPr="0044118C" w:rsidRDefault="000D2BB3"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Kelly, K.M. (2001. ‘Individual differences in reactions to rejection’. </w:t>
      </w:r>
      <w:r w:rsidRPr="00D34AB9">
        <w:rPr>
          <w:rFonts w:ascii="Tahoma" w:eastAsia="Times New Roman" w:hAnsi="Tahoma" w:cs="Tahoma"/>
          <w:color w:val="000000"/>
          <w:sz w:val="24"/>
          <w:szCs w:val="24"/>
          <w:lang w:eastAsia="en-GB"/>
        </w:rPr>
        <w:t>In Leary, M.R.</w:t>
      </w:r>
      <w:r w:rsidRPr="0044118C">
        <w:rPr>
          <w:rFonts w:ascii="Tahoma" w:eastAsia="Times New Roman" w:hAnsi="Tahoma" w:cs="Tahoma"/>
          <w:i/>
          <w:iCs/>
          <w:color w:val="000000"/>
          <w:sz w:val="24"/>
          <w:szCs w:val="24"/>
          <w:lang w:eastAsia="en-GB"/>
        </w:rPr>
        <w:t xml:space="preserve"> </w:t>
      </w:r>
      <w:r w:rsidRPr="00D34AB9">
        <w:rPr>
          <w:rFonts w:ascii="Tahoma" w:eastAsia="Times New Roman" w:hAnsi="Tahoma" w:cs="Tahoma"/>
          <w:color w:val="000000"/>
          <w:sz w:val="24"/>
          <w:szCs w:val="24"/>
          <w:lang w:eastAsia="en-GB"/>
        </w:rPr>
        <w:t>(ed</w:t>
      </w:r>
      <w:r w:rsidR="00D34AB9">
        <w:rPr>
          <w:rFonts w:ascii="Tahoma" w:eastAsia="Times New Roman" w:hAnsi="Tahoma" w:cs="Tahoma"/>
          <w:color w:val="000000"/>
          <w:sz w:val="24"/>
          <w:szCs w:val="24"/>
          <w:lang w:eastAsia="en-GB"/>
        </w:rPr>
        <w:t>s</w:t>
      </w:r>
      <w:r w:rsidR="00D34AB9" w:rsidRPr="00D34AB9">
        <w:rPr>
          <w:rFonts w:ascii="Tahoma" w:eastAsia="Times New Roman" w:hAnsi="Tahoma" w:cs="Tahoma"/>
          <w:color w:val="000000"/>
          <w:sz w:val="24"/>
          <w:szCs w:val="24"/>
          <w:lang w:eastAsia="en-GB"/>
        </w:rPr>
        <w:t>.</w:t>
      </w:r>
      <w:r w:rsidRPr="00D34AB9">
        <w:rPr>
          <w:rFonts w:ascii="Tahoma" w:eastAsia="Times New Roman" w:hAnsi="Tahoma" w:cs="Tahoma"/>
          <w:color w:val="000000"/>
          <w:sz w:val="24"/>
          <w:szCs w:val="24"/>
          <w:lang w:eastAsia="en-GB"/>
        </w:rPr>
        <w:t>)</w:t>
      </w:r>
      <w:r w:rsidRPr="0044118C">
        <w:rPr>
          <w:rFonts w:ascii="Tahoma" w:eastAsia="Times New Roman" w:hAnsi="Tahoma" w:cs="Tahoma"/>
          <w:i/>
          <w:iCs/>
          <w:color w:val="000000"/>
          <w:sz w:val="24"/>
          <w:szCs w:val="24"/>
          <w:lang w:eastAsia="en-GB"/>
        </w:rPr>
        <w:t xml:space="preserve"> Interpersonal Rejections.</w:t>
      </w:r>
      <w:r w:rsidRPr="0044118C">
        <w:rPr>
          <w:rFonts w:ascii="Tahoma" w:eastAsia="Times New Roman" w:hAnsi="Tahoma" w:cs="Tahoma"/>
          <w:color w:val="000000"/>
          <w:sz w:val="24"/>
          <w:szCs w:val="24"/>
          <w:lang w:eastAsia="en-GB"/>
        </w:rPr>
        <w:t xml:space="preserve"> New York: Oxford University Press, pp. 291,315.</w:t>
      </w:r>
    </w:p>
    <w:p w14:paraId="5EB50E31" w14:textId="52B57BAE" w:rsidR="007C713B" w:rsidRPr="0044118C" w:rsidRDefault="007C713B"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Kim, A. S. N., </w:t>
      </w:r>
      <w:proofErr w:type="spellStart"/>
      <w:r w:rsidRPr="0044118C">
        <w:rPr>
          <w:rFonts w:ascii="Tahoma" w:eastAsia="Times New Roman" w:hAnsi="Tahoma" w:cs="Tahoma"/>
          <w:color w:val="000000"/>
          <w:sz w:val="24"/>
          <w:szCs w:val="24"/>
          <w:lang w:eastAsia="en-GB"/>
        </w:rPr>
        <w:t>Shakory</w:t>
      </w:r>
      <w:proofErr w:type="spellEnd"/>
      <w:r w:rsidRPr="0044118C">
        <w:rPr>
          <w:rFonts w:ascii="Tahoma" w:eastAsia="Times New Roman" w:hAnsi="Tahoma" w:cs="Tahoma"/>
          <w:color w:val="000000"/>
          <w:sz w:val="24"/>
          <w:szCs w:val="24"/>
          <w:lang w:eastAsia="en-GB"/>
        </w:rPr>
        <w:t xml:space="preserve">, S., Azad, A., Popovic, C., &amp; Park, L. (2020) ‘Understanding the impact of attendance and participation on academic achievement’. </w:t>
      </w:r>
      <w:r w:rsidRPr="0044118C">
        <w:rPr>
          <w:rFonts w:ascii="Tahoma" w:eastAsia="Times New Roman" w:hAnsi="Tahoma" w:cs="Tahoma"/>
          <w:i/>
          <w:iCs/>
          <w:color w:val="000000"/>
          <w:sz w:val="24"/>
          <w:szCs w:val="24"/>
          <w:lang w:eastAsia="en-GB"/>
        </w:rPr>
        <w:t>Scholarship of Teaching and Learning in Psychology</w:t>
      </w:r>
      <w:r w:rsidR="002C4BB2">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6(4), pp. 272–284. </w:t>
      </w:r>
    </w:p>
    <w:p w14:paraId="342378D5" w14:textId="6918B513" w:rsidR="002C10DC" w:rsidRPr="0044118C" w:rsidRDefault="002C10DC"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Krause, K.L.D.  (2011) ‘Transforming the learning experience to engage </w:t>
      </w:r>
      <w:proofErr w:type="gramStart"/>
      <w:r w:rsidRPr="0044118C">
        <w:rPr>
          <w:rFonts w:ascii="Tahoma" w:eastAsia="Times New Roman" w:hAnsi="Tahoma" w:cs="Tahoma"/>
          <w:color w:val="000000"/>
          <w:sz w:val="24"/>
          <w:szCs w:val="24"/>
          <w:lang w:eastAsia="en-GB"/>
        </w:rPr>
        <w:t>students’</w:t>
      </w:r>
      <w:proofErr w:type="gramEnd"/>
      <w:r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i/>
          <w:iCs/>
          <w:color w:val="000000"/>
          <w:sz w:val="24"/>
          <w:szCs w:val="24"/>
          <w:lang w:eastAsia="en-GB"/>
        </w:rPr>
        <w:t xml:space="preserve">In </w:t>
      </w:r>
      <w:r w:rsidRPr="00D34AB9">
        <w:rPr>
          <w:rFonts w:ascii="Tahoma" w:eastAsia="Times New Roman" w:hAnsi="Tahoma" w:cs="Tahoma"/>
          <w:color w:val="000000"/>
          <w:sz w:val="24"/>
          <w:szCs w:val="24"/>
          <w:lang w:eastAsia="en-GB"/>
        </w:rPr>
        <w:t>Thomas, L. and Tight, M. (eds</w:t>
      </w:r>
      <w:r w:rsidR="00642FE4">
        <w:rPr>
          <w:rFonts w:ascii="Tahoma" w:eastAsia="Times New Roman" w:hAnsi="Tahoma" w:cs="Tahoma"/>
          <w:color w:val="000000"/>
          <w:sz w:val="24"/>
          <w:szCs w:val="24"/>
          <w:lang w:eastAsia="en-GB"/>
        </w:rPr>
        <w:t>.</w:t>
      </w:r>
      <w:r w:rsidRPr="00D34AB9">
        <w:rPr>
          <w:rFonts w:ascii="Tahoma" w:eastAsia="Times New Roman" w:hAnsi="Tahoma" w:cs="Tahoma"/>
          <w:color w:val="000000"/>
          <w:sz w:val="24"/>
          <w:szCs w:val="24"/>
          <w:lang w:eastAsia="en-GB"/>
        </w:rPr>
        <w:t xml:space="preserve">) </w:t>
      </w:r>
      <w:r w:rsidRPr="0044118C">
        <w:rPr>
          <w:rFonts w:ascii="Tahoma" w:eastAsia="Times New Roman" w:hAnsi="Tahoma" w:cs="Tahoma"/>
          <w:i/>
          <w:iCs/>
          <w:color w:val="000000"/>
          <w:sz w:val="24"/>
          <w:szCs w:val="24"/>
          <w:lang w:eastAsia="en-GB"/>
        </w:rPr>
        <w:t>Institutional Transformation to engage a diverse student body.</w:t>
      </w:r>
      <w:r w:rsidRPr="0044118C">
        <w:rPr>
          <w:rFonts w:ascii="Tahoma" w:eastAsia="Times New Roman" w:hAnsi="Tahoma" w:cs="Tahoma"/>
          <w:color w:val="000000"/>
          <w:sz w:val="24"/>
          <w:szCs w:val="24"/>
          <w:lang w:eastAsia="en-GB"/>
        </w:rPr>
        <w:t xml:space="preserve"> Bingley: Emerald. pp. 199-212.                                                              </w:t>
      </w:r>
    </w:p>
    <w:p w14:paraId="24616292" w14:textId="71376A2F" w:rsidR="000D2BB3" w:rsidRPr="0044118C" w:rsidRDefault="000D2BB3" w:rsidP="0044118C">
      <w:pPr>
        <w:spacing w:line="360" w:lineRule="auto"/>
        <w:rPr>
          <w:rFonts w:ascii="Tahoma" w:eastAsia="Times New Roman" w:hAnsi="Tahoma" w:cs="Tahoma"/>
          <w:color w:val="000000"/>
          <w:sz w:val="24"/>
          <w:szCs w:val="24"/>
          <w:lang w:eastAsia="en-GB"/>
        </w:rPr>
      </w:pPr>
      <w:proofErr w:type="spellStart"/>
      <w:r w:rsidRPr="0044118C">
        <w:rPr>
          <w:rFonts w:ascii="Tahoma" w:eastAsia="Times New Roman" w:hAnsi="Tahoma" w:cs="Tahoma"/>
          <w:color w:val="000000"/>
          <w:sz w:val="24"/>
          <w:szCs w:val="24"/>
          <w:lang w:eastAsia="en-GB"/>
        </w:rPr>
        <w:t>Kuh</w:t>
      </w:r>
      <w:proofErr w:type="spellEnd"/>
      <w:r w:rsidRPr="0044118C">
        <w:rPr>
          <w:rFonts w:ascii="Tahoma" w:eastAsia="Times New Roman" w:hAnsi="Tahoma" w:cs="Tahoma"/>
          <w:color w:val="000000"/>
          <w:sz w:val="24"/>
          <w:szCs w:val="24"/>
          <w:lang w:eastAsia="en-GB"/>
        </w:rPr>
        <w:t xml:space="preserve">, G.D. (2009) ‘What student affairs Professionals need to know about student engagement’. </w:t>
      </w:r>
      <w:r w:rsidRPr="0044118C">
        <w:rPr>
          <w:rFonts w:ascii="Tahoma" w:eastAsia="Times New Roman" w:hAnsi="Tahoma" w:cs="Tahoma"/>
          <w:i/>
          <w:iCs/>
          <w:color w:val="000000"/>
          <w:sz w:val="24"/>
          <w:szCs w:val="24"/>
          <w:lang w:eastAsia="en-GB"/>
        </w:rPr>
        <w:t>Journal of College Student Development</w:t>
      </w:r>
      <w:r w:rsidRPr="0044118C">
        <w:rPr>
          <w:rFonts w:ascii="Tahoma" w:eastAsia="Times New Roman" w:hAnsi="Tahoma" w:cs="Tahoma"/>
          <w:color w:val="000000"/>
          <w:sz w:val="24"/>
          <w:szCs w:val="24"/>
          <w:lang w:eastAsia="en-GB"/>
        </w:rPr>
        <w:t>.</w:t>
      </w:r>
      <w:r w:rsidR="002C4BB2">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50(6)</w:t>
      </w:r>
      <w:r w:rsidR="002C4BB2">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pp. 683-706.</w:t>
      </w:r>
    </w:p>
    <w:p w14:paraId="31427F5A" w14:textId="6F1FD866" w:rsidR="000D2BB3" w:rsidRPr="0044118C" w:rsidRDefault="000D2BB3"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Lee, G. (2017) ‘Which Universities have the highest dropout rates?’ </w:t>
      </w:r>
      <w:r w:rsidRPr="0044118C">
        <w:rPr>
          <w:rFonts w:ascii="Tahoma" w:eastAsia="Times New Roman" w:hAnsi="Tahoma" w:cs="Tahoma"/>
          <w:i/>
          <w:iCs/>
          <w:color w:val="000000"/>
          <w:sz w:val="24"/>
          <w:szCs w:val="24"/>
          <w:lang w:eastAsia="en-GB"/>
        </w:rPr>
        <w:t>Channel Four News</w:t>
      </w:r>
      <w:r w:rsidRPr="0044118C">
        <w:rPr>
          <w:rFonts w:ascii="Tahoma" w:eastAsia="Times New Roman" w:hAnsi="Tahoma" w:cs="Tahoma"/>
          <w:color w:val="000000"/>
          <w:sz w:val="24"/>
          <w:szCs w:val="24"/>
          <w:lang w:eastAsia="en-GB"/>
        </w:rPr>
        <w:t xml:space="preserve">. Available at:  </w:t>
      </w:r>
      <w:hyperlink r:id="rId14" w:history="1">
        <w:r w:rsidRPr="0044118C">
          <w:rPr>
            <w:rStyle w:val="Hyperlink"/>
            <w:rFonts w:ascii="Tahoma" w:eastAsia="Times New Roman" w:hAnsi="Tahoma" w:cs="Tahoma"/>
            <w:sz w:val="24"/>
            <w:szCs w:val="24"/>
            <w:lang w:eastAsia="en-GB"/>
          </w:rPr>
          <w:t>https://www.channel4.com/news/factcheck/which-universities-have-the-highest-first-year-dropout-rates</w:t>
        </w:r>
      </w:hyperlink>
      <w:r w:rsidRPr="0044118C">
        <w:rPr>
          <w:rFonts w:ascii="Tahoma" w:eastAsia="Times New Roman" w:hAnsi="Tahoma" w:cs="Tahoma"/>
          <w:color w:val="000000"/>
          <w:sz w:val="24"/>
          <w:szCs w:val="24"/>
          <w:lang w:eastAsia="en-GB"/>
        </w:rPr>
        <w:t xml:space="preserve"> (</w:t>
      </w:r>
      <w:r w:rsidR="002F1817" w:rsidRPr="0044118C">
        <w:rPr>
          <w:rFonts w:ascii="Tahoma" w:eastAsia="Times New Roman" w:hAnsi="Tahoma" w:cs="Tahoma"/>
          <w:color w:val="000000"/>
          <w:sz w:val="24"/>
          <w:szCs w:val="24"/>
          <w:lang w:eastAsia="en-GB"/>
        </w:rPr>
        <w:t>Accessed</w:t>
      </w:r>
      <w:r w:rsidR="002F1817">
        <w:rPr>
          <w:rFonts w:ascii="Tahoma" w:eastAsia="Times New Roman" w:hAnsi="Tahoma" w:cs="Tahoma"/>
          <w:color w:val="000000"/>
          <w:sz w:val="24"/>
          <w:szCs w:val="24"/>
          <w:lang w:eastAsia="en-GB"/>
        </w:rPr>
        <w:t>:</w:t>
      </w:r>
      <w:r w:rsidR="002F1817" w:rsidRPr="0044118C">
        <w:rPr>
          <w:rFonts w:ascii="Tahoma" w:eastAsia="Times New Roman" w:hAnsi="Tahoma" w:cs="Tahoma"/>
          <w:color w:val="000000"/>
          <w:sz w:val="24"/>
          <w:szCs w:val="24"/>
          <w:lang w:eastAsia="en-GB"/>
        </w:rPr>
        <w:t xml:space="preserve"> </w:t>
      </w:r>
      <w:r w:rsidR="002F1817">
        <w:rPr>
          <w:rFonts w:ascii="Tahoma" w:eastAsia="Times New Roman" w:hAnsi="Tahoma" w:cs="Tahoma"/>
          <w:color w:val="000000"/>
          <w:sz w:val="24"/>
          <w:szCs w:val="24"/>
          <w:lang w:eastAsia="en-GB"/>
        </w:rPr>
        <w:t>March 2021</w:t>
      </w:r>
      <w:r w:rsidRPr="0044118C">
        <w:rPr>
          <w:rFonts w:ascii="Tahoma" w:eastAsia="Times New Roman" w:hAnsi="Tahoma" w:cs="Tahoma"/>
          <w:color w:val="000000"/>
          <w:sz w:val="24"/>
          <w:szCs w:val="24"/>
          <w:lang w:eastAsia="en-GB"/>
        </w:rPr>
        <w:t>).</w:t>
      </w:r>
    </w:p>
    <w:p w14:paraId="0886B1AC" w14:textId="39BFF833" w:rsidR="00310BED" w:rsidRPr="0044118C" w:rsidRDefault="00310BED"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Newman-Ford, L., Lloyd, S., Fitzgibbon, K. and Thomas, S. (2008) </w:t>
      </w:r>
      <w:r w:rsidR="001A6D02"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A large-scale investigation into the relationship between attendance and attainment: a study using an innovative, electronic attendance monitoring system</w:t>
      </w:r>
      <w:r w:rsidR="004D32AB"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i/>
          <w:iCs/>
          <w:color w:val="000000"/>
          <w:sz w:val="24"/>
          <w:szCs w:val="24"/>
          <w:lang w:eastAsia="en-GB"/>
        </w:rPr>
        <w:t>Studies in Higher Education</w:t>
      </w:r>
      <w:r w:rsidR="002D2107">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33(6), pp. 699–717. </w:t>
      </w:r>
    </w:p>
    <w:p w14:paraId="63D90A85" w14:textId="27DBE6E6" w:rsidR="0028106B" w:rsidRPr="0044118C" w:rsidRDefault="002A003A" w:rsidP="0044118C">
      <w:pPr>
        <w:spacing w:line="360" w:lineRule="auto"/>
        <w:rPr>
          <w:rFonts w:ascii="Tahoma" w:eastAsia="Times New Roman" w:hAnsi="Tahoma" w:cs="Tahoma"/>
          <w:color w:val="000000"/>
          <w:sz w:val="24"/>
          <w:szCs w:val="24"/>
          <w:lang w:eastAsia="en-GB"/>
        </w:rPr>
      </w:pPr>
      <w:proofErr w:type="spellStart"/>
      <w:r w:rsidRPr="0044118C">
        <w:rPr>
          <w:rFonts w:ascii="Tahoma" w:eastAsia="Times New Roman" w:hAnsi="Tahoma" w:cs="Tahoma"/>
          <w:color w:val="000000"/>
          <w:sz w:val="24"/>
          <w:szCs w:val="24"/>
          <w:lang w:eastAsia="en-GB"/>
        </w:rPr>
        <w:t>OfS</w:t>
      </w:r>
      <w:proofErr w:type="spellEnd"/>
      <w:r w:rsidR="0028106B" w:rsidRPr="0044118C">
        <w:rPr>
          <w:rFonts w:ascii="Tahoma" w:eastAsia="Times New Roman" w:hAnsi="Tahoma" w:cs="Tahoma"/>
          <w:color w:val="000000"/>
          <w:sz w:val="24"/>
          <w:szCs w:val="24"/>
          <w:lang w:eastAsia="en-GB"/>
        </w:rPr>
        <w:t xml:space="preserve"> (2019) </w:t>
      </w:r>
      <w:r w:rsidR="00B51647" w:rsidRPr="0044118C">
        <w:rPr>
          <w:rFonts w:ascii="Tahoma" w:eastAsia="Times New Roman" w:hAnsi="Tahoma" w:cs="Tahoma"/>
          <w:color w:val="000000"/>
          <w:sz w:val="24"/>
          <w:szCs w:val="24"/>
          <w:lang w:eastAsia="en-GB"/>
        </w:rPr>
        <w:t>‘</w:t>
      </w:r>
      <w:r w:rsidR="0028106B" w:rsidRPr="0044118C">
        <w:rPr>
          <w:rFonts w:ascii="Tahoma" w:eastAsia="Times New Roman" w:hAnsi="Tahoma" w:cs="Tahoma"/>
          <w:color w:val="000000"/>
          <w:sz w:val="24"/>
          <w:szCs w:val="24"/>
          <w:lang w:eastAsia="en-GB"/>
        </w:rPr>
        <w:t>Staffordshire University Access and Participation Plan</w:t>
      </w:r>
      <w:r w:rsidRPr="0044118C">
        <w:rPr>
          <w:rFonts w:ascii="Tahoma" w:eastAsia="Times New Roman" w:hAnsi="Tahoma" w:cs="Tahoma"/>
          <w:color w:val="000000"/>
          <w:sz w:val="24"/>
          <w:szCs w:val="24"/>
          <w:lang w:eastAsia="en-GB"/>
        </w:rPr>
        <w:t xml:space="preserve"> 2019-20</w:t>
      </w:r>
      <w:r w:rsidR="00DC7F25" w:rsidRPr="0044118C">
        <w:rPr>
          <w:rFonts w:ascii="Tahoma" w:eastAsia="Times New Roman" w:hAnsi="Tahoma" w:cs="Tahoma"/>
          <w:color w:val="000000"/>
          <w:sz w:val="24"/>
          <w:szCs w:val="24"/>
          <w:lang w:eastAsia="en-GB"/>
        </w:rPr>
        <w:t>20</w:t>
      </w:r>
      <w:r w:rsidRPr="0044118C">
        <w:rPr>
          <w:rFonts w:ascii="Tahoma" w:eastAsia="Times New Roman" w:hAnsi="Tahoma" w:cs="Tahoma"/>
          <w:color w:val="000000"/>
          <w:sz w:val="24"/>
          <w:szCs w:val="24"/>
          <w:lang w:eastAsia="en-GB"/>
        </w:rPr>
        <w:t>’</w:t>
      </w:r>
      <w:r w:rsidR="00B51647" w:rsidRPr="0044118C">
        <w:rPr>
          <w:rFonts w:ascii="Tahoma" w:eastAsia="Times New Roman" w:hAnsi="Tahoma" w:cs="Tahoma"/>
          <w:color w:val="000000"/>
          <w:sz w:val="24"/>
          <w:szCs w:val="24"/>
          <w:lang w:eastAsia="en-GB"/>
        </w:rPr>
        <w:t xml:space="preserve">. </w:t>
      </w:r>
      <w:r w:rsidR="00B51647" w:rsidRPr="0044118C">
        <w:rPr>
          <w:rFonts w:ascii="Tahoma" w:eastAsia="Times New Roman" w:hAnsi="Tahoma" w:cs="Tahoma"/>
          <w:i/>
          <w:iCs/>
          <w:color w:val="000000"/>
          <w:sz w:val="24"/>
          <w:szCs w:val="24"/>
          <w:lang w:eastAsia="en-GB"/>
        </w:rPr>
        <w:t>Office for Students</w:t>
      </w:r>
      <w:r w:rsidR="0028106B" w:rsidRPr="0044118C">
        <w:rPr>
          <w:rFonts w:ascii="Tahoma" w:eastAsia="Times New Roman" w:hAnsi="Tahoma" w:cs="Tahoma"/>
          <w:color w:val="000000"/>
          <w:sz w:val="24"/>
          <w:szCs w:val="24"/>
          <w:lang w:eastAsia="en-GB"/>
        </w:rPr>
        <w:t xml:space="preserve">. </w:t>
      </w:r>
      <w:r w:rsidR="007875FB" w:rsidRPr="0044118C">
        <w:rPr>
          <w:rFonts w:ascii="Tahoma" w:eastAsia="Times New Roman" w:hAnsi="Tahoma" w:cs="Tahoma"/>
          <w:color w:val="000000"/>
          <w:sz w:val="24"/>
          <w:szCs w:val="24"/>
          <w:lang w:eastAsia="en-GB"/>
        </w:rPr>
        <w:t>Available at</w:t>
      </w:r>
      <w:r w:rsidR="00215A5B" w:rsidRPr="0044118C">
        <w:rPr>
          <w:rFonts w:ascii="Tahoma" w:eastAsia="Times New Roman" w:hAnsi="Tahoma" w:cs="Tahoma"/>
          <w:color w:val="000000"/>
          <w:sz w:val="24"/>
          <w:szCs w:val="24"/>
          <w:lang w:eastAsia="en-GB"/>
        </w:rPr>
        <w:t>:</w:t>
      </w:r>
      <w:r w:rsidR="009E66B6">
        <w:rPr>
          <w:rFonts w:ascii="Tahoma" w:eastAsia="Times New Roman" w:hAnsi="Tahoma" w:cs="Tahoma"/>
          <w:color w:val="000000"/>
          <w:sz w:val="24"/>
          <w:szCs w:val="24"/>
          <w:lang w:eastAsia="en-GB"/>
        </w:rPr>
        <w:t xml:space="preserve"> </w:t>
      </w:r>
      <w:hyperlink r:id="rId15" w:history="1">
        <w:r w:rsidR="009E66B6" w:rsidRPr="009C14AE">
          <w:rPr>
            <w:rStyle w:val="Hyperlink"/>
            <w:rFonts w:ascii="Tahoma" w:eastAsia="Times New Roman" w:hAnsi="Tahoma" w:cs="Tahoma"/>
            <w:sz w:val="24"/>
            <w:szCs w:val="24"/>
            <w:lang w:eastAsia="en-GB"/>
          </w:rPr>
          <w:t>https://apis.officeforstudents.org.uk/accessplansdownloads/1920/StaffordshireUniversity_APP_2019-20_V1_10006299.pdf</w:t>
        </w:r>
      </w:hyperlink>
      <w:r w:rsidR="009E66B6">
        <w:rPr>
          <w:rStyle w:val="Hyperlink"/>
          <w:rFonts w:ascii="Tahoma" w:eastAsia="Times New Roman" w:hAnsi="Tahoma" w:cs="Tahoma"/>
          <w:sz w:val="24"/>
          <w:szCs w:val="24"/>
          <w:lang w:eastAsia="en-GB"/>
        </w:rPr>
        <w:t xml:space="preserve"> </w:t>
      </w:r>
      <w:r w:rsidR="009E66B6" w:rsidRPr="0044118C">
        <w:rPr>
          <w:rFonts w:ascii="Tahoma" w:eastAsia="Times New Roman" w:hAnsi="Tahoma" w:cs="Tahoma"/>
          <w:color w:val="000000"/>
          <w:sz w:val="24"/>
          <w:szCs w:val="24"/>
          <w:lang w:eastAsia="en-GB"/>
        </w:rPr>
        <w:t xml:space="preserve"> </w:t>
      </w:r>
      <w:r w:rsidR="009E66B6">
        <w:rPr>
          <w:rFonts w:ascii="Tahoma" w:eastAsia="Times New Roman" w:hAnsi="Tahoma" w:cs="Tahoma"/>
          <w:color w:val="000000"/>
          <w:sz w:val="24"/>
          <w:szCs w:val="24"/>
          <w:lang w:eastAsia="en-GB"/>
        </w:rPr>
        <w:t>(Accessed: January 2021)</w:t>
      </w:r>
    </w:p>
    <w:p w14:paraId="45DCAA00" w14:textId="3E01CBCC" w:rsidR="0086447D" w:rsidRPr="0044118C" w:rsidRDefault="00177CDC" w:rsidP="0044118C">
      <w:pPr>
        <w:spacing w:line="360" w:lineRule="auto"/>
        <w:rPr>
          <w:rFonts w:ascii="Tahoma" w:eastAsia="Times New Roman" w:hAnsi="Tahoma" w:cs="Tahoma"/>
          <w:color w:val="000000"/>
          <w:sz w:val="24"/>
          <w:szCs w:val="24"/>
          <w:lang w:eastAsia="en-GB"/>
        </w:rPr>
      </w:pPr>
      <w:proofErr w:type="spellStart"/>
      <w:r w:rsidRPr="0044118C">
        <w:rPr>
          <w:rFonts w:ascii="Tahoma" w:eastAsia="Times New Roman" w:hAnsi="Tahoma" w:cs="Tahoma"/>
          <w:color w:val="000000"/>
          <w:sz w:val="24"/>
          <w:szCs w:val="24"/>
          <w:lang w:eastAsia="en-GB"/>
        </w:rPr>
        <w:t>OfS</w:t>
      </w:r>
      <w:proofErr w:type="spellEnd"/>
      <w:r w:rsidR="0028106B" w:rsidRPr="0044118C">
        <w:rPr>
          <w:rFonts w:ascii="Tahoma" w:eastAsia="Times New Roman" w:hAnsi="Tahoma" w:cs="Tahoma"/>
          <w:color w:val="000000"/>
          <w:sz w:val="24"/>
          <w:szCs w:val="24"/>
          <w:lang w:eastAsia="en-GB"/>
        </w:rPr>
        <w:t xml:space="preserve"> (2020) </w:t>
      </w:r>
      <w:r w:rsidRPr="0044118C">
        <w:rPr>
          <w:rFonts w:ascii="Tahoma" w:eastAsia="Times New Roman" w:hAnsi="Tahoma" w:cs="Tahoma"/>
          <w:color w:val="000000"/>
          <w:sz w:val="24"/>
          <w:szCs w:val="24"/>
          <w:lang w:eastAsia="en-GB"/>
        </w:rPr>
        <w:t>‘</w:t>
      </w:r>
      <w:r w:rsidR="0028106B" w:rsidRPr="0044118C">
        <w:rPr>
          <w:rFonts w:ascii="Tahoma" w:eastAsia="Times New Roman" w:hAnsi="Tahoma" w:cs="Tahoma"/>
          <w:color w:val="000000"/>
          <w:sz w:val="24"/>
          <w:szCs w:val="24"/>
          <w:lang w:eastAsia="en-GB"/>
        </w:rPr>
        <w:t>Staffordshire University, Access and Participation Plan 2020-2021</w:t>
      </w:r>
      <w:r w:rsidR="00DC7F25" w:rsidRPr="0044118C">
        <w:rPr>
          <w:rFonts w:ascii="Tahoma" w:eastAsia="Times New Roman" w:hAnsi="Tahoma" w:cs="Tahoma"/>
          <w:color w:val="000000"/>
          <w:sz w:val="24"/>
          <w:szCs w:val="24"/>
          <w:lang w:eastAsia="en-GB"/>
        </w:rPr>
        <w:t>’</w:t>
      </w:r>
      <w:r w:rsidR="0028106B" w:rsidRPr="0044118C">
        <w:rPr>
          <w:rFonts w:ascii="Tahoma" w:eastAsia="Times New Roman" w:hAnsi="Tahoma" w:cs="Tahoma"/>
          <w:color w:val="000000"/>
          <w:sz w:val="24"/>
          <w:szCs w:val="24"/>
          <w:lang w:eastAsia="en-GB"/>
        </w:rPr>
        <w:t xml:space="preserve"> to 2024-25</w:t>
      </w:r>
      <w:r w:rsidR="00DC7F25" w:rsidRPr="0044118C">
        <w:rPr>
          <w:rFonts w:ascii="Tahoma" w:eastAsia="Times New Roman" w:hAnsi="Tahoma" w:cs="Tahoma"/>
          <w:color w:val="000000"/>
          <w:sz w:val="24"/>
          <w:szCs w:val="24"/>
          <w:lang w:eastAsia="en-GB"/>
        </w:rPr>
        <w:t>’</w:t>
      </w:r>
      <w:r w:rsidR="0028106B" w:rsidRPr="0044118C">
        <w:rPr>
          <w:rFonts w:ascii="Tahoma" w:eastAsia="Times New Roman" w:hAnsi="Tahoma" w:cs="Tahoma"/>
          <w:color w:val="000000"/>
          <w:sz w:val="24"/>
          <w:szCs w:val="24"/>
          <w:lang w:eastAsia="en-GB"/>
        </w:rPr>
        <w:t xml:space="preserve">. </w:t>
      </w:r>
      <w:r w:rsidR="00DC7F25" w:rsidRPr="0044118C">
        <w:rPr>
          <w:rFonts w:ascii="Tahoma" w:eastAsia="Times New Roman" w:hAnsi="Tahoma" w:cs="Tahoma"/>
          <w:i/>
          <w:iCs/>
          <w:color w:val="000000"/>
          <w:sz w:val="24"/>
          <w:szCs w:val="24"/>
          <w:lang w:eastAsia="en-GB"/>
        </w:rPr>
        <w:t>Office for Students.</w:t>
      </w:r>
      <w:r w:rsidR="00060758" w:rsidRPr="0044118C">
        <w:rPr>
          <w:rFonts w:ascii="Tahoma" w:eastAsia="Times New Roman" w:hAnsi="Tahoma" w:cs="Tahoma"/>
          <w:i/>
          <w:iCs/>
          <w:color w:val="000000"/>
          <w:sz w:val="24"/>
          <w:szCs w:val="24"/>
          <w:lang w:eastAsia="en-GB"/>
        </w:rPr>
        <w:t xml:space="preserve"> </w:t>
      </w:r>
      <w:r w:rsidR="000F2793" w:rsidRPr="0044118C">
        <w:rPr>
          <w:rFonts w:ascii="Tahoma" w:eastAsia="Times New Roman" w:hAnsi="Tahoma" w:cs="Tahoma"/>
          <w:color w:val="000000"/>
          <w:sz w:val="24"/>
          <w:szCs w:val="24"/>
          <w:lang w:eastAsia="en-GB"/>
        </w:rPr>
        <w:t xml:space="preserve">Available at: </w:t>
      </w:r>
      <w:r w:rsidR="00060758" w:rsidRPr="0044118C">
        <w:rPr>
          <w:rFonts w:ascii="Tahoma" w:eastAsia="Times New Roman" w:hAnsi="Tahoma" w:cs="Tahoma"/>
          <w:color w:val="000000"/>
          <w:sz w:val="24"/>
          <w:szCs w:val="24"/>
          <w:lang w:eastAsia="en-GB"/>
        </w:rPr>
        <w:t xml:space="preserve"> </w:t>
      </w:r>
      <w:hyperlink r:id="rId16" w:history="1">
        <w:r w:rsidR="0086447D" w:rsidRPr="0044118C">
          <w:rPr>
            <w:rStyle w:val="Hyperlink"/>
            <w:rFonts w:ascii="Tahoma" w:eastAsia="Times New Roman" w:hAnsi="Tahoma" w:cs="Tahoma"/>
            <w:sz w:val="24"/>
            <w:szCs w:val="24"/>
            <w:lang w:eastAsia="en-GB"/>
          </w:rPr>
          <w:t>https://apis.officeforstudents.org.uk/accessplansdownloads/2024/StaffordshireUniversity_APP_2020-21_V1_10006299.pdf</w:t>
        </w:r>
      </w:hyperlink>
      <w:r w:rsidR="009E66B6">
        <w:rPr>
          <w:rStyle w:val="Hyperlink"/>
          <w:rFonts w:ascii="Tahoma" w:eastAsia="Times New Roman" w:hAnsi="Tahoma" w:cs="Tahoma"/>
          <w:sz w:val="24"/>
          <w:szCs w:val="24"/>
          <w:lang w:eastAsia="en-GB"/>
        </w:rPr>
        <w:t xml:space="preserve"> </w:t>
      </w:r>
      <w:r w:rsidR="009E66B6" w:rsidRPr="0044118C">
        <w:rPr>
          <w:rFonts w:ascii="Tahoma" w:eastAsia="Times New Roman" w:hAnsi="Tahoma" w:cs="Tahoma"/>
          <w:color w:val="000000"/>
          <w:sz w:val="24"/>
          <w:szCs w:val="24"/>
          <w:lang w:eastAsia="en-GB"/>
        </w:rPr>
        <w:t xml:space="preserve"> </w:t>
      </w:r>
      <w:r w:rsidR="009E66B6">
        <w:rPr>
          <w:rFonts w:ascii="Tahoma" w:eastAsia="Times New Roman" w:hAnsi="Tahoma" w:cs="Tahoma"/>
          <w:color w:val="000000"/>
          <w:sz w:val="24"/>
          <w:szCs w:val="24"/>
          <w:lang w:eastAsia="en-GB"/>
        </w:rPr>
        <w:t>(Accessed: January 2021)</w:t>
      </w:r>
    </w:p>
    <w:p w14:paraId="346F8E9A" w14:textId="1526B06E" w:rsidR="00DB2201" w:rsidRPr="0044118C" w:rsidRDefault="00DB2201"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Osterman, K.F. (2000) ‘Students’ need for belonging in the school community’. </w:t>
      </w:r>
      <w:r w:rsidRPr="0044118C">
        <w:rPr>
          <w:rFonts w:ascii="Tahoma" w:eastAsia="Times New Roman" w:hAnsi="Tahoma" w:cs="Tahoma"/>
          <w:i/>
          <w:iCs/>
          <w:color w:val="000000"/>
          <w:sz w:val="24"/>
          <w:szCs w:val="24"/>
          <w:lang w:eastAsia="en-GB"/>
        </w:rPr>
        <w:t>Review of Educational Research</w:t>
      </w:r>
      <w:r w:rsidR="002D2107">
        <w:rPr>
          <w:rFonts w:ascii="Tahoma" w:eastAsia="Times New Roman" w:hAnsi="Tahoma" w:cs="Tahoma"/>
          <w:color w:val="000000"/>
          <w:sz w:val="24"/>
          <w:szCs w:val="24"/>
          <w:lang w:eastAsia="en-GB"/>
        </w:rPr>
        <w:t>,</w:t>
      </w:r>
      <w:r w:rsidR="004802B8">
        <w:rPr>
          <w:rFonts w:ascii="Tahoma" w:eastAsia="Times New Roman" w:hAnsi="Tahoma" w:cs="Tahoma"/>
          <w:color w:val="000000"/>
          <w:sz w:val="24"/>
          <w:szCs w:val="24"/>
          <w:lang w:eastAsia="en-GB"/>
        </w:rPr>
        <w:t xml:space="preserve"> </w:t>
      </w:r>
      <w:r w:rsidRPr="0044118C">
        <w:rPr>
          <w:rFonts w:ascii="Tahoma" w:eastAsia="Times New Roman" w:hAnsi="Tahoma" w:cs="Tahoma"/>
          <w:color w:val="000000"/>
          <w:sz w:val="24"/>
          <w:szCs w:val="24"/>
          <w:lang w:eastAsia="en-GB"/>
        </w:rPr>
        <w:t>70(3) pp. 323-367.</w:t>
      </w:r>
    </w:p>
    <w:p w14:paraId="26CC492D" w14:textId="466D9BC3" w:rsidR="002C10DC" w:rsidRPr="0044118C" w:rsidRDefault="002C10DC"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Power, E. J. (2012) ‘Embedding employability into an active learning curriculum’. </w:t>
      </w:r>
      <w:r w:rsidR="005D4FAD">
        <w:rPr>
          <w:rFonts w:ascii="Tahoma" w:eastAsia="Times New Roman" w:hAnsi="Tahoma" w:cs="Tahoma"/>
          <w:color w:val="000000"/>
          <w:sz w:val="24"/>
          <w:szCs w:val="24"/>
          <w:lang w:eastAsia="en-GB"/>
        </w:rPr>
        <w:t>T</w:t>
      </w:r>
      <w:r w:rsidRPr="0044118C">
        <w:rPr>
          <w:rFonts w:ascii="Tahoma" w:eastAsia="Times New Roman" w:hAnsi="Tahoma" w:cs="Tahoma"/>
          <w:i/>
          <w:iCs/>
          <w:color w:val="000000"/>
          <w:sz w:val="24"/>
          <w:szCs w:val="24"/>
          <w:lang w:eastAsia="en-GB"/>
        </w:rPr>
        <w:t>he 88th Textile Institute World Conference 2012</w:t>
      </w:r>
      <w:r w:rsidR="00CE02D0">
        <w:rPr>
          <w:rFonts w:ascii="Tahoma" w:eastAsia="Times New Roman" w:hAnsi="Tahoma" w:cs="Tahoma"/>
          <w:i/>
          <w:iCs/>
          <w:color w:val="000000"/>
          <w:sz w:val="24"/>
          <w:szCs w:val="24"/>
          <w:lang w:eastAsia="en-GB"/>
        </w:rPr>
        <w:t>.</w:t>
      </w:r>
      <w:r w:rsidRPr="0044118C">
        <w:rPr>
          <w:rFonts w:ascii="Tahoma" w:eastAsia="Times New Roman" w:hAnsi="Tahoma" w:cs="Tahoma"/>
          <w:i/>
          <w:iCs/>
          <w:color w:val="000000"/>
          <w:sz w:val="24"/>
          <w:szCs w:val="24"/>
          <w:lang w:eastAsia="en-GB"/>
        </w:rPr>
        <w:t xml:space="preserve"> </w:t>
      </w:r>
      <w:r w:rsidRPr="00CE02D0">
        <w:rPr>
          <w:rFonts w:ascii="Tahoma" w:eastAsia="Times New Roman" w:hAnsi="Tahoma" w:cs="Tahoma"/>
          <w:color w:val="000000"/>
          <w:sz w:val="24"/>
          <w:szCs w:val="24"/>
          <w:lang w:eastAsia="en-GB"/>
        </w:rPr>
        <w:t>Selangor, Malaysia</w:t>
      </w:r>
      <w:r w:rsidR="00CE02D0" w:rsidRPr="00CE02D0">
        <w:rPr>
          <w:rFonts w:ascii="Tahoma" w:eastAsia="Times New Roman" w:hAnsi="Tahoma" w:cs="Tahoma"/>
          <w:color w:val="000000"/>
          <w:sz w:val="24"/>
          <w:szCs w:val="24"/>
          <w:lang w:eastAsia="en-GB"/>
        </w:rPr>
        <w:t>, May 2012</w:t>
      </w:r>
      <w:r w:rsidRPr="0044118C">
        <w:rPr>
          <w:rFonts w:ascii="Tahoma" w:eastAsia="Times New Roman" w:hAnsi="Tahoma" w:cs="Tahoma"/>
          <w:color w:val="000000"/>
          <w:sz w:val="24"/>
          <w:szCs w:val="24"/>
          <w:lang w:eastAsia="en-GB"/>
        </w:rPr>
        <w:t xml:space="preserve">. </w:t>
      </w:r>
    </w:p>
    <w:p w14:paraId="06200E6E" w14:textId="49B364C6" w:rsidR="002C10DC" w:rsidRPr="0044118C" w:rsidRDefault="002C10DC"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Power, E. J. (2010) ‘Examination of issues effecting the teaching and learning of large cohorts within practical based </w:t>
      </w:r>
      <w:proofErr w:type="gramStart"/>
      <w:r w:rsidRPr="0044118C">
        <w:rPr>
          <w:rFonts w:ascii="Tahoma" w:eastAsia="Times New Roman" w:hAnsi="Tahoma" w:cs="Tahoma"/>
          <w:color w:val="000000"/>
          <w:sz w:val="24"/>
          <w:szCs w:val="24"/>
          <w:lang w:eastAsia="en-GB"/>
        </w:rPr>
        <w:t>subjects’</w:t>
      </w:r>
      <w:proofErr w:type="gramEnd"/>
      <w:r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i/>
          <w:iCs/>
          <w:color w:val="000000"/>
          <w:sz w:val="24"/>
          <w:szCs w:val="24"/>
          <w:lang w:eastAsia="en-GB"/>
        </w:rPr>
        <w:t>International Journal of Fashion Design, Technology and Education</w:t>
      </w:r>
      <w:r w:rsidR="004802B8">
        <w:rPr>
          <w:rFonts w:ascii="Tahoma" w:eastAsia="Times New Roman" w:hAnsi="Tahoma" w:cs="Tahoma"/>
          <w:i/>
          <w:iCs/>
          <w:color w:val="000000"/>
          <w:sz w:val="24"/>
          <w:szCs w:val="24"/>
          <w:lang w:eastAsia="en-GB"/>
        </w:rPr>
        <w:t>,</w:t>
      </w:r>
      <w:r w:rsidRPr="0044118C">
        <w:rPr>
          <w:rFonts w:ascii="Tahoma" w:eastAsia="Times New Roman" w:hAnsi="Tahoma" w:cs="Tahoma"/>
          <w:color w:val="000000"/>
          <w:sz w:val="24"/>
          <w:szCs w:val="24"/>
          <w:lang w:eastAsia="en-GB"/>
        </w:rPr>
        <w:t xml:space="preserve">  3(2)</w:t>
      </w:r>
      <w:r w:rsidR="004802B8">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pp. 55-66.</w:t>
      </w:r>
    </w:p>
    <w:p w14:paraId="16D64597" w14:textId="4F0720DE" w:rsidR="002C10DC" w:rsidRPr="0044118C" w:rsidRDefault="002C10DC"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Power, E. J. (2007) </w:t>
      </w:r>
      <w:r w:rsidR="00CE02D0">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An Examination into textile education by active research’. </w:t>
      </w:r>
      <w:r w:rsidR="00CE02D0">
        <w:rPr>
          <w:rFonts w:ascii="Tahoma" w:eastAsia="Times New Roman" w:hAnsi="Tahoma" w:cs="Tahoma"/>
          <w:color w:val="000000"/>
          <w:sz w:val="24"/>
          <w:szCs w:val="24"/>
          <w:lang w:eastAsia="en-GB"/>
        </w:rPr>
        <w:t>P</w:t>
      </w:r>
      <w:r w:rsidRPr="0044118C">
        <w:rPr>
          <w:rFonts w:ascii="Tahoma" w:eastAsia="Times New Roman" w:hAnsi="Tahoma" w:cs="Tahoma"/>
          <w:i/>
          <w:iCs/>
          <w:color w:val="000000"/>
          <w:sz w:val="24"/>
          <w:szCs w:val="24"/>
          <w:lang w:eastAsia="en-GB"/>
        </w:rPr>
        <w:t>roceedings of Textile Institute 85th World Conference</w:t>
      </w:r>
      <w:r w:rsidR="00CE02D0">
        <w:rPr>
          <w:rFonts w:ascii="Tahoma" w:eastAsia="Times New Roman" w:hAnsi="Tahoma" w:cs="Tahoma"/>
          <w:i/>
          <w:iCs/>
          <w:color w:val="000000"/>
          <w:sz w:val="24"/>
          <w:szCs w:val="24"/>
          <w:lang w:eastAsia="en-GB"/>
        </w:rPr>
        <w:t xml:space="preserve">. </w:t>
      </w:r>
      <w:r w:rsidRPr="00E26EAF">
        <w:rPr>
          <w:rFonts w:ascii="Tahoma" w:eastAsia="Times New Roman" w:hAnsi="Tahoma" w:cs="Tahoma"/>
          <w:color w:val="000000"/>
          <w:sz w:val="24"/>
          <w:szCs w:val="24"/>
          <w:lang w:eastAsia="en-GB"/>
        </w:rPr>
        <w:t>Sri Lanka, March 2007.</w:t>
      </w:r>
      <w:r w:rsidRPr="0044118C">
        <w:rPr>
          <w:rFonts w:ascii="Tahoma" w:eastAsia="Times New Roman" w:hAnsi="Tahoma" w:cs="Tahoma"/>
          <w:color w:val="000000"/>
          <w:sz w:val="24"/>
          <w:szCs w:val="24"/>
          <w:lang w:eastAsia="en-GB"/>
        </w:rPr>
        <w:t xml:space="preserve"> </w:t>
      </w:r>
    </w:p>
    <w:p w14:paraId="6B6407C9" w14:textId="3BCEE240" w:rsidR="002C10DC" w:rsidRPr="0044118C" w:rsidRDefault="00DB2201" w:rsidP="0044118C">
      <w:pPr>
        <w:spacing w:line="360" w:lineRule="auto"/>
        <w:rPr>
          <w:rFonts w:ascii="Tahoma" w:eastAsia="Times New Roman" w:hAnsi="Tahoma" w:cs="Tahoma"/>
          <w:color w:val="000000"/>
          <w:sz w:val="24"/>
          <w:szCs w:val="24"/>
          <w:lang w:eastAsia="en-GB"/>
        </w:rPr>
      </w:pPr>
      <w:proofErr w:type="spellStart"/>
      <w:r w:rsidRPr="0044118C">
        <w:rPr>
          <w:rFonts w:ascii="Tahoma" w:eastAsia="Times New Roman" w:hAnsi="Tahoma" w:cs="Tahoma"/>
          <w:color w:val="000000"/>
          <w:sz w:val="24"/>
          <w:szCs w:val="24"/>
          <w:lang w:eastAsia="en-GB"/>
        </w:rPr>
        <w:t>Staiculescu</w:t>
      </w:r>
      <w:proofErr w:type="spellEnd"/>
      <w:r w:rsidRPr="0044118C">
        <w:rPr>
          <w:rFonts w:ascii="Tahoma" w:eastAsia="Times New Roman" w:hAnsi="Tahoma" w:cs="Tahoma"/>
          <w:color w:val="000000"/>
          <w:sz w:val="24"/>
          <w:szCs w:val="24"/>
          <w:lang w:eastAsia="en-GB"/>
        </w:rPr>
        <w:t xml:space="preserve">, C. and </w:t>
      </w:r>
      <w:proofErr w:type="spellStart"/>
      <w:r w:rsidRPr="0044118C">
        <w:rPr>
          <w:rFonts w:ascii="Tahoma" w:eastAsia="Times New Roman" w:hAnsi="Tahoma" w:cs="Tahoma"/>
          <w:color w:val="000000"/>
          <w:sz w:val="24"/>
          <w:szCs w:val="24"/>
          <w:lang w:eastAsia="en-GB"/>
        </w:rPr>
        <w:t>Richiteanu</w:t>
      </w:r>
      <w:proofErr w:type="spellEnd"/>
      <w:r w:rsidRPr="0044118C">
        <w:rPr>
          <w:rFonts w:ascii="Tahoma" w:eastAsia="Times New Roman" w:hAnsi="Tahoma" w:cs="Tahoma"/>
          <w:color w:val="000000"/>
          <w:sz w:val="24"/>
          <w:szCs w:val="24"/>
          <w:lang w:eastAsia="en-GB"/>
        </w:rPr>
        <w:t>, N.E.R. (2018) ‘University dropout’</w:t>
      </w:r>
      <w:r w:rsidR="00E26EAF">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i/>
          <w:iCs/>
          <w:color w:val="000000"/>
          <w:sz w:val="24"/>
          <w:szCs w:val="24"/>
          <w:lang w:eastAsia="en-GB"/>
        </w:rPr>
        <w:t>Proceedings of Causes and Solution Conference</w:t>
      </w:r>
      <w:r w:rsidR="00E26EAF">
        <w:rPr>
          <w:rFonts w:ascii="Tahoma" w:eastAsia="Times New Roman" w:hAnsi="Tahoma" w:cs="Tahoma"/>
          <w:i/>
          <w:iCs/>
          <w:color w:val="000000"/>
          <w:sz w:val="24"/>
          <w:szCs w:val="24"/>
          <w:lang w:eastAsia="en-GB"/>
        </w:rPr>
        <w:t xml:space="preserve">. </w:t>
      </w:r>
      <w:r w:rsidRPr="0044118C">
        <w:rPr>
          <w:rFonts w:ascii="Tahoma" w:eastAsia="Times New Roman" w:hAnsi="Tahoma" w:cs="Tahoma"/>
          <w:i/>
          <w:iCs/>
          <w:color w:val="000000"/>
          <w:sz w:val="24"/>
          <w:szCs w:val="24"/>
          <w:lang w:eastAsia="en-GB"/>
        </w:rPr>
        <w:t>Mental Health Global Challenges XXI Century.</w:t>
      </w:r>
      <w:r w:rsidRPr="0044118C">
        <w:rPr>
          <w:rFonts w:ascii="Tahoma" w:eastAsia="Times New Roman" w:hAnsi="Tahoma" w:cs="Tahoma"/>
          <w:color w:val="000000"/>
          <w:sz w:val="24"/>
          <w:szCs w:val="24"/>
          <w:lang w:eastAsia="en-GB"/>
        </w:rPr>
        <w:t xml:space="preserve"> Available at:   </w:t>
      </w:r>
      <w:hyperlink r:id="rId17" w:history="1">
        <w:r w:rsidRPr="0044118C">
          <w:rPr>
            <w:rStyle w:val="Hyperlink"/>
            <w:rFonts w:ascii="Tahoma" w:eastAsia="Times New Roman" w:hAnsi="Tahoma" w:cs="Tahoma"/>
            <w:sz w:val="24"/>
            <w:szCs w:val="24"/>
            <w:lang w:eastAsia="en-GB"/>
          </w:rPr>
          <w:t>https://www.researchgate.net/publication/334193821_University_dropout_Causes_and_solution</w:t>
        </w:r>
      </w:hyperlink>
      <w:r w:rsidRPr="0044118C">
        <w:rPr>
          <w:rFonts w:ascii="Tahoma" w:eastAsia="Times New Roman" w:hAnsi="Tahoma" w:cs="Tahoma"/>
          <w:color w:val="000000"/>
          <w:sz w:val="24"/>
          <w:szCs w:val="24"/>
          <w:lang w:eastAsia="en-GB"/>
        </w:rPr>
        <w:t xml:space="preserve"> (Accessed</w:t>
      </w:r>
      <w:r w:rsidR="00E26EAF">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September 2021).</w:t>
      </w:r>
    </w:p>
    <w:p w14:paraId="73530E60" w14:textId="51621BBC" w:rsidR="002C10DC" w:rsidRPr="0044118C" w:rsidRDefault="002C10DC"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Staffordshire University (2018) </w:t>
      </w:r>
      <w:r w:rsidRPr="002D2107">
        <w:rPr>
          <w:rFonts w:ascii="Tahoma" w:eastAsia="Times New Roman" w:hAnsi="Tahoma" w:cs="Tahoma"/>
          <w:i/>
          <w:iCs/>
          <w:color w:val="000000"/>
          <w:sz w:val="24"/>
          <w:szCs w:val="24"/>
          <w:lang w:eastAsia="en-GB"/>
        </w:rPr>
        <w:t>Academic Regulations 2019-2020: What Staffs do?</w:t>
      </w:r>
      <w:r w:rsidRPr="0044118C">
        <w:rPr>
          <w:rFonts w:ascii="Tahoma" w:eastAsia="Times New Roman" w:hAnsi="Tahoma" w:cs="Tahoma"/>
          <w:color w:val="000000"/>
          <w:sz w:val="24"/>
          <w:szCs w:val="24"/>
          <w:lang w:eastAsia="en-GB"/>
        </w:rPr>
        <w:t xml:space="preserve"> Staffordshire University</w:t>
      </w:r>
      <w:r w:rsidR="002D2107">
        <w:rPr>
          <w:rFonts w:ascii="Tahoma" w:eastAsia="Times New Roman" w:hAnsi="Tahoma" w:cs="Tahoma"/>
          <w:color w:val="000000"/>
          <w:sz w:val="24"/>
          <w:szCs w:val="24"/>
          <w:lang w:eastAsia="en-GB"/>
        </w:rPr>
        <w:t xml:space="preserve">. </w:t>
      </w:r>
      <w:r w:rsidRPr="0044118C">
        <w:rPr>
          <w:rFonts w:ascii="Tahoma" w:eastAsia="Times New Roman" w:hAnsi="Tahoma" w:cs="Tahoma"/>
          <w:color w:val="000000"/>
          <w:sz w:val="24"/>
          <w:szCs w:val="24"/>
          <w:lang w:eastAsia="en-GB"/>
        </w:rPr>
        <w:t xml:space="preserve">Available at: </w:t>
      </w:r>
      <w:hyperlink r:id="rId18" w:history="1">
        <w:r w:rsidRPr="0044118C">
          <w:rPr>
            <w:rStyle w:val="Hyperlink"/>
            <w:rFonts w:ascii="Tahoma" w:eastAsia="Times New Roman" w:hAnsi="Tahoma" w:cs="Tahoma"/>
            <w:sz w:val="24"/>
            <w:szCs w:val="24"/>
            <w:lang w:eastAsia="en-GB"/>
          </w:rPr>
          <w:t>https://www.staffs.ac.uk/students/course-administration/academic-policies-and-regulations</w:t>
        </w:r>
      </w:hyperlink>
      <w:r w:rsidRPr="0044118C">
        <w:rPr>
          <w:rFonts w:ascii="Tahoma" w:eastAsia="Times New Roman" w:hAnsi="Tahoma" w:cs="Tahoma"/>
          <w:color w:val="000000"/>
          <w:sz w:val="24"/>
          <w:szCs w:val="24"/>
          <w:lang w:eastAsia="en-GB"/>
        </w:rPr>
        <w:t xml:space="preserve"> (Accessed</w:t>
      </w:r>
      <w:r w:rsidR="00E26EAF">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Dec</w:t>
      </w:r>
      <w:r w:rsidR="00E26EAF">
        <w:rPr>
          <w:rFonts w:ascii="Tahoma" w:eastAsia="Times New Roman" w:hAnsi="Tahoma" w:cs="Tahoma"/>
          <w:color w:val="000000"/>
          <w:sz w:val="24"/>
          <w:szCs w:val="24"/>
          <w:lang w:eastAsia="en-GB"/>
        </w:rPr>
        <w:t>ember</w:t>
      </w:r>
      <w:r w:rsidRPr="0044118C">
        <w:rPr>
          <w:rFonts w:ascii="Tahoma" w:eastAsia="Times New Roman" w:hAnsi="Tahoma" w:cs="Tahoma"/>
          <w:color w:val="000000"/>
          <w:sz w:val="24"/>
          <w:szCs w:val="24"/>
          <w:lang w:eastAsia="en-GB"/>
        </w:rPr>
        <w:t xml:space="preserve"> 2019).</w:t>
      </w:r>
    </w:p>
    <w:p w14:paraId="1E0EF7BD" w14:textId="7E60CDF4" w:rsidR="00CE113C" w:rsidRPr="0044118C" w:rsidRDefault="0028106B"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Thomas</w:t>
      </w:r>
      <w:r w:rsidR="00547468"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L. (2012) </w:t>
      </w:r>
      <w:r w:rsidRPr="002D2107">
        <w:rPr>
          <w:rFonts w:ascii="Tahoma" w:eastAsia="Times New Roman" w:hAnsi="Tahoma" w:cs="Tahoma"/>
          <w:i/>
          <w:iCs/>
          <w:color w:val="000000"/>
          <w:sz w:val="24"/>
          <w:szCs w:val="24"/>
          <w:lang w:eastAsia="en-GB"/>
        </w:rPr>
        <w:t>What works? Student Retention and Success</w:t>
      </w:r>
      <w:r w:rsidRPr="0044118C">
        <w:rPr>
          <w:rFonts w:ascii="Tahoma" w:eastAsia="Times New Roman" w:hAnsi="Tahoma" w:cs="Tahoma"/>
          <w:color w:val="000000"/>
          <w:sz w:val="24"/>
          <w:szCs w:val="24"/>
          <w:lang w:eastAsia="en-GB"/>
        </w:rPr>
        <w:t xml:space="preserve">. </w:t>
      </w:r>
      <w:r w:rsidR="000F2793" w:rsidRPr="0044118C">
        <w:rPr>
          <w:rFonts w:ascii="Tahoma" w:eastAsia="Times New Roman" w:hAnsi="Tahoma" w:cs="Tahoma"/>
          <w:color w:val="000000"/>
          <w:sz w:val="24"/>
          <w:szCs w:val="24"/>
          <w:lang w:eastAsia="en-GB"/>
        </w:rPr>
        <w:t xml:space="preserve">Available at: </w:t>
      </w:r>
      <w:r w:rsidRPr="0044118C">
        <w:rPr>
          <w:rFonts w:ascii="Tahoma" w:eastAsia="Times New Roman" w:hAnsi="Tahoma" w:cs="Tahoma"/>
          <w:color w:val="000000"/>
          <w:sz w:val="24"/>
          <w:szCs w:val="24"/>
          <w:lang w:eastAsia="en-GB"/>
        </w:rPr>
        <w:t xml:space="preserve"> </w:t>
      </w:r>
      <w:hyperlink r:id="rId19" w:history="1">
        <w:r w:rsidR="000761C2" w:rsidRPr="0044118C">
          <w:rPr>
            <w:rStyle w:val="Hyperlink"/>
            <w:rFonts w:ascii="Tahoma" w:eastAsia="Times New Roman" w:hAnsi="Tahoma" w:cs="Tahoma"/>
            <w:sz w:val="24"/>
            <w:szCs w:val="24"/>
            <w:lang w:eastAsia="en-GB"/>
          </w:rPr>
          <w:t>https://www.advance-he.ac.uk/knowledge-hub/building-student-engagement-and-belonging-higher-education-time-change-final-report</w:t>
        </w:r>
      </w:hyperlink>
      <w:r w:rsidR="009E66B6">
        <w:rPr>
          <w:rStyle w:val="Hyperlink"/>
          <w:rFonts w:ascii="Tahoma" w:eastAsia="Times New Roman" w:hAnsi="Tahoma" w:cs="Tahoma"/>
          <w:sz w:val="24"/>
          <w:szCs w:val="24"/>
          <w:lang w:eastAsia="en-GB"/>
        </w:rPr>
        <w:t xml:space="preserve"> </w:t>
      </w:r>
      <w:r w:rsidR="009E66B6" w:rsidRPr="0044118C">
        <w:rPr>
          <w:rFonts w:ascii="Tahoma" w:eastAsia="Times New Roman" w:hAnsi="Tahoma" w:cs="Tahoma"/>
          <w:color w:val="000000"/>
          <w:sz w:val="24"/>
          <w:szCs w:val="24"/>
          <w:lang w:eastAsia="en-GB"/>
        </w:rPr>
        <w:t xml:space="preserve"> </w:t>
      </w:r>
      <w:r w:rsidR="009E66B6">
        <w:rPr>
          <w:rFonts w:ascii="Tahoma" w:eastAsia="Times New Roman" w:hAnsi="Tahoma" w:cs="Tahoma"/>
          <w:color w:val="000000"/>
          <w:sz w:val="24"/>
          <w:szCs w:val="24"/>
          <w:lang w:eastAsia="en-GB"/>
        </w:rPr>
        <w:t>(Accessed: September 2019)</w:t>
      </w:r>
    </w:p>
    <w:p w14:paraId="4DAEA776" w14:textId="645FD018" w:rsidR="002C10DC" w:rsidRPr="0044118C" w:rsidRDefault="002C10DC"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Thomas, L., Hill, M., O’ Mahony, J. and Yorke, M. (2017) ‘Supporting student success: strategies for institutional change’. </w:t>
      </w:r>
      <w:r w:rsidRPr="0044118C">
        <w:rPr>
          <w:rFonts w:ascii="Tahoma" w:eastAsia="Times New Roman" w:hAnsi="Tahoma" w:cs="Tahoma"/>
          <w:i/>
          <w:iCs/>
          <w:color w:val="000000"/>
          <w:sz w:val="24"/>
          <w:szCs w:val="24"/>
          <w:lang w:eastAsia="en-GB"/>
        </w:rPr>
        <w:t xml:space="preserve">What Works? Student Retention &amp; Success programme. Final Report. </w:t>
      </w:r>
      <w:r w:rsidRPr="0044118C">
        <w:rPr>
          <w:rFonts w:ascii="Tahoma" w:eastAsia="Times New Roman" w:hAnsi="Tahoma" w:cs="Tahoma"/>
          <w:color w:val="000000"/>
          <w:sz w:val="24"/>
          <w:szCs w:val="24"/>
          <w:lang w:eastAsia="en-GB"/>
        </w:rPr>
        <w:t xml:space="preserve">London: Paul Hamlyn Foundation. Available at: </w:t>
      </w:r>
      <w:hyperlink r:id="rId20" w:history="1">
        <w:r w:rsidRPr="0044118C">
          <w:rPr>
            <w:rStyle w:val="Hyperlink"/>
            <w:rFonts w:ascii="Tahoma" w:eastAsia="Times New Roman" w:hAnsi="Tahoma" w:cs="Tahoma"/>
            <w:sz w:val="24"/>
            <w:szCs w:val="24"/>
            <w:lang w:eastAsia="en-GB"/>
          </w:rPr>
          <w:t>https://www.phf.org.uk/wp-content/uploads/2017/04/Summary-report-final-no-crop-1.pdf</w:t>
        </w:r>
      </w:hyperlink>
      <w:r w:rsidRPr="0044118C">
        <w:rPr>
          <w:rFonts w:ascii="Tahoma" w:eastAsia="Times New Roman" w:hAnsi="Tahoma" w:cs="Tahoma"/>
          <w:color w:val="000000"/>
          <w:sz w:val="24"/>
          <w:szCs w:val="24"/>
          <w:lang w:eastAsia="en-GB"/>
        </w:rPr>
        <w:t xml:space="preserve"> (Accessed</w:t>
      </w:r>
      <w:r w:rsidR="00E26EAF">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Sep</w:t>
      </w:r>
      <w:r w:rsidR="00E26EAF">
        <w:rPr>
          <w:rFonts w:ascii="Tahoma" w:eastAsia="Times New Roman" w:hAnsi="Tahoma" w:cs="Tahoma"/>
          <w:color w:val="000000"/>
          <w:sz w:val="24"/>
          <w:szCs w:val="24"/>
          <w:lang w:eastAsia="en-GB"/>
        </w:rPr>
        <w:t>tember</w:t>
      </w:r>
      <w:r w:rsidRPr="0044118C">
        <w:rPr>
          <w:rFonts w:ascii="Tahoma" w:eastAsia="Times New Roman" w:hAnsi="Tahoma" w:cs="Tahoma"/>
          <w:color w:val="000000"/>
          <w:sz w:val="24"/>
          <w:szCs w:val="24"/>
          <w:lang w:eastAsia="en-GB"/>
        </w:rPr>
        <w:t xml:space="preserve"> 2023).</w:t>
      </w:r>
    </w:p>
    <w:p w14:paraId="01F60327" w14:textId="4ABF1477" w:rsidR="0028106B" w:rsidRPr="0044118C" w:rsidRDefault="0028106B" w:rsidP="0044118C">
      <w:pPr>
        <w:spacing w:line="360" w:lineRule="auto"/>
        <w:rPr>
          <w:rFonts w:ascii="Tahoma" w:eastAsia="Times New Roman" w:hAnsi="Tahoma" w:cs="Tahoma"/>
          <w:color w:val="000000"/>
          <w:sz w:val="24"/>
          <w:szCs w:val="24"/>
          <w:lang w:eastAsia="en-GB"/>
        </w:rPr>
      </w:pPr>
      <w:proofErr w:type="spellStart"/>
      <w:r w:rsidRPr="0044118C">
        <w:rPr>
          <w:rFonts w:ascii="Tahoma" w:eastAsia="Times New Roman" w:hAnsi="Tahoma" w:cs="Tahoma"/>
          <w:color w:val="000000"/>
          <w:sz w:val="24"/>
          <w:szCs w:val="24"/>
          <w:lang w:eastAsia="en-GB"/>
        </w:rPr>
        <w:lastRenderedPageBreak/>
        <w:t>Trowler</w:t>
      </w:r>
      <w:proofErr w:type="spellEnd"/>
      <w:r w:rsidRPr="0044118C">
        <w:rPr>
          <w:rFonts w:ascii="Tahoma" w:eastAsia="Times New Roman" w:hAnsi="Tahoma" w:cs="Tahoma"/>
          <w:color w:val="000000"/>
          <w:sz w:val="24"/>
          <w:szCs w:val="24"/>
          <w:lang w:eastAsia="en-GB"/>
        </w:rPr>
        <w:t xml:space="preserve">, V. and </w:t>
      </w:r>
      <w:proofErr w:type="spellStart"/>
      <w:r w:rsidRPr="0044118C">
        <w:rPr>
          <w:rFonts w:ascii="Tahoma" w:eastAsia="Times New Roman" w:hAnsi="Tahoma" w:cs="Tahoma"/>
          <w:color w:val="000000"/>
          <w:sz w:val="24"/>
          <w:szCs w:val="24"/>
          <w:lang w:eastAsia="en-GB"/>
        </w:rPr>
        <w:t>Trowler</w:t>
      </w:r>
      <w:proofErr w:type="spellEnd"/>
      <w:r w:rsidRPr="0044118C">
        <w:rPr>
          <w:rFonts w:ascii="Tahoma" w:eastAsia="Times New Roman" w:hAnsi="Tahoma" w:cs="Tahoma"/>
          <w:color w:val="000000"/>
          <w:sz w:val="24"/>
          <w:szCs w:val="24"/>
          <w:lang w:eastAsia="en-GB"/>
        </w:rPr>
        <w:t xml:space="preserve">, P. (2010) </w:t>
      </w:r>
      <w:r w:rsidRPr="00512152">
        <w:rPr>
          <w:rFonts w:ascii="Tahoma" w:eastAsia="Times New Roman" w:hAnsi="Tahoma" w:cs="Tahoma"/>
          <w:i/>
          <w:iCs/>
          <w:color w:val="000000"/>
          <w:sz w:val="24"/>
          <w:szCs w:val="24"/>
          <w:lang w:eastAsia="en-GB"/>
        </w:rPr>
        <w:t>Student engagement evidence summar</w:t>
      </w:r>
      <w:r w:rsidR="00512152" w:rsidRPr="00512152">
        <w:rPr>
          <w:rFonts w:ascii="Tahoma" w:eastAsia="Times New Roman" w:hAnsi="Tahoma" w:cs="Tahoma"/>
          <w:i/>
          <w:iCs/>
          <w:color w:val="000000"/>
          <w:sz w:val="24"/>
          <w:szCs w:val="24"/>
          <w:lang w:eastAsia="en-GB"/>
        </w:rPr>
        <w:t>y</w:t>
      </w:r>
      <w:r w:rsidRPr="00512152">
        <w:rPr>
          <w:rFonts w:ascii="Tahoma" w:eastAsia="Times New Roman" w:hAnsi="Tahoma" w:cs="Tahoma"/>
          <w:i/>
          <w:iCs/>
          <w:color w:val="000000"/>
          <w:sz w:val="24"/>
          <w:szCs w:val="24"/>
          <w:lang w:eastAsia="en-GB"/>
        </w:rPr>
        <w:t>.</w:t>
      </w:r>
      <w:r w:rsidRPr="0044118C">
        <w:rPr>
          <w:rFonts w:ascii="Tahoma" w:eastAsia="Times New Roman" w:hAnsi="Tahoma" w:cs="Tahoma"/>
          <w:color w:val="000000"/>
          <w:sz w:val="24"/>
          <w:szCs w:val="24"/>
          <w:lang w:eastAsia="en-GB"/>
        </w:rPr>
        <w:t xml:space="preserve"> </w:t>
      </w:r>
      <w:r w:rsidR="000F2793" w:rsidRPr="0044118C">
        <w:rPr>
          <w:rFonts w:ascii="Tahoma" w:eastAsia="Times New Roman" w:hAnsi="Tahoma" w:cs="Tahoma"/>
          <w:color w:val="000000"/>
          <w:sz w:val="24"/>
          <w:szCs w:val="24"/>
          <w:lang w:eastAsia="en-GB"/>
        </w:rPr>
        <w:t xml:space="preserve">Available at: </w:t>
      </w:r>
      <w:hyperlink r:id="rId21" w:history="1">
        <w:r w:rsidR="004D7179" w:rsidRPr="0044118C">
          <w:rPr>
            <w:rStyle w:val="Hyperlink"/>
            <w:rFonts w:ascii="Tahoma" w:eastAsia="Times New Roman" w:hAnsi="Tahoma" w:cs="Tahoma"/>
            <w:sz w:val="24"/>
            <w:szCs w:val="24"/>
            <w:lang w:eastAsia="en-GB"/>
          </w:rPr>
          <w:t>https://www.advance-he.ac.uk/knowledge-hub/student-engagement-evidence-summary</w:t>
        </w:r>
      </w:hyperlink>
      <w:r w:rsidR="004D7179" w:rsidRPr="0044118C">
        <w:rPr>
          <w:rFonts w:ascii="Tahoma" w:eastAsia="Times New Roman" w:hAnsi="Tahoma" w:cs="Tahoma"/>
          <w:color w:val="000000"/>
          <w:sz w:val="24"/>
          <w:szCs w:val="24"/>
          <w:lang w:eastAsia="en-GB"/>
        </w:rPr>
        <w:t xml:space="preserve"> </w:t>
      </w:r>
      <w:r w:rsidR="00CB5606" w:rsidRPr="0044118C">
        <w:rPr>
          <w:rFonts w:ascii="Tahoma" w:eastAsia="Times New Roman" w:hAnsi="Tahoma" w:cs="Tahoma"/>
          <w:color w:val="000000"/>
          <w:sz w:val="24"/>
          <w:szCs w:val="24"/>
          <w:lang w:eastAsia="en-GB"/>
        </w:rPr>
        <w:t>(Accessed</w:t>
      </w:r>
      <w:r w:rsidR="00E26EAF">
        <w:rPr>
          <w:rFonts w:ascii="Tahoma" w:eastAsia="Times New Roman" w:hAnsi="Tahoma" w:cs="Tahoma"/>
          <w:color w:val="000000"/>
          <w:sz w:val="24"/>
          <w:szCs w:val="24"/>
          <w:lang w:eastAsia="en-GB"/>
        </w:rPr>
        <w:t>:</w:t>
      </w:r>
      <w:r w:rsidR="00CB5606"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color w:val="000000"/>
          <w:sz w:val="24"/>
          <w:szCs w:val="24"/>
          <w:lang w:eastAsia="en-GB"/>
        </w:rPr>
        <w:t>June 2012</w:t>
      </w:r>
      <w:r w:rsidR="00CB5606"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w:t>
      </w:r>
    </w:p>
    <w:p w14:paraId="324CCEA5" w14:textId="71E85A08" w:rsidR="0028106B" w:rsidRPr="0044118C" w:rsidRDefault="0028106B" w:rsidP="0044118C">
      <w:pPr>
        <w:spacing w:line="360" w:lineRule="auto"/>
        <w:rPr>
          <w:rFonts w:ascii="Tahoma" w:eastAsia="Times New Roman" w:hAnsi="Tahoma" w:cs="Tahoma"/>
          <w:color w:val="000000"/>
          <w:sz w:val="24"/>
          <w:szCs w:val="24"/>
          <w:lang w:eastAsia="en-GB"/>
        </w:rPr>
      </w:pPr>
      <w:r w:rsidRPr="0044118C">
        <w:rPr>
          <w:rFonts w:ascii="Tahoma" w:eastAsia="Times New Roman" w:hAnsi="Tahoma" w:cs="Tahoma"/>
          <w:color w:val="000000"/>
          <w:sz w:val="24"/>
          <w:szCs w:val="24"/>
          <w:lang w:eastAsia="en-GB"/>
        </w:rPr>
        <w:t xml:space="preserve">Wong, B., </w:t>
      </w:r>
      <w:proofErr w:type="spellStart"/>
      <w:r w:rsidRPr="0044118C">
        <w:rPr>
          <w:rFonts w:ascii="Tahoma" w:eastAsia="Times New Roman" w:hAnsi="Tahoma" w:cs="Tahoma"/>
          <w:color w:val="000000"/>
          <w:sz w:val="24"/>
          <w:szCs w:val="24"/>
          <w:lang w:eastAsia="en-GB"/>
        </w:rPr>
        <w:t>ElMorally</w:t>
      </w:r>
      <w:proofErr w:type="spellEnd"/>
      <w:r w:rsidRPr="0044118C">
        <w:rPr>
          <w:rFonts w:ascii="Tahoma" w:eastAsia="Times New Roman" w:hAnsi="Tahoma" w:cs="Tahoma"/>
          <w:color w:val="000000"/>
          <w:sz w:val="24"/>
          <w:szCs w:val="24"/>
          <w:lang w:eastAsia="en-GB"/>
        </w:rPr>
        <w:t xml:space="preserve">, R. </w:t>
      </w:r>
      <w:r w:rsidR="00F069F9" w:rsidRPr="0044118C">
        <w:rPr>
          <w:rFonts w:ascii="Tahoma" w:eastAsia="Times New Roman" w:hAnsi="Tahoma" w:cs="Tahoma"/>
          <w:color w:val="000000"/>
          <w:sz w:val="24"/>
          <w:szCs w:val="24"/>
          <w:lang w:eastAsia="en-GB"/>
        </w:rPr>
        <w:t>and</w:t>
      </w:r>
      <w:r w:rsidRPr="0044118C">
        <w:rPr>
          <w:rFonts w:ascii="Tahoma" w:eastAsia="Times New Roman" w:hAnsi="Tahoma" w:cs="Tahoma"/>
          <w:color w:val="000000"/>
          <w:sz w:val="24"/>
          <w:szCs w:val="24"/>
          <w:lang w:eastAsia="en-GB"/>
        </w:rPr>
        <w:t xml:space="preserve"> Copsey-Blake, M. (2021) </w:t>
      </w:r>
      <w:r w:rsidR="00F069F9"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‘Fair and square’: what do students think about the ethnicity degree awarding gap</w:t>
      </w:r>
      <w:r w:rsidR="00F069F9"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i/>
          <w:iCs/>
          <w:color w:val="000000"/>
          <w:sz w:val="24"/>
          <w:szCs w:val="24"/>
          <w:lang w:eastAsia="en-GB"/>
        </w:rPr>
        <w:t>Journal of Further and Higher Education</w:t>
      </w:r>
      <w:r w:rsidR="00512152">
        <w:rPr>
          <w:rFonts w:ascii="Tahoma" w:eastAsia="Times New Roman" w:hAnsi="Tahoma" w:cs="Tahoma"/>
          <w:i/>
          <w:iCs/>
          <w:color w:val="000000"/>
          <w:sz w:val="24"/>
          <w:szCs w:val="24"/>
          <w:lang w:eastAsia="en-GB"/>
        </w:rPr>
        <w:t>,</w:t>
      </w:r>
      <w:r w:rsidRPr="0044118C">
        <w:rPr>
          <w:rFonts w:ascii="Tahoma" w:eastAsia="Times New Roman" w:hAnsi="Tahoma" w:cs="Tahoma"/>
          <w:color w:val="000000"/>
          <w:sz w:val="24"/>
          <w:szCs w:val="24"/>
          <w:lang w:eastAsia="en-GB"/>
        </w:rPr>
        <w:t xml:space="preserve"> 45</w:t>
      </w:r>
      <w:r w:rsidR="00F069F9"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8</w:t>
      </w:r>
      <w:r w:rsidR="00F069F9" w:rsidRPr="0044118C">
        <w:rPr>
          <w:rFonts w:ascii="Tahoma" w:eastAsia="Times New Roman" w:hAnsi="Tahoma" w:cs="Tahoma"/>
          <w:color w:val="000000"/>
          <w:sz w:val="24"/>
          <w:szCs w:val="24"/>
          <w:lang w:eastAsia="en-GB"/>
        </w:rPr>
        <w:t>)</w:t>
      </w:r>
      <w:r w:rsidR="00512152">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w:t>
      </w:r>
      <w:r w:rsidR="00F069F9" w:rsidRPr="0044118C">
        <w:rPr>
          <w:rFonts w:ascii="Tahoma" w:eastAsia="Times New Roman" w:hAnsi="Tahoma" w:cs="Tahoma"/>
          <w:color w:val="000000"/>
          <w:sz w:val="24"/>
          <w:szCs w:val="24"/>
          <w:lang w:eastAsia="en-GB"/>
        </w:rPr>
        <w:t xml:space="preserve">pp. </w:t>
      </w:r>
      <w:r w:rsidRPr="0044118C">
        <w:rPr>
          <w:rFonts w:ascii="Tahoma" w:eastAsia="Times New Roman" w:hAnsi="Tahoma" w:cs="Tahoma"/>
          <w:color w:val="000000"/>
          <w:sz w:val="24"/>
          <w:szCs w:val="24"/>
          <w:lang w:eastAsia="en-GB"/>
        </w:rPr>
        <w:t>1147-1161</w:t>
      </w:r>
      <w:r w:rsidR="004519C5" w:rsidRPr="0044118C">
        <w:rPr>
          <w:rFonts w:ascii="Tahoma" w:eastAsia="Times New Roman" w:hAnsi="Tahoma" w:cs="Tahoma"/>
          <w:color w:val="000000"/>
          <w:sz w:val="24"/>
          <w:szCs w:val="24"/>
          <w:lang w:eastAsia="en-GB"/>
        </w:rPr>
        <w:t>.</w:t>
      </w:r>
      <w:r w:rsidRPr="0044118C">
        <w:rPr>
          <w:rFonts w:ascii="Tahoma" w:eastAsia="Times New Roman" w:hAnsi="Tahoma" w:cs="Tahoma"/>
          <w:color w:val="000000"/>
          <w:sz w:val="24"/>
          <w:szCs w:val="24"/>
          <w:lang w:eastAsia="en-GB"/>
        </w:rPr>
        <w:t xml:space="preserve"> </w:t>
      </w:r>
      <w:proofErr w:type="spellStart"/>
      <w:r w:rsidR="00512152">
        <w:rPr>
          <w:rFonts w:ascii="Tahoma" w:eastAsia="Times New Roman" w:hAnsi="Tahoma" w:cs="Tahoma"/>
          <w:color w:val="000000"/>
          <w:sz w:val="24"/>
          <w:szCs w:val="24"/>
          <w:lang w:eastAsia="en-GB"/>
        </w:rPr>
        <w:t>doi</w:t>
      </w:r>
      <w:proofErr w:type="spellEnd"/>
      <w:r w:rsidR="004519C5" w:rsidRPr="0044118C">
        <w:rPr>
          <w:rFonts w:ascii="Tahoma" w:eastAsia="Times New Roman" w:hAnsi="Tahoma" w:cs="Tahoma"/>
          <w:color w:val="000000"/>
          <w:sz w:val="24"/>
          <w:szCs w:val="24"/>
          <w:lang w:eastAsia="en-GB"/>
        </w:rPr>
        <w:t xml:space="preserve">: </w:t>
      </w:r>
      <w:r w:rsidR="00C75006" w:rsidRPr="0044118C">
        <w:rPr>
          <w:rFonts w:ascii="Tahoma" w:eastAsia="Times New Roman" w:hAnsi="Tahoma" w:cs="Tahoma"/>
          <w:color w:val="000000"/>
          <w:sz w:val="24"/>
          <w:szCs w:val="24"/>
          <w:lang w:eastAsia="en-GB"/>
        </w:rPr>
        <w:t xml:space="preserve"> </w:t>
      </w:r>
      <w:hyperlink r:id="rId22" w:history="1">
        <w:r w:rsidR="00885849" w:rsidRPr="0044118C">
          <w:rPr>
            <w:rStyle w:val="Hyperlink"/>
            <w:rFonts w:ascii="Tahoma" w:eastAsia="Times New Roman" w:hAnsi="Tahoma" w:cs="Tahoma"/>
            <w:sz w:val="24"/>
            <w:szCs w:val="24"/>
            <w:lang w:eastAsia="en-GB"/>
          </w:rPr>
          <w:t>https://www.tandfonline.com/doi/full/10.1080/0309877X.2021.1932773</w:t>
        </w:r>
      </w:hyperlink>
    </w:p>
    <w:p w14:paraId="41FEA802" w14:textId="77777777" w:rsidR="00DE741E" w:rsidRPr="0044118C" w:rsidRDefault="00DE741E" w:rsidP="0044118C">
      <w:pPr>
        <w:spacing w:line="360" w:lineRule="auto"/>
        <w:rPr>
          <w:rFonts w:ascii="Tahoma" w:hAnsi="Tahoma" w:cs="Tahoma"/>
          <w:lang w:eastAsia="en-GB"/>
        </w:rPr>
      </w:pPr>
    </w:p>
    <w:p w14:paraId="0E6D995B" w14:textId="77777777" w:rsidR="004D3EB7" w:rsidRPr="0044118C" w:rsidRDefault="004D3EB7" w:rsidP="0044118C">
      <w:pPr>
        <w:pStyle w:val="Heading2"/>
        <w:spacing w:before="0" w:after="160" w:line="360" w:lineRule="auto"/>
        <w:rPr>
          <w:rFonts w:ascii="Tahoma" w:eastAsia="Tahoma" w:hAnsi="Tahoma" w:cs="Tahoma"/>
          <w:color w:val="000000" w:themeColor="text1"/>
          <w:sz w:val="24"/>
          <w:szCs w:val="24"/>
          <w:lang w:val="en-US"/>
        </w:rPr>
      </w:pPr>
      <w:r w:rsidRPr="0044118C">
        <w:rPr>
          <w:rFonts w:ascii="Tahoma" w:eastAsia="Tahoma" w:hAnsi="Tahoma" w:cs="Tahoma"/>
          <w:b/>
          <w:bCs/>
          <w:color w:val="auto"/>
          <w:sz w:val="28"/>
          <w:szCs w:val="28"/>
          <w:lang w:val="en-US"/>
        </w:rPr>
        <w:t xml:space="preserve">Disclosure statement </w:t>
      </w:r>
    </w:p>
    <w:p w14:paraId="5A034DE9" w14:textId="72180D11" w:rsidR="00962903" w:rsidRPr="0044118C" w:rsidRDefault="00CF2DA9" w:rsidP="0044118C">
      <w:pPr>
        <w:spacing w:line="360" w:lineRule="auto"/>
        <w:rPr>
          <w:rFonts w:ascii="Tahoma" w:eastAsia="Times New Roman" w:hAnsi="Tahoma" w:cs="Tahoma"/>
          <w:i/>
          <w:sz w:val="24"/>
          <w:szCs w:val="24"/>
          <w:lang w:val="en-US" w:eastAsia="zh-CN"/>
        </w:rPr>
      </w:pPr>
      <w:r w:rsidRPr="0044118C">
        <w:rPr>
          <w:rFonts w:ascii="Tahoma" w:eastAsia="Times New Roman" w:hAnsi="Tahoma" w:cs="Tahoma"/>
          <w:iCs/>
          <w:color w:val="000000"/>
          <w:sz w:val="24"/>
          <w:szCs w:val="24"/>
          <w:lang w:eastAsia="en-GB"/>
        </w:rPr>
        <w:t>All materials included in t</w:t>
      </w:r>
      <w:r w:rsidR="00603BE2" w:rsidRPr="0044118C">
        <w:rPr>
          <w:rFonts w:ascii="Tahoma" w:eastAsia="Times New Roman" w:hAnsi="Tahoma" w:cs="Tahoma"/>
          <w:iCs/>
          <w:color w:val="000000"/>
          <w:sz w:val="24"/>
          <w:szCs w:val="24"/>
          <w:lang w:eastAsia="en-GB"/>
        </w:rPr>
        <w:t>he article represent the author</w:t>
      </w:r>
      <w:r w:rsidRPr="0044118C">
        <w:rPr>
          <w:rFonts w:ascii="Tahoma" w:eastAsia="Times New Roman" w:hAnsi="Tahoma" w:cs="Tahoma"/>
          <w:iCs/>
          <w:color w:val="000000"/>
          <w:sz w:val="24"/>
          <w:szCs w:val="24"/>
          <w:lang w:eastAsia="en-GB"/>
        </w:rPr>
        <w:t>s own work and anything cited or paraphrased within the text is included in the reference list. The work has not been previously published nor is it being considered for publication elsewhere.</w:t>
      </w:r>
      <w:r w:rsidRPr="0044118C">
        <w:rPr>
          <w:rFonts w:ascii="Tahoma" w:eastAsia="Times New Roman" w:hAnsi="Tahoma" w:cs="Tahoma"/>
          <w:color w:val="000000"/>
          <w:sz w:val="24"/>
          <w:szCs w:val="24"/>
          <w:lang w:eastAsia="en-GB"/>
        </w:rPr>
        <w:t xml:space="preserve"> </w:t>
      </w:r>
      <w:r w:rsidRPr="0044118C">
        <w:rPr>
          <w:rFonts w:ascii="Tahoma" w:eastAsia="Times New Roman" w:hAnsi="Tahoma" w:cs="Tahoma"/>
          <w:iCs/>
          <w:color w:val="000000"/>
          <w:sz w:val="24"/>
          <w:szCs w:val="24"/>
          <w:lang w:eastAsia="en-GB"/>
        </w:rPr>
        <w:t>There are no conflicts of interest which might have influenced the authors in reporting their findings completely and honestly</w:t>
      </w:r>
      <w:r w:rsidR="005763A7" w:rsidRPr="0044118C">
        <w:rPr>
          <w:rFonts w:ascii="Tahoma" w:eastAsia="Times New Roman" w:hAnsi="Tahoma" w:cs="Tahoma"/>
          <w:iCs/>
          <w:color w:val="000000"/>
          <w:sz w:val="24"/>
          <w:szCs w:val="24"/>
          <w:lang w:eastAsia="en-GB"/>
        </w:rPr>
        <w:t>.</w:t>
      </w:r>
    </w:p>
    <w:sectPr w:rsidR="00962903" w:rsidRPr="0044118C" w:rsidSect="0044118C">
      <w:headerReference w:type="default" r:id="rId23"/>
      <w:footerReference w:type="default" r:id="rId24"/>
      <w:pgSz w:w="11906" w:h="1683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9A84" w14:textId="77777777" w:rsidR="004E5EE6" w:rsidRDefault="004E5EE6" w:rsidP="0044118C">
      <w:pPr>
        <w:spacing w:after="0" w:line="240" w:lineRule="auto"/>
      </w:pPr>
      <w:r>
        <w:separator/>
      </w:r>
    </w:p>
  </w:endnote>
  <w:endnote w:type="continuationSeparator" w:id="0">
    <w:p w14:paraId="2DDF1AA6" w14:textId="77777777" w:rsidR="004E5EE6" w:rsidRDefault="004E5EE6" w:rsidP="0044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E35F" w14:textId="77777777" w:rsidR="00EE7FAF" w:rsidRPr="00C33412" w:rsidRDefault="00EE7FAF" w:rsidP="00EE7FAF">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00FEBCEF" w14:textId="77777777" w:rsidR="00EE7FAF" w:rsidRPr="00C33412" w:rsidRDefault="00EE7FAF" w:rsidP="00EE7FAF">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55BA05FA" w14:textId="62576578" w:rsidR="005964EB" w:rsidRDefault="00EE7FAF">
    <w:pPr>
      <w:pStyle w:val="Footer"/>
    </w:pPr>
    <w:r w:rsidRPr="00C33412">
      <w:rPr>
        <w:rFonts w:ascii="Tahoma" w:hAnsi="Tahoma" w:cs="Tahoma"/>
        <w:sz w:val="20"/>
        <w:szCs w:val="20"/>
      </w:rPr>
      <w:t>ISSN: 2044-3315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EE8F" w14:textId="77777777" w:rsidR="004E5EE6" w:rsidRDefault="004E5EE6" w:rsidP="0044118C">
      <w:pPr>
        <w:spacing w:after="0" w:line="240" w:lineRule="auto"/>
      </w:pPr>
      <w:r>
        <w:separator/>
      </w:r>
    </w:p>
  </w:footnote>
  <w:footnote w:type="continuationSeparator" w:id="0">
    <w:p w14:paraId="6797C548" w14:textId="77777777" w:rsidR="004E5EE6" w:rsidRDefault="004E5EE6" w:rsidP="0044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987A" w14:textId="20CF0232" w:rsidR="002A7EE2" w:rsidRPr="00C33412" w:rsidRDefault="002A7EE2" w:rsidP="002A7EE2">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 xml:space="preserve">Power, Griffiths and </w:t>
    </w:r>
    <w:proofErr w:type="spellStart"/>
    <w:r>
      <w:rPr>
        <w:rFonts w:ascii="Tahoma" w:hAnsi="Tahoma" w:cs="Tahoma"/>
        <w:sz w:val="20"/>
        <w:szCs w:val="20"/>
      </w:rPr>
      <w:t>Jones-Devitt</w:t>
    </w:r>
    <w:proofErr w:type="spellEnd"/>
  </w:p>
  <w:p w14:paraId="41BD0FCE" w14:textId="66F8E8FB" w:rsidR="0044118C" w:rsidRPr="002A7EE2" w:rsidRDefault="002A7EE2">
    <w:pPr>
      <w:pStyle w:val="Header"/>
      <w:rPr>
        <w:rFonts w:ascii="Arial" w:hAnsi="Arial" w:cs="Arial"/>
        <w:sz w:val="20"/>
        <w:szCs w:val="20"/>
      </w:rP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00604ACE">
      <w:rPr>
        <w:rFonts w:ascii="Tahoma" w:hAnsi="Tahoma" w:cs="Tahoma"/>
        <w:sz w:val="20"/>
        <w:szCs w:val="20"/>
      </w:rPr>
      <w:tab/>
    </w:r>
    <w:r>
      <w:rPr>
        <w:rFonts w:ascii="Tahoma" w:hAnsi="Tahoma" w:cs="Tahoma"/>
        <w:sz w:val="20"/>
        <w:szCs w:val="20"/>
      </w:rPr>
      <w:tab/>
    </w:r>
    <w:r w:rsidR="005964EB">
      <w:rPr>
        <w:rFonts w:ascii="Tahoma" w:hAnsi="Tahoma" w:cs="Tahoma"/>
        <w:sz w:val="20"/>
        <w:szCs w:val="20"/>
      </w:rPr>
      <w:t>Re-engaging students by reframing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10A24CED"/>
    <w:multiLevelType w:val="hybridMultilevel"/>
    <w:tmpl w:val="FD2E8A66"/>
    <w:lvl w:ilvl="0" w:tplc="33DCD708">
      <w:start w:val="15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334B7"/>
    <w:multiLevelType w:val="hybridMultilevel"/>
    <w:tmpl w:val="1986AA2A"/>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A600B46"/>
    <w:multiLevelType w:val="hybridMultilevel"/>
    <w:tmpl w:val="F346716E"/>
    <w:lvl w:ilvl="0" w:tplc="0CEE49C8">
      <w:start w:val="150"/>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9076102">
    <w:abstractNumId w:val="0"/>
  </w:num>
  <w:num w:numId="2" w16cid:durableId="854346328">
    <w:abstractNumId w:val="1"/>
  </w:num>
  <w:num w:numId="3" w16cid:durableId="1778257681">
    <w:abstractNumId w:val="3"/>
  </w:num>
  <w:num w:numId="4" w16cid:durableId="160380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67"/>
    <w:rsid w:val="00003A0F"/>
    <w:rsid w:val="000056AD"/>
    <w:rsid w:val="00011F13"/>
    <w:rsid w:val="00013749"/>
    <w:rsid w:val="0001388B"/>
    <w:rsid w:val="00017637"/>
    <w:rsid w:val="00025644"/>
    <w:rsid w:val="00030C13"/>
    <w:rsid w:val="000320FF"/>
    <w:rsid w:val="000332A5"/>
    <w:rsid w:val="0004214D"/>
    <w:rsid w:val="0004229C"/>
    <w:rsid w:val="0004678E"/>
    <w:rsid w:val="00060758"/>
    <w:rsid w:val="000719F1"/>
    <w:rsid w:val="000761C2"/>
    <w:rsid w:val="00076865"/>
    <w:rsid w:val="00080F76"/>
    <w:rsid w:val="000875B6"/>
    <w:rsid w:val="0009031F"/>
    <w:rsid w:val="00090AF5"/>
    <w:rsid w:val="00090B5A"/>
    <w:rsid w:val="000926B8"/>
    <w:rsid w:val="00094974"/>
    <w:rsid w:val="00097CD1"/>
    <w:rsid w:val="000A6E75"/>
    <w:rsid w:val="000C4FAD"/>
    <w:rsid w:val="000D2BB3"/>
    <w:rsid w:val="000F2793"/>
    <w:rsid w:val="000F443E"/>
    <w:rsid w:val="00110586"/>
    <w:rsid w:val="00111E81"/>
    <w:rsid w:val="00113483"/>
    <w:rsid w:val="0012244D"/>
    <w:rsid w:val="001238A5"/>
    <w:rsid w:val="001239FC"/>
    <w:rsid w:val="00145448"/>
    <w:rsid w:val="001509E6"/>
    <w:rsid w:val="001532BB"/>
    <w:rsid w:val="001554B0"/>
    <w:rsid w:val="00164977"/>
    <w:rsid w:val="00173026"/>
    <w:rsid w:val="00177CDC"/>
    <w:rsid w:val="00177D40"/>
    <w:rsid w:val="00184200"/>
    <w:rsid w:val="00190F09"/>
    <w:rsid w:val="001A6D02"/>
    <w:rsid w:val="001B0B80"/>
    <w:rsid w:val="001B1E10"/>
    <w:rsid w:val="001C201F"/>
    <w:rsid w:val="001D0E5A"/>
    <w:rsid w:val="001E1C79"/>
    <w:rsid w:val="001E3C81"/>
    <w:rsid w:val="001E63EB"/>
    <w:rsid w:val="001E6485"/>
    <w:rsid w:val="001F095B"/>
    <w:rsid w:val="002073C8"/>
    <w:rsid w:val="00215A5B"/>
    <w:rsid w:val="00216536"/>
    <w:rsid w:val="002245CA"/>
    <w:rsid w:val="002529DF"/>
    <w:rsid w:val="002568EE"/>
    <w:rsid w:val="00256F68"/>
    <w:rsid w:val="00260F4F"/>
    <w:rsid w:val="002619A1"/>
    <w:rsid w:val="00261D04"/>
    <w:rsid w:val="00270517"/>
    <w:rsid w:val="00275BF5"/>
    <w:rsid w:val="00280D93"/>
    <w:rsid w:val="0028106B"/>
    <w:rsid w:val="00281424"/>
    <w:rsid w:val="00296842"/>
    <w:rsid w:val="002A003A"/>
    <w:rsid w:val="002A18D7"/>
    <w:rsid w:val="002A4582"/>
    <w:rsid w:val="002A4954"/>
    <w:rsid w:val="002A7EE2"/>
    <w:rsid w:val="002C10DC"/>
    <w:rsid w:val="002C4BB2"/>
    <w:rsid w:val="002C7B3F"/>
    <w:rsid w:val="002D03F4"/>
    <w:rsid w:val="002D2107"/>
    <w:rsid w:val="002D3CCB"/>
    <w:rsid w:val="002D7905"/>
    <w:rsid w:val="002E1F55"/>
    <w:rsid w:val="002E21E8"/>
    <w:rsid w:val="002E761F"/>
    <w:rsid w:val="002F0D92"/>
    <w:rsid w:val="002F1817"/>
    <w:rsid w:val="00302032"/>
    <w:rsid w:val="00303B02"/>
    <w:rsid w:val="0030576D"/>
    <w:rsid w:val="00310BED"/>
    <w:rsid w:val="0031110C"/>
    <w:rsid w:val="00314096"/>
    <w:rsid w:val="003316CF"/>
    <w:rsid w:val="00333C34"/>
    <w:rsid w:val="0034426C"/>
    <w:rsid w:val="0034512D"/>
    <w:rsid w:val="00353094"/>
    <w:rsid w:val="00354507"/>
    <w:rsid w:val="0036208C"/>
    <w:rsid w:val="0036710D"/>
    <w:rsid w:val="0036756E"/>
    <w:rsid w:val="00371762"/>
    <w:rsid w:val="00377AAD"/>
    <w:rsid w:val="00385336"/>
    <w:rsid w:val="00391406"/>
    <w:rsid w:val="00391646"/>
    <w:rsid w:val="003A460A"/>
    <w:rsid w:val="003C22CD"/>
    <w:rsid w:val="003C3B82"/>
    <w:rsid w:val="003C5C42"/>
    <w:rsid w:val="003C67EF"/>
    <w:rsid w:val="003D1A86"/>
    <w:rsid w:val="003F04A2"/>
    <w:rsid w:val="00406588"/>
    <w:rsid w:val="00435A73"/>
    <w:rsid w:val="004403C7"/>
    <w:rsid w:val="0044110C"/>
    <w:rsid w:val="0044118C"/>
    <w:rsid w:val="004519C5"/>
    <w:rsid w:val="00461F54"/>
    <w:rsid w:val="00467E0B"/>
    <w:rsid w:val="00474067"/>
    <w:rsid w:val="0047647B"/>
    <w:rsid w:val="004802B8"/>
    <w:rsid w:val="004806F3"/>
    <w:rsid w:val="004819BD"/>
    <w:rsid w:val="00490D1C"/>
    <w:rsid w:val="00493B2B"/>
    <w:rsid w:val="00494736"/>
    <w:rsid w:val="004A10D8"/>
    <w:rsid w:val="004A5FB8"/>
    <w:rsid w:val="004B2DC6"/>
    <w:rsid w:val="004B3710"/>
    <w:rsid w:val="004B4BB6"/>
    <w:rsid w:val="004D0AEF"/>
    <w:rsid w:val="004D32AB"/>
    <w:rsid w:val="004D3EB7"/>
    <w:rsid w:val="004D7179"/>
    <w:rsid w:val="004E2A95"/>
    <w:rsid w:val="004E4152"/>
    <w:rsid w:val="004E5EE6"/>
    <w:rsid w:val="004F7CEE"/>
    <w:rsid w:val="0050101C"/>
    <w:rsid w:val="00503D76"/>
    <w:rsid w:val="00507C79"/>
    <w:rsid w:val="00511BC2"/>
    <w:rsid w:val="00512152"/>
    <w:rsid w:val="005176B6"/>
    <w:rsid w:val="00517CBE"/>
    <w:rsid w:val="0052217B"/>
    <w:rsid w:val="005232F8"/>
    <w:rsid w:val="00533889"/>
    <w:rsid w:val="00535DA6"/>
    <w:rsid w:val="005365AE"/>
    <w:rsid w:val="005408A1"/>
    <w:rsid w:val="00540AE7"/>
    <w:rsid w:val="0054577D"/>
    <w:rsid w:val="00547188"/>
    <w:rsid w:val="00547468"/>
    <w:rsid w:val="00565F33"/>
    <w:rsid w:val="00571EB2"/>
    <w:rsid w:val="005763A7"/>
    <w:rsid w:val="00580CDB"/>
    <w:rsid w:val="005850F3"/>
    <w:rsid w:val="00586ADF"/>
    <w:rsid w:val="005964EB"/>
    <w:rsid w:val="005B25BE"/>
    <w:rsid w:val="005D3BE9"/>
    <w:rsid w:val="005D4FAD"/>
    <w:rsid w:val="005E766E"/>
    <w:rsid w:val="005E7F2B"/>
    <w:rsid w:val="005F020D"/>
    <w:rsid w:val="005F0644"/>
    <w:rsid w:val="00600290"/>
    <w:rsid w:val="00601DD1"/>
    <w:rsid w:val="00603AA7"/>
    <w:rsid w:val="00603BE2"/>
    <w:rsid w:val="00604ACE"/>
    <w:rsid w:val="006128EF"/>
    <w:rsid w:val="00614794"/>
    <w:rsid w:val="00624267"/>
    <w:rsid w:val="00625261"/>
    <w:rsid w:val="006335C0"/>
    <w:rsid w:val="00635114"/>
    <w:rsid w:val="00642BC8"/>
    <w:rsid w:val="00642FE4"/>
    <w:rsid w:val="00655BF1"/>
    <w:rsid w:val="00672A1C"/>
    <w:rsid w:val="0067382B"/>
    <w:rsid w:val="00674EB8"/>
    <w:rsid w:val="00682306"/>
    <w:rsid w:val="0068321D"/>
    <w:rsid w:val="006855A9"/>
    <w:rsid w:val="00690354"/>
    <w:rsid w:val="00693DA8"/>
    <w:rsid w:val="00696534"/>
    <w:rsid w:val="006A7533"/>
    <w:rsid w:val="006B7043"/>
    <w:rsid w:val="006B7589"/>
    <w:rsid w:val="006C61A3"/>
    <w:rsid w:val="006C657F"/>
    <w:rsid w:val="006C7C96"/>
    <w:rsid w:val="006D1AF0"/>
    <w:rsid w:val="006D32D6"/>
    <w:rsid w:val="006D6927"/>
    <w:rsid w:val="006F04A8"/>
    <w:rsid w:val="006F2816"/>
    <w:rsid w:val="006F45E4"/>
    <w:rsid w:val="007074C6"/>
    <w:rsid w:val="00710634"/>
    <w:rsid w:val="00713EAE"/>
    <w:rsid w:val="007215A7"/>
    <w:rsid w:val="00721D6A"/>
    <w:rsid w:val="00723556"/>
    <w:rsid w:val="00724241"/>
    <w:rsid w:val="007262D9"/>
    <w:rsid w:val="00746990"/>
    <w:rsid w:val="0076232E"/>
    <w:rsid w:val="0077294D"/>
    <w:rsid w:val="00777D92"/>
    <w:rsid w:val="007843C0"/>
    <w:rsid w:val="007875FB"/>
    <w:rsid w:val="00792525"/>
    <w:rsid w:val="007971A3"/>
    <w:rsid w:val="007A28EF"/>
    <w:rsid w:val="007A51FA"/>
    <w:rsid w:val="007B1E76"/>
    <w:rsid w:val="007B560C"/>
    <w:rsid w:val="007C0461"/>
    <w:rsid w:val="007C713B"/>
    <w:rsid w:val="007E40DA"/>
    <w:rsid w:val="007F0661"/>
    <w:rsid w:val="00802FC0"/>
    <w:rsid w:val="008038D5"/>
    <w:rsid w:val="0080474E"/>
    <w:rsid w:val="00811CF9"/>
    <w:rsid w:val="00832637"/>
    <w:rsid w:val="008431ED"/>
    <w:rsid w:val="008453F6"/>
    <w:rsid w:val="00851E84"/>
    <w:rsid w:val="00855820"/>
    <w:rsid w:val="008616B6"/>
    <w:rsid w:val="0086447D"/>
    <w:rsid w:val="00885849"/>
    <w:rsid w:val="008902DD"/>
    <w:rsid w:val="008B0AB2"/>
    <w:rsid w:val="008B25BB"/>
    <w:rsid w:val="008B6365"/>
    <w:rsid w:val="008D04A5"/>
    <w:rsid w:val="008D2BE7"/>
    <w:rsid w:val="008E1E1D"/>
    <w:rsid w:val="008E25C0"/>
    <w:rsid w:val="008E4D95"/>
    <w:rsid w:val="008E6C6E"/>
    <w:rsid w:val="008E7629"/>
    <w:rsid w:val="008E779D"/>
    <w:rsid w:val="008F0D50"/>
    <w:rsid w:val="009004D5"/>
    <w:rsid w:val="00912A74"/>
    <w:rsid w:val="00922EA4"/>
    <w:rsid w:val="009475D3"/>
    <w:rsid w:val="009476AA"/>
    <w:rsid w:val="00955831"/>
    <w:rsid w:val="0096192D"/>
    <w:rsid w:val="0096218E"/>
    <w:rsid w:val="00962903"/>
    <w:rsid w:val="00965D2F"/>
    <w:rsid w:val="00965DBB"/>
    <w:rsid w:val="00966417"/>
    <w:rsid w:val="0097181D"/>
    <w:rsid w:val="009735EB"/>
    <w:rsid w:val="00981777"/>
    <w:rsid w:val="009A7C0D"/>
    <w:rsid w:val="009B0618"/>
    <w:rsid w:val="009C27C9"/>
    <w:rsid w:val="009E5FEC"/>
    <w:rsid w:val="009E66B6"/>
    <w:rsid w:val="00A0168B"/>
    <w:rsid w:val="00A01B11"/>
    <w:rsid w:val="00A0398E"/>
    <w:rsid w:val="00A03994"/>
    <w:rsid w:val="00A35D67"/>
    <w:rsid w:val="00A414E7"/>
    <w:rsid w:val="00A549B7"/>
    <w:rsid w:val="00A54E7F"/>
    <w:rsid w:val="00A77052"/>
    <w:rsid w:val="00A95CEC"/>
    <w:rsid w:val="00A97648"/>
    <w:rsid w:val="00A977AD"/>
    <w:rsid w:val="00AB06B7"/>
    <w:rsid w:val="00AB32B2"/>
    <w:rsid w:val="00AC2DA8"/>
    <w:rsid w:val="00AD3F33"/>
    <w:rsid w:val="00AF5BF4"/>
    <w:rsid w:val="00B04D7B"/>
    <w:rsid w:val="00B06831"/>
    <w:rsid w:val="00B11B88"/>
    <w:rsid w:val="00B15375"/>
    <w:rsid w:val="00B16394"/>
    <w:rsid w:val="00B16AA5"/>
    <w:rsid w:val="00B30B05"/>
    <w:rsid w:val="00B36EF3"/>
    <w:rsid w:val="00B40243"/>
    <w:rsid w:val="00B4180C"/>
    <w:rsid w:val="00B51647"/>
    <w:rsid w:val="00B65045"/>
    <w:rsid w:val="00B70516"/>
    <w:rsid w:val="00B85F9E"/>
    <w:rsid w:val="00B91590"/>
    <w:rsid w:val="00B94018"/>
    <w:rsid w:val="00B96D07"/>
    <w:rsid w:val="00BA60FB"/>
    <w:rsid w:val="00BB03EB"/>
    <w:rsid w:val="00BC1334"/>
    <w:rsid w:val="00BC35DE"/>
    <w:rsid w:val="00BD5791"/>
    <w:rsid w:val="00BD76AC"/>
    <w:rsid w:val="00BE0630"/>
    <w:rsid w:val="00BE118C"/>
    <w:rsid w:val="00BE22DF"/>
    <w:rsid w:val="00BF439A"/>
    <w:rsid w:val="00C035FC"/>
    <w:rsid w:val="00C03E33"/>
    <w:rsid w:val="00C06855"/>
    <w:rsid w:val="00C15263"/>
    <w:rsid w:val="00C161F6"/>
    <w:rsid w:val="00C1691F"/>
    <w:rsid w:val="00C27125"/>
    <w:rsid w:val="00C30971"/>
    <w:rsid w:val="00C44C7B"/>
    <w:rsid w:val="00C55B8D"/>
    <w:rsid w:val="00C73F77"/>
    <w:rsid w:val="00C75006"/>
    <w:rsid w:val="00C75017"/>
    <w:rsid w:val="00C7700D"/>
    <w:rsid w:val="00C77484"/>
    <w:rsid w:val="00C80C22"/>
    <w:rsid w:val="00C870FD"/>
    <w:rsid w:val="00C91C49"/>
    <w:rsid w:val="00C95CC6"/>
    <w:rsid w:val="00C960F2"/>
    <w:rsid w:val="00CA5ADF"/>
    <w:rsid w:val="00CA6115"/>
    <w:rsid w:val="00CB1928"/>
    <w:rsid w:val="00CB5606"/>
    <w:rsid w:val="00CE02D0"/>
    <w:rsid w:val="00CE08B4"/>
    <w:rsid w:val="00CE113C"/>
    <w:rsid w:val="00CE1CA6"/>
    <w:rsid w:val="00CF2DA9"/>
    <w:rsid w:val="00CF2FA4"/>
    <w:rsid w:val="00CF717D"/>
    <w:rsid w:val="00D03A70"/>
    <w:rsid w:val="00D10C64"/>
    <w:rsid w:val="00D13648"/>
    <w:rsid w:val="00D2017A"/>
    <w:rsid w:val="00D34AB9"/>
    <w:rsid w:val="00D37AB0"/>
    <w:rsid w:val="00D52B9C"/>
    <w:rsid w:val="00D52C9D"/>
    <w:rsid w:val="00D5520F"/>
    <w:rsid w:val="00D61053"/>
    <w:rsid w:val="00D65603"/>
    <w:rsid w:val="00D66F35"/>
    <w:rsid w:val="00D81C19"/>
    <w:rsid w:val="00D83CC4"/>
    <w:rsid w:val="00D94DA5"/>
    <w:rsid w:val="00DA71C8"/>
    <w:rsid w:val="00DA7BFD"/>
    <w:rsid w:val="00DA7FC7"/>
    <w:rsid w:val="00DB2201"/>
    <w:rsid w:val="00DB39E4"/>
    <w:rsid w:val="00DB3A1A"/>
    <w:rsid w:val="00DB40DF"/>
    <w:rsid w:val="00DC1E29"/>
    <w:rsid w:val="00DC5E8C"/>
    <w:rsid w:val="00DC7F25"/>
    <w:rsid w:val="00DE43AC"/>
    <w:rsid w:val="00DE741E"/>
    <w:rsid w:val="00DF1960"/>
    <w:rsid w:val="00DF61F8"/>
    <w:rsid w:val="00E13EF1"/>
    <w:rsid w:val="00E146B2"/>
    <w:rsid w:val="00E245E3"/>
    <w:rsid w:val="00E24C4E"/>
    <w:rsid w:val="00E26EAF"/>
    <w:rsid w:val="00E40CB7"/>
    <w:rsid w:val="00E41350"/>
    <w:rsid w:val="00E45B90"/>
    <w:rsid w:val="00E50E72"/>
    <w:rsid w:val="00E7282B"/>
    <w:rsid w:val="00E7392C"/>
    <w:rsid w:val="00E77645"/>
    <w:rsid w:val="00E82FFB"/>
    <w:rsid w:val="00E9402F"/>
    <w:rsid w:val="00EA1A71"/>
    <w:rsid w:val="00EA3E77"/>
    <w:rsid w:val="00EA49DC"/>
    <w:rsid w:val="00EC16B9"/>
    <w:rsid w:val="00EC52A3"/>
    <w:rsid w:val="00ED31F3"/>
    <w:rsid w:val="00ED3294"/>
    <w:rsid w:val="00EE7FAF"/>
    <w:rsid w:val="00F002B2"/>
    <w:rsid w:val="00F069F9"/>
    <w:rsid w:val="00F15CFE"/>
    <w:rsid w:val="00F16F4F"/>
    <w:rsid w:val="00F2178E"/>
    <w:rsid w:val="00F2577F"/>
    <w:rsid w:val="00F25C08"/>
    <w:rsid w:val="00F260D6"/>
    <w:rsid w:val="00F2728B"/>
    <w:rsid w:val="00F55671"/>
    <w:rsid w:val="00F55B3F"/>
    <w:rsid w:val="00F61171"/>
    <w:rsid w:val="00F76425"/>
    <w:rsid w:val="00F8797B"/>
    <w:rsid w:val="00FA0326"/>
    <w:rsid w:val="00FA142F"/>
    <w:rsid w:val="00FD15C9"/>
    <w:rsid w:val="00FD1C4C"/>
    <w:rsid w:val="00FE35A9"/>
    <w:rsid w:val="00FF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7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3EB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82"/>
    <w:pPr>
      <w:ind w:left="720"/>
      <w:contextualSpacing/>
    </w:pPr>
  </w:style>
  <w:style w:type="character" w:styleId="CommentReference">
    <w:name w:val="annotation reference"/>
    <w:basedOn w:val="DefaultParagraphFont"/>
    <w:uiPriority w:val="99"/>
    <w:semiHidden/>
    <w:unhideWhenUsed/>
    <w:rsid w:val="00490D1C"/>
    <w:rPr>
      <w:sz w:val="16"/>
      <w:szCs w:val="16"/>
    </w:rPr>
  </w:style>
  <w:style w:type="paragraph" w:styleId="CommentText">
    <w:name w:val="annotation text"/>
    <w:basedOn w:val="Normal"/>
    <w:link w:val="CommentTextChar"/>
    <w:uiPriority w:val="99"/>
    <w:unhideWhenUsed/>
    <w:rsid w:val="00490D1C"/>
    <w:pPr>
      <w:spacing w:line="240" w:lineRule="auto"/>
    </w:pPr>
    <w:rPr>
      <w:sz w:val="20"/>
      <w:szCs w:val="20"/>
    </w:rPr>
  </w:style>
  <w:style w:type="character" w:customStyle="1" w:styleId="CommentTextChar">
    <w:name w:val="Comment Text Char"/>
    <w:basedOn w:val="DefaultParagraphFont"/>
    <w:link w:val="CommentText"/>
    <w:uiPriority w:val="99"/>
    <w:rsid w:val="00490D1C"/>
    <w:rPr>
      <w:sz w:val="20"/>
      <w:szCs w:val="20"/>
    </w:rPr>
  </w:style>
  <w:style w:type="paragraph" w:styleId="CommentSubject">
    <w:name w:val="annotation subject"/>
    <w:basedOn w:val="CommentText"/>
    <w:next w:val="CommentText"/>
    <w:link w:val="CommentSubjectChar"/>
    <w:uiPriority w:val="99"/>
    <w:semiHidden/>
    <w:unhideWhenUsed/>
    <w:rsid w:val="00490D1C"/>
    <w:rPr>
      <w:b/>
      <w:bCs/>
    </w:rPr>
  </w:style>
  <w:style w:type="character" w:customStyle="1" w:styleId="CommentSubjectChar">
    <w:name w:val="Comment Subject Char"/>
    <w:basedOn w:val="CommentTextChar"/>
    <w:link w:val="CommentSubject"/>
    <w:uiPriority w:val="99"/>
    <w:semiHidden/>
    <w:rsid w:val="00490D1C"/>
    <w:rPr>
      <w:b/>
      <w:bCs/>
      <w:sz w:val="20"/>
      <w:szCs w:val="20"/>
    </w:rPr>
  </w:style>
  <w:style w:type="paragraph" w:styleId="BalloonText">
    <w:name w:val="Balloon Text"/>
    <w:basedOn w:val="Normal"/>
    <w:link w:val="BalloonTextChar"/>
    <w:uiPriority w:val="99"/>
    <w:semiHidden/>
    <w:unhideWhenUsed/>
    <w:rsid w:val="00490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1C"/>
    <w:rPr>
      <w:rFonts w:ascii="Segoe UI" w:hAnsi="Segoe UI" w:cs="Segoe UI"/>
      <w:sz w:val="18"/>
      <w:szCs w:val="18"/>
    </w:rPr>
  </w:style>
  <w:style w:type="character" w:styleId="Hyperlink">
    <w:name w:val="Hyperlink"/>
    <w:basedOn w:val="DefaultParagraphFont"/>
    <w:uiPriority w:val="99"/>
    <w:unhideWhenUsed/>
    <w:rsid w:val="00E24C4E"/>
    <w:rPr>
      <w:color w:val="0563C1" w:themeColor="hyperlink"/>
      <w:u w:val="single"/>
    </w:rPr>
  </w:style>
  <w:style w:type="paragraph" w:styleId="Caption">
    <w:name w:val="caption"/>
    <w:basedOn w:val="Normal"/>
    <w:next w:val="Normal"/>
    <w:uiPriority w:val="35"/>
    <w:unhideWhenUsed/>
    <w:qFormat/>
    <w:rsid w:val="00C035FC"/>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4D3EB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41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960"/>
    <w:pPr>
      <w:spacing w:after="0" w:line="240" w:lineRule="auto"/>
    </w:pPr>
  </w:style>
  <w:style w:type="character" w:styleId="UnresolvedMention">
    <w:name w:val="Unresolved Mention"/>
    <w:basedOn w:val="DefaultParagraphFont"/>
    <w:uiPriority w:val="99"/>
    <w:semiHidden/>
    <w:unhideWhenUsed/>
    <w:rsid w:val="00B51647"/>
    <w:rPr>
      <w:color w:val="605E5C"/>
      <w:shd w:val="clear" w:color="auto" w:fill="E1DFDD"/>
    </w:rPr>
  </w:style>
  <w:style w:type="character" w:styleId="FollowedHyperlink">
    <w:name w:val="FollowedHyperlink"/>
    <w:basedOn w:val="DefaultParagraphFont"/>
    <w:uiPriority w:val="99"/>
    <w:semiHidden/>
    <w:unhideWhenUsed/>
    <w:rsid w:val="00655BF1"/>
    <w:rPr>
      <w:color w:val="954F72" w:themeColor="followedHyperlink"/>
      <w:u w:val="single"/>
    </w:rPr>
  </w:style>
  <w:style w:type="paragraph" w:styleId="Header">
    <w:name w:val="header"/>
    <w:basedOn w:val="Normal"/>
    <w:link w:val="HeaderChar"/>
    <w:uiPriority w:val="99"/>
    <w:unhideWhenUsed/>
    <w:rsid w:val="00441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18C"/>
  </w:style>
  <w:style w:type="paragraph" w:styleId="Footer">
    <w:name w:val="footer"/>
    <w:basedOn w:val="Normal"/>
    <w:link w:val="FooterChar"/>
    <w:uiPriority w:val="99"/>
    <w:unhideWhenUsed/>
    <w:rsid w:val="00441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power@salford.ac.uk" TargetMode="External"/><Relationship Id="rId13" Type="http://schemas.openxmlformats.org/officeDocument/2006/relationships/hyperlink" Target="https://assets.publishing.service.gov.uk/government/uploads/system/uploads/attachment_data/file/835115/IoD2019_Statistical_Release.pdf" TargetMode="External"/><Relationship Id="rId18" Type="http://schemas.openxmlformats.org/officeDocument/2006/relationships/hyperlink" Target="https://www.staffs.ac.uk/students/course-administration/academic-policies-and-regulat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dvance-he.ac.uk/knowledge-hub/student-engagement-evidence-summary" TargetMode="External"/><Relationship Id="rId7" Type="http://schemas.openxmlformats.org/officeDocument/2006/relationships/endnotes" Target="endnotes.xml"/><Relationship Id="rId12" Type="http://schemas.openxmlformats.org/officeDocument/2006/relationships/hyperlink" Target="https://www.legislation.gov.uk/ukpga/2010/15/part/2" TargetMode="External"/><Relationship Id="rId17" Type="http://schemas.openxmlformats.org/officeDocument/2006/relationships/hyperlink" Target="https://www.researchgate.net/publication/334193821_University_dropout_Causes_and_solu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is.officeforstudents.org.uk/accessplansdownloads/2024/StaffordshireUniversity_APP_2020-21_V1_10006299.pdf" TargetMode="External"/><Relationship Id="rId20" Type="http://schemas.openxmlformats.org/officeDocument/2006/relationships/hyperlink" Target="https://www.phf.org.uk/wp-content/uploads/2017/04/Summary-report-final-no-crop-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but.careers/degree-dropou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is.officeforstudents.org.uk/accessplansdownloads/1920/StaffordshireUniversity_APP_2019-20_V1_10006299.pdf" TargetMode="Externa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s://www.advance-he.ac.uk/knowledge-hub/building-student-engagement-and-belonging-higher-education-time-change-final-repor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channel4.com/news/factcheck/which-universities-have-the-highest-first-year-dropout-rates" TargetMode="External"/><Relationship Id="rId22" Type="http://schemas.openxmlformats.org/officeDocument/2006/relationships/hyperlink" Target="https://www.tandfonline.com/doi/full/10.1080/0309877X.2021.193277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r>
              <a:rPr lang="en-US"/>
              <a:t>2019-2020 Fitness to study</a:t>
            </a:r>
          </a:p>
        </c:rich>
      </c:tx>
      <c:layout>
        <c:manualLayout>
          <c:xMode val="edge"/>
          <c:yMode val="edge"/>
          <c:x val="0.46325794032723772"/>
          <c:y val="2.5496684269526344E-3"/>
        </c:manualLayout>
      </c:layout>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438497040612947"/>
          <c:y val="0.15437392795883362"/>
          <c:w val="0.55733783998848074"/>
          <c:h val="0.79461271457705862"/>
        </c:manualLayout>
      </c:layout>
      <c:pieChart>
        <c:varyColors val="1"/>
        <c:ser>
          <c:idx val="0"/>
          <c:order val="0"/>
          <c:dPt>
            <c:idx val="0"/>
            <c:bubble3D val="0"/>
            <c:spPr>
              <a:solidFill>
                <a:srgbClr val="FF522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53C-456F-BEEE-4CD5755F8F3B}"/>
              </c:ext>
            </c:extLst>
          </c:dPt>
          <c:dPt>
            <c:idx val="1"/>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53C-456F-BEEE-4CD5755F8F3B}"/>
              </c:ext>
            </c:extLst>
          </c:dPt>
          <c:dPt>
            <c:idx val="2"/>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53C-456F-BEEE-4CD5755F8F3B}"/>
              </c:ext>
            </c:extLst>
          </c:dPt>
          <c:dPt>
            <c:idx val="3"/>
            <c:bubble3D val="0"/>
            <c:spPr>
              <a:solidFill>
                <a:schemeClr val="accent4">
                  <a:lumMod val="40000"/>
                  <a:lumOff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53C-456F-BEEE-4CD5755F8F3B}"/>
              </c:ext>
            </c:extLst>
          </c:dPt>
          <c:dPt>
            <c:idx val="4"/>
            <c:bubble3D val="0"/>
            <c:spPr>
              <a:solidFill>
                <a:schemeClr val="accent6">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53C-456F-BEEE-4CD5755F8F3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53C-456F-BEEE-4CD5755F8F3B}"/>
              </c:ext>
            </c:extLst>
          </c:dPt>
          <c:dLbls>
            <c:dLbl>
              <c:idx val="0"/>
              <c:layout>
                <c:manualLayout>
                  <c:x val="-6.4200416057232493E-2"/>
                  <c:y val="0.12240002160964868"/>
                </c:manualLayout>
              </c:layout>
              <c:tx>
                <c:rich>
                  <a:bodyPr/>
                  <a:lstStyle/>
                  <a:p>
                    <a:r>
                      <a:rPr lang="en-US"/>
                      <a:t>On-hold
</a:t>
                    </a:r>
                    <a:fld id="{E3D45201-7D75-4544-96C5-744D2B70C648}" type="PERCENTAGE">
                      <a:rPr lang="en-US"/>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15317707820208709"/>
                      <c:h val="0.12865682527248418"/>
                    </c:manualLayout>
                  </c15:layout>
                  <c15:dlblFieldTable/>
                  <c15:showDataLabelsRange val="0"/>
                </c:ext>
                <c:ext xmlns:c16="http://schemas.microsoft.com/office/drawing/2014/chart" uri="{C3380CC4-5D6E-409C-BE32-E72D297353CC}">
                  <c16:uniqueId val="{00000001-753C-456F-BEEE-4CD5755F8F3B}"/>
                </c:ext>
              </c:extLst>
            </c:dLbl>
            <c:dLbl>
              <c:idx val="1"/>
              <c:layout>
                <c:manualLayout>
                  <c:x val="-0.15759986510348389"/>
                  <c:y val="0.12495590281060494"/>
                </c:manualLayout>
              </c:layout>
              <c:tx>
                <c:rich>
                  <a:bodyPr/>
                  <a:lstStyle/>
                  <a:p>
                    <a:fld id="{5CD18AC2-B13E-46EF-9CD2-78DBA7E91D4B}" type="CATEGORYNAME">
                      <a:rPr lang="en-US" sz="80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[CATEGORY NAME]</a:t>
                    </a:fld>
                    <a:r>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fld id="{731E66DB-A7AC-423A-93FF-307C02554836}" type="PERCENTAGE">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[PERCENTAGE]</a:t>
                    </a:fld>
                    <a:endPar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53C-456F-BEEE-4CD5755F8F3B}"/>
                </c:ext>
              </c:extLst>
            </c:dLbl>
            <c:dLbl>
              <c:idx val="2"/>
              <c:tx>
                <c:rich>
                  <a:bodyPr/>
                  <a:lstStyle/>
                  <a:p>
                    <a:fld id="{BB596174-9CC2-469F-B171-100AC737148E}" type="CATEGORYNAME">
                      <a:rPr lang="en-US" sz="80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[CATEGORY NAME]</a:t>
                    </a:fld>
                    <a:r>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fld id="{71819EF5-3B8B-4E79-84BF-F79921F8C683}" type="PERCENTAGE">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[PERCENTAGE]</a:t>
                    </a:fld>
                    <a:endPar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53C-456F-BEEE-4CD5755F8F3B}"/>
                </c:ext>
              </c:extLst>
            </c:dLbl>
            <c:dLbl>
              <c:idx val="3"/>
              <c:layout>
                <c:manualLayout>
                  <c:x val="-0.14301588444370344"/>
                  <c:y val="-0.1674712659202334"/>
                </c:manualLayout>
              </c:layout>
              <c:tx>
                <c:rich>
                  <a:bodyPr/>
                  <a:lstStyle/>
                  <a:p>
                    <a:fld id="{E3139C71-D4D1-4E2D-A679-4A8155DD7649}" type="CATEGORYNAME">
                      <a:rPr lang="en-US" sz="80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[CATEGORY NAME]</a:t>
                    </a:fld>
                    <a:r>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fld id="{B13CB08F-319E-41CF-9832-89C71A537CA9}" type="PERCENTAGE">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[PERCENTAGE]</a:t>
                    </a:fld>
                    <a:endPar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53C-456F-BEEE-4CD5755F8F3B}"/>
                </c:ext>
              </c:extLst>
            </c:dLbl>
            <c:dLbl>
              <c:idx val="4"/>
              <c:layout>
                <c:manualLayout>
                  <c:x val="0.17584234538055216"/>
                  <c:y val="-0.18097243419186679"/>
                </c:manualLayout>
              </c:layout>
              <c:tx>
                <c:rich>
                  <a:bodyPr/>
                  <a:lstStyle/>
                  <a:p>
                    <a:fld id="{C9770710-29B7-4DEA-A168-852D061EF5D2}" type="CATEGORYNAME">
                      <a:rPr lang="en-US" sz="80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[CATEGORY NAME]</a:t>
                    </a:fld>
                    <a:r>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fld id="{7C84104C-56EA-4753-A7D5-133193D0A792}" type="PERCENTAGE">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[PERCENTAGE]</a:t>
                    </a:fld>
                    <a:endPar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53C-456F-BEEE-4CD5755F8F3B}"/>
                </c:ext>
              </c:extLst>
            </c:dLbl>
            <c:dLbl>
              <c:idx val="5"/>
              <c:layout>
                <c:manualLayout>
                  <c:x val="0.19883557024091908"/>
                  <c:y val="0.13838089707054194"/>
                </c:manualLayout>
              </c:layout>
              <c:tx>
                <c:rich>
                  <a:bodyPr/>
                  <a:lstStyle/>
                  <a:p>
                    <a:fld id="{AEBECB5E-4A78-4138-986B-3A69D254B57E}" type="CATEGORYNAME">
                      <a:rPr lang="en-US" sz="80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[CATEGORY NAME]</a:t>
                    </a:fld>
                    <a:r>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a:t>
                    </a:r>
                    <a:fld id="{736CFEE2-B37C-464E-BFC1-9570449A567A}" type="PERCENTAGE">
                      <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pPr/>
                      <a:t>[PERCENTAGE]</a:t>
                    </a:fld>
                    <a:endParaRPr lang="en-US" sz="8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53C-456F-BEEE-4CD5755F8F3B}"/>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'Phase 2 - FtS overview '!$D$11:$D$16</c:f>
              <c:strCache>
                <c:ptCount val="6"/>
                <c:pt idx="0">
                  <c:v>On-hold/ other action (intermitance, gudiance etc.) </c:v>
                </c:pt>
                <c:pt idx="1">
                  <c:v>Withdrawal</c:v>
                </c:pt>
                <c:pt idx="2">
                  <c:v>At risk move to  next academic year</c:v>
                </c:pt>
                <c:pt idx="3">
                  <c:v>In-Progress move to next academic year</c:v>
                </c:pt>
                <c:pt idx="4">
                  <c:v>Action plan in place</c:v>
                </c:pt>
                <c:pt idx="5">
                  <c:v>Student Re-engaged</c:v>
                </c:pt>
              </c:strCache>
            </c:strRef>
          </c:cat>
          <c:val>
            <c:numRef>
              <c:f>'Phase 2 - FtS overview '!$E$11:$E$16</c:f>
              <c:numCache>
                <c:formatCode>General</c:formatCode>
                <c:ptCount val="6"/>
                <c:pt idx="0">
                  <c:v>7</c:v>
                </c:pt>
                <c:pt idx="1">
                  <c:v>17</c:v>
                </c:pt>
                <c:pt idx="2">
                  <c:v>10</c:v>
                </c:pt>
                <c:pt idx="3">
                  <c:v>17</c:v>
                </c:pt>
                <c:pt idx="4">
                  <c:v>24</c:v>
                </c:pt>
                <c:pt idx="5">
                  <c:v>29</c:v>
                </c:pt>
              </c:numCache>
            </c:numRef>
          </c:val>
          <c:extLst>
            <c:ext xmlns:c16="http://schemas.microsoft.com/office/drawing/2014/chart" uri="{C3380CC4-5D6E-409C-BE32-E72D297353CC}">
              <c16:uniqueId val="{0000000C-753C-456F-BEEE-4CD5755F8F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1.4923466939776781E-2"/>
          <c:y val="2.3071146095917174E-2"/>
          <c:w val="0.38181936671285799"/>
          <c:h val="0.434455543884035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barChart>
        <c:barDir val="col"/>
        <c:grouping val="clustered"/>
        <c:varyColors val="0"/>
        <c:ser>
          <c:idx val="0"/>
          <c:order val="0"/>
          <c:tx>
            <c:strRef>
              <c:f>Sheet2!$E$8</c:f>
              <c:strCache>
                <c:ptCount val="1"/>
                <c:pt idx="0">
                  <c:v>No.</c:v>
                </c:pt>
              </c:strCache>
            </c:strRef>
          </c:tx>
          <c:spPr>
            <a:solidFill>
              <a:schemeClr val="accent1"/>
            </a:solidFill>
            <a:ln>
              <a:noFill/>
            </a:ln>
            <a:effectLst/>
          </c:spPr>
          <c:invertIfNegative val="0"/>
          <c:cat>
            <c:strRef>
              <c:f>Sheet2!$D$9:$D$12</c:f>
              <c:strCache>
                <c:ptCount val="4"/>
                <c:pt idx="0">
                  <c:v>No characteristics</c:v>
                </c:pt>
                <c:pt idx="1">
                  <c:v>One characteristics</c:v>
                </c:pt>
                <c:pt idx="2">
                  <c:v>Two characteristics</c:v>
                </c:pt>
                <c:pt idx="3">
                  <c:v>Three characteristics or above</c:v>
                </c:pt>
              </c:strCache>
            </c:strRef>
          </c:cat>
          <c:val>
            <c:numRef>
              <c:f>Sheet2!$E$9:$E$12</c:f>
            </c:numRef>
          </c:val>
          <c:extLst>
            <c:ext xmlns:c16="http://schemas.microsoft.com/office/drawing/2014/chart" uri="{C3380CC4-5D6E-409C-BE32-E72D297353CC}">
              <c16:uniqueId val="{00000000-A21C-4C54-A630-F30A4996AA44}"/>
            </c:ext>
          </c:extLst>
        </c:ser>
        <c:ser>
          <c:idx val="1"/>
          <c:order val="1"/>
          <c:tx>
            <c:strRef>
              <c:f>Sheet2!$F$8</c:f>
              <c:strCache>
                <c:ptCount val="1"/>
                <c:pt idx="0">
                  <c:v>Percentage (%)</c:v>
                </c:pt>
              </c:strCache>
            </c:strRef>
          </c:tx>
          <c:spPr>
            <a:solidFill>
              <a:schemeClr val="bg1">
                <a:lumMod val="85000"/>
              </a:schemeClr>
            </a:solidFill>
            <a:ln>
              <a:noFill/>
            </a:ln>
            <a:effectLst/>
          </c:spPr>
          <c:invertIfNegative val="0"/>
          <c:cat>
            <c:strRef>
              <c:f>Sheet2!$D$9:$D$12</c:f>
              <c:strCache>
                <c:ptCount val="4"/>
                <c:pt idx="0">
                  <c:v>No characteristics</c:v>
                </c:pt>
                <c:pt idx="1">
                  <c:v>One characteristics</c:v>
                </c:pt>
                <c:pt idx="2">
                  <c:v>Two characteristics</c:v>
                </c:pt>
                <c:pt idx="3">
                  <c:v>Three characteristics or above</c:v>
                </c:pt>
              </c:strCache>
            </c:strRef>
          </c:cat>
          <c:val>
            <c:numRef>
              <c:f>Sheet2!$F$9:$F$12</c:f>
              <c:numCache>
                <c:formatCode>General</c:formatCode>
                <c:ptCount val="4"/>
                <c:pt idx="0">
                  <c:v>2.88</c:v>
                </c:pt>
                <c:pt idx="1">
                  <c:v>10.58</c:v>
                </c:pt>
                <c:pt idx="2">
                  <c:v>18.27</c:v>
                </c:pt>
                <c:pt idx="3">
                  <c:v>68.27</c:v>
                </c:pt>
              </c:numCache>
            </c:numRef>
          </c:val>
          <c:extLst>
            <c:ext xmlns:c16="http://schemas.microsoft.com/office/drawing/2014/chart" uri="{C3380CC4-5D6E-409C-BE32-E72D297353CC}">
              <c16:uniqueId val="{00000001-A21C-4C54-A630-F30A4996AA44}"/>
            </c:ext>
          </c:extLst>
        </c:ser>
        <c:dLbls>
          <c:showLegendKey val="0"/>
          <c:showVal val="0"/>
          <c:showCatName val="0"/>
          <c:showSerName val="0"/>
          <c:showPercent val="0"/>
          <c:showBubbleSize val="0"/>
        </c:dLbls>
        <c:gapWidth val="219"/>
        <c:overlap val="-27"/>
        <c:axId val="512886840"/>
        <c:axId val="512887232"/>
      </c:barChart>
      <c:catAx>
        <c:axId val="512886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512887232"/>
        <c:crosses val="autoZero"/>
        <c:auto val="1"/>
        <c:lblAlgn val="ctr"/>
        <c:lblOffset val="100"/>
        <c:noMultiLvlLbl val="0"/>
      </c:catAx>
      <c:valAx>
        <c:axId val="51288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512886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E6A3-61E6-465E-A311-98477D0D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7353</Words>
  <Characters>41917</Characters>
  <Application>Microsoft Office Word</Application>
  <DocSecurity>0</DocSecurity>
  <Lines>349</Lines>
  <Paragraphs>98</Paragraphs>
  <ScaleCrop>false</ScaleCrop>
  <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2024-04-23T13:36:00Z</dcterms:created>
  <dcterms:modified xsi:type="dcterms:W3CDTF">2024-04-24T08:07:00Z</dcterms:modified>
</cp:coreProperties>
</file>