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38DEF9" w14:textId="77777777" w:rsidR="007E5AF3" w:rsidRPr="002249B3" w:rsidRDefault="004C3694" w:rsidP="002249B3">
      <w:pPr>
        <w:spacing w:after="240" w:line="360" w:lineRule="auto"/>
        <w:rPr>
          <w:rFonts w:ascii="Tahoma" w:eastAsia="Tahoma" w:hAnsi="Tahoma" w:cs="Tahoma"/>
          <w:b/>
          <w:bCs/>
          <w:sz w:val="32"/>
          <w:szCs w:val="32"/>
        </w:rPr>
      </w:pPr>
      <w:r w:rsidRPr="002249B3">
        <w:rPr>
          <w:rFonts w:ascii="Tahoma" w:eastAsia="Tahoma" w:hAnsi="Tahoma" w:cs="Tahoma"/>
          <w:b/>
          <w:bCs/>
          <w:sz w:val="32"/>
          <w:szCs w:val="32"/>
        </w:rPr>
        <w:t>Thinking Through Making: exploring global challenges through creative practice introducing curiosity, play and imagination</w:t>
      </w:r>
    </w:p>
    <w:p w14:paraId="39A5A785" w14:textId="62FEB7EC" w:rsidR="00391DC0" w:rsidRPr="002249B3" w:rsidRDefault="00391DC0" w:rsidP="002249B3">
      <w:pPr>
        <w:spacing w:after="240" w:line="360" w:lineRule="auto"/>
        <w:rPr>
          <w:rFonts w:ascii="Tahoma" w:eastAsia="Tahoma" w:hAnsi="Tahoma" w:cs="Tahoma"/>
          <w:b/>
          <w:bCs/>
          <w:sz w:val="28"/>
          <w:szCs w:val="28"/>
        </w:rPr>
      </w:pPr>
      <w:r w:rsidRPr="002249B3">
        <w:rPr>
          <w:rFonts w:ascii="Tahoma" w:eastAsia="Tahoma" w:hAnsi="Tahoma" w:cs="Tahoma"/>
          <w:b/>
          <w:bCs/>
          <w:sz w:val="28"/>
          <w:szCs w:val="28"/>
        </w:rPr>
        <w:t>Bridgette As</w:t>
      </w:r>
      <w:r w:rsidR="004C3694">
        <w:rPr>
          <w:rFonts w:ascii="Tahoma" w:eastAsia="Tahoma" w:hAnsi="Tahoma" w:cs="Tahoma"/>
          <w:b/>
          <w:bCs/>
          <w:sz w:val="28"/>
          <w:szCs w:val="28"/>
        </w:rPr>
        <w:t>h</w:t>
      </w:r>
      <w:r w:rsidRPr="002249B3">
        <w:rPr>
          <w:rFonts w:ascii="Tahoma" w:eastAsia="Tahoma" w:hAnsi="Tahoma" w:cs="Tahoma"/>
          <w:b/>
          <w:bCs/>
          <w:sz w:val="28"/>
          <w:szCs w:val="28"/>
        </w:rPr>
        <w:t>ton, Mel Brown</w:t>
      </w:r>
    </w:p>
    <w:p w14:paraId="499C2025" w14:textId="2EEC3FEA" w:rsidR="007E5AF3" w:rsidRPr="002249B3" w:rsidRDefault="005116BB" w:rsidP="002249B3">
      <w:pPr>
        <w:spacing w:after="240" w:line="360" w:lineRule="auto"/>
        <w:rPr>
          <w:rFonts w:ascii="Tahoma" w:eastAsia="Tahoma" w:hAnsi="Tahoma" w:cs="Tahoma"/>
          <w:sz w:val="24"/>
          <w:szCs w:val="24"/>
        </w:rPr>
      </w:pPr>
      <w:r w:rsidRPr="002249B3">
        <w:rPr>
          <w:rFonts w:ascii="Tahoma" w:eastAsia="Tahoma" w:hAnsi="Tahoma" w:cs="Tahoma"/>
          <w:sz w:val="24"/>
          <w:szCs w:val="24"/>
        </w:rPr>
        <w:t>Arts University Plymouth</w:t>
      </w:r>
    </w:p>
    <w:p w14:paraId="432A5E3D" w14:textId="376D04EE" w:rsidR="00D872ED" w:rsidRPr="002249B3" w:rsidRDefault="00D872ED"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Corresponding author: </w:t>
      </w:r>
      <w:hyperlink r:id="rId7" w:history="1">
        <w:r w:rsidRPr="002249B3">
          <w:rPr>
            <w:rStyle w:val="Hyperlink"/>
            <w:rFonts w:ascii="Tahoma" w:eastAsia="Tahoma" w:hAnsi="Tahoma" w:cs="Tahoma"/>
            <w:sz w:val="24"/>
            <w:szCs w:val="24"/>
          </w:rPr>
          <w:t>melbrown@aup.ac.uk</w:t>
        </w:r>
      </w:hyperlink>
      <w:r w:rsidRPr="002249B3">
        <w:rPr>
          <w:rFonts w:ascii="Tahoma" w:eastAsia="Tahoma" w:hAnsi="Tahoma" w:cs="Tahoma"/>
          <w:sz w:val="24"/>
          <w:szCs w:val="24"/>
        </w:rPr>
        <w:t xml:space="preserve"> </w:t>
      </w:r>
    </w:p>
    <w:p w14:paraId="1AFF2C92"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Abstract</w:t>
      </w:r>
    </w:p>
    <w:p w14:paraId="4A5DAE30"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This case study of teaching practice seeks to harness the potential of curiosity, play and imagination as a means to approach and conceptualise global challenges. The UN Sustainable Development Goals are used as a framework to inspire fantastical scenarios for workshops where participants from illustration and design undergraduate courses at Arts University Plymouth are encouraged to generate unconventional and seemingly infeasible solutions. These workshops spark creativity and invite reflection beyond the immediate activities, freeing participants to think optimistically about addressing complex and serious global challenges through the lens of play and imagination. Through workshops focused on tactile exploration, students are encouraged to step away from digital tools to embrace processes of making and imagining. This approach offers insights into how creative problem-solving can open up avenues for innovative thinking where the action of making and experience of imagining are as important as output and outcome.</w:t>
      </w:r>
    </w:p>
    <w:p w14:paraId="48644538" w14:textId="77777777" w:rsidR="007E5AF3" w:rsidRPr="002249B3" w:rsidRDefault="004C3694" w:rsidP="002249B3">
      <w:pPr>
        <w:spacing w:after="240" w:line="360" w:lineRule="auto"/>
        <w:rPr>
          <w:rFonts w:ascii="Tahoma" w:eastAsia="Tahoma" w:hAnsi="Tahoma" w:cs="Tahoma"/>
          <w:b/>
          <w:bCs/>
          <w:sz w:val="28"/>
          <w:szCs w:val="28"/>
        </w:rPr>
      </w:pPr>
      <w:r w:rsidRPr="002249B3">
        <w:rPr>
          <w:rFonts w:ascii="Tahoma" w:eastAsia="Tahoma" w:hAnsi="Tahoma" w:cs="Tahoma"/>
          <w:b/>
          <w:bCs/>
          <w:sz w:val="28"/>
          <w:szCs w:val="28"/>
        </w:rPr>
        <w:t>Key words</w:t>
      </w:r>
    </w:p>
    <w:p w14:paraId="28032E29" w14:textId="4EACFAED"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Art &amp; Design Pedagogy, Education for Sustainable Development, Global Challenges, Illustration, Design, Higher Education</w:t>
      </w:r>
    </w:p>
    <w:p w14:paraId="4084F898" w14:textId="77777777" w:rsidR="00B93B66" w:rsidRDefault="00B93B66">
      <w:pPr>
        <w:rPr>
          <w:rFonts w:ascii="Tahoma" w:eastAsia="Tahoma" w:hAnsi="Tahoma" w:cs="Tahoma"/>
          <w:b/>
          <w:bCs/>
          <w:sz w:val="28"/>
          <w:szCs w:val="28"/>
        </w:rPr>
      </w:pPr>
      <w:r>
        <w:rPr>
          <w:rFonts w:ascii="Tahoma" w:eastAsia="Tahoma" w:hAnsi="Tahoma" w:cs="Tahoma"/>
          <w:b/>
          <w:bCs/>
          <w:sz w:val="28"/>
          <w:szCs w:val="28"/>
        </w:rPr>
        <w:br w:type="page"/>
      </w:r>
    </w:p>
    <w:p w14:paraId="557541C8" w14:textId="05F91AC7" w:rsidR="007E5AF3" w:rsidRPr="002249B3" w:rsidRDefault="004C3694" w:rsidP="002249B3">
      <w:pPr>
        <w:widowControl w:val="0"/>
        <w:spacing w:after="240" w:line="360" w:lineRule="auto"/>
        <w:rPr>
          <w:rFonts w:ascii="Tahoma" w:eastAsia="Tahoma" w:hAnsi="Tahoma" w:cs="Tahoma"/>
          <w:sz w:val="24"/>
          <w:szCs w:val="24"/>
          <w:highlight w:val="cyan"/>
        </w:rPr>
      </w:pPr>
      <w:r w:rsidRPr="002249B3">
        <w:rPr>
          <w:rFonts w:ascii="Tahoma" w:eastAsia="Tahoma" w:hAnsi="Tahoma" w:cs="Tahoma"/>
          <w:b/>
          <w:bCs/>
          <w:sz w:val="28"/>
          <w:szCs w:val="28"/>
        </w:rPr>
        <w:lastRenderedPageBreak/>
        <w:t xml:space="preserve">Background </w:t>
      </w:r>
    </w:p>
    <w:p w14:paraId="0E697F62"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Education for Sustainable Development (ESD) is defined as a tool to equip learners with the knowledge, skills and values necessary to address complex issues and create a more sustainable world: </w:t>
      </w:r>
      <w:r w:rsidRPr="002249B3">
        <w:rPr>
          <w:rFonts w:ascii="Tahoma" w:eastAsia="Tahoma" w:hAnsi="Tahoma" w:cs="Tahoma"/>
          <w:sz w:val="24"/>
          <w:szCs w:val="24"/>
        </w:rPr>
        <w:tab/>
      </w:r>
      <w:r w:rsidRPr="002249B3">
        <w:rPr>
          <w:rFonts w:ascii="Tahoma" w:eastAsia="Tahoma" w:hAnsi="Tahoma" w:cs="Tahoma"/>
          <w:sz w:val="24"/>
          <w:szCs w:val="24"/>
        </w:rPr>
        <w:tab/>
      </w:r>
      <w:r w:rsidRPr="002249B3">
        <w:rPr>
          <w:rFonts w:ascii="Tahoma" w:eastAsia="Tahoma" w:hAnsi="Tahoma" w:cs="Tahoma"/>
          <w:sz w:val="24"/>
          <w:szCs w:val="24"/>
        </w:rPr>
        <w:tab/>
      </w:r>
      <w:r w:rsidRPr="002249B3">
        <w:rPr>
          <w:rFonts w:ascii="Tahoma" w:eastAsia="Tahoma" w:hAnsi="Tahoma" w:cs="Tahoma"/>
          <w:sz w:val="24"/>
          <w:szCs w:val="24"/>
        </w:rPr>
        <w:tab/>
      </w:r>
      <w:r w:rsidRPr="002249B3">
        <w:rPr>
          <w:rFonts w:ascii="Tahoma" w:eastAsia="Tahoma" w:hAnsi="Tahoma" w:cs="Tahoma"/>
          <w:sz w:val="24"/>
          <w:szCs w:val="24"/>
        </w:rPr>
        <w:tab/>
      </w:r>
    </w:p>
    <w:p w14:paraId="00489165"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It is important to note that ESD is not solely about environmental issues as is commonly misconstrued, but focuses on the connections between economic, social and environmental factors. ESD is an educational change agenda grounded in transformative learning and critical pedagogy. It can be understood as a lens that permits us to look critically at how the world is and to envision how it might be and equips us to deliver that vision. (QAA and Advance HE, 2021) </w:t>
      </w:r>
    </w:p>
    <w:p w14:paraId="7AFE8B68"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QAA and Advance HE guidance essentially calls for HE providers to incorporate ESD into their </w:t>
      </w:r>
      <w:r w:rsidR="00FA6785" w:rsidRPr="002249B3">
        <w:rPr>
          <w:rFonts w:ascii="Tahoma" w:eastAsia="Tahoma" w:hAnsi="Tahoma" w:cs="Tahoma"/>
          <w:sz w:val="24"/>
          <w:szCs w:val="24"/>
        </w:rPr>
        <w:t>curricula</w:t>
      </w:r>
      <w:r w:rsidRPr="002249B3">
        <w:rPr>
          <w:rFonts w:ascii="Tahoma" w:eastAsia="Tahoma" w:hAnsi="Tahoma" w:cs="Tahoma"/>
          <w:sz w:val="24"/>
          <w:szCs w:val="24"/>
        </w:rPr>
        <w:t xml:space="preserve">, mapping out UNESCO’s key competencies for sustainability to provide insight into how they ‘align with ways of thinking, ways of practicing and ways of being as part of a transformative journey’ (QAA and Advance HE, 2021). The guidance encourages the development of learning outcomes that align with the following key competencies for Sustainable Development; systems thinking, anticipatory thinking, normative competency, strategic thinking, collaborative competency, critical thinking, self-awareness and integrated problem-solving. </w:t>
      </w:r>
    </w:p>
    <w:p w14:paraId="64D6D6FE" w14:textId="77777777" w:rsidR="007E5AF3" w:rsidRPr="002249B3" w:rsidRDefault="004C3694"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t>In 2019, Hans d’Orville, Former Assistant Director-General of UNESCO for Strategic Planning, proposed that to achieve long-term sustainability, the world must resort to human ingenuity and creativity:</w:t>
      </w:r>
    </w:p>
    <w:p w14:paraId="01AFA767"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Creativity is a special kind of renewable resource and human talent. It involves transforming ideas, imagination and dreams into reality, often blending tradition and innovation. The creative ability depends on creative thinking, that is the ability to generate or recognize ideas, alternatives, or new possibilities that may be useful in solving problems, communicating with others, and also entertaining ourselves and others…Creativity drives society toward sustainability through its capacity for imagining and visioning. (d’Orville, 2019)</w:t>
      </w:r>
    </w:p>
    <w:p w14:paraId="3E23DF49"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This case study focuses on a project called The Curiosity Incubator, to explore how creative problem-solving in these uncertain times could open up new avenues for innovative thinking. The authors invited Level 4 students from a range of undergraduate courses at Arts University Plymouth - Illustration, Graphic Design, Fashion Design, Textile Design, Costume Production, Interior Design &amp; Styling and Costume Production - to engage in imagined fictional, simulated scenarios highlighting specific global challenges. The Curiosity Incubator was inspired by the preparation and incubation phases of creativity explored by Graham Wallas in The Art of Thought (Wallas, 1926). Curiosity is aligned with preparation as the moment of gathering information and empathising with others and incubation refers to processes of opening up to ideas in order to work through a problem. We were also responding to Arjun Shankar &amp; Perry Zurn’s call for a ‘critically curious pedagogy’ that is lifted out of its familiar setting in primary educational contexts in order to ‘focus on the question of how to cultivate a culture of curiosity’ across a lifespan in order to embrace transformative learning (Shankar &amp; Zurn, 2020). </w:t>
      </w:r>
    </w:p>
    <w:p w14:paraId="20A7DE2F"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In his Transformative Learning framework, Jack Mezirow emphasised that learners should embark on a learning journey with an open mind, to be receptive to new ideas and concepts in order to learn to see differently. ‘Transformations may be epochal – sudden major reorientations in habit of mind [...] or cumulative, a progressive sequence of insight resulting in changes in point of view’ (Mezirow, 2009). For Shankar &amp; Zurn, a ‘critically curious pedagogy embraces the socially embedded and political character of transformative learning’ and two of the key practices they propose as fundamental are ‘developing an empathic stance’ alongside ‘creating and enjoying uncertainty rather than resolving and resisting it’ (Shankar &amp; Zurn, 2020). </w:t>
      </w:r>
    </w:p>
    <w:p w14:paraId="1651BA16"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We designed The Curiosity Incubator to encourage empathy while harnessing the potential of curiosity, play and imagination as a means to approach and conceptualise global challenges, asking whether the playful integration of ESD can result in impactful transformational learning experiences. Workshops were developed with an emphasis on tactile exploration, stepping away from digital tools to embrace the physical process of making and imagining to ‘better understand how we should interact with materials in a responsible and respectful way, realising that humans do not own or dictate but collaborate with materials</w:t>
      </w:r>
      <w:r w:rsidR="0044435B" w:rsidRPr="002249B3">
        <w:rPr>
          <w:rFonts w:ascii="Tahoma" w:eastAsia="Tahoma" w:hAnsi="Tahoma" w:cs="Tahoma"/>
          <w:sz w:val="24"/>
          <w:szCs w:val="24"/>
        </w:rPr>
        <w:t>’</w:t>
      </w:r>
      <w:r w:rsidRPr="002249B3">
        <w:rPr>
          <w:rFonts w:ascii="Tahoma" w:eastAsia="Calibri" w:hAnsi="Tahoma" w:cs="Tahoma"/>
          <w:sz w:val="24"/>
          <w:szCs w:val="24"/>
        </w:rPr>
        <w:t xml:space="preserve"> </w:t>
      </w:r>
      <w:r w:rsidRPr="002249B3">
        <w:rPr>
          <w:rFonts w:ascii="Tahoma" w:eastAsia="Tahoma" w:hAnsi="Tahoma" w:cs="Tahoma"/>
          <w:sz w:val="24"/>
          <w:szCs w:val="24"/>
        </w:rPr>
        <w:t>(</w:t>
      </w:r>
      <w:r w:rsidR="00D71D7E" w:rsidRPr="002249B3">
        <w:rPr>
          <w:rFonts w:ascii="Tahoma" w:eastAsia="Tahoma" w:hAnsi="Tahoma" w:cs="Tahoma"/>
          <w:sz w:val="24"/>
          <w:szCs w:val="24"/>
        </w:rPr>
        <w:t>Aktaş and Groth</w:t>
      </w:r>
      <w:r w:rsidRPr="002249B3">
        <w:rPr>
          <w:rFonts w:ascii="Tahoma" w:eastAsia="Tahoma" w:hAnsi="Tahoma" w:cs="Tahoma"/>
          <w:sz w:val="24"/>
          <w:szCs w:val="24"/>
        </w:rPr>
        <w:t>, 2020).</w:t>
      </w:r>
    </w:p>
    <w:p w14:paraId="585C9836" w14:textId="77777777" w:rsidR="007E5AF3" w:rsidRPr="002249B3" w:rsidRDefault="007E5AF3" w:rsidP="002249B3">
      <w:pPr>
        <w:spacing w:after="240" w:line="360" w:lineRule="auto"/>
        <w:rPr>
          <w:rFonts w:ascii="Tahoma" w:eastAsia="Tahoma" w:hAnsi="Tahoma" w:cs="Tahoma"/>
          <w:sz w:val="24"/>
          <w:szCs w:val="24"/>
        </w:rPr>
      </w:pPr>
    </w:p>
    <w:p w14:paraId="73482EA0"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Creative Education for a Changing World</w:t>
      </w:r>
    </w:p>
    <w:p w14:paraId="33319641"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At Arts University Plymouth our strategy ‘Creative Education for a Changing World’ sets a vision towards 2030 based on ‘sustainable growth, solution focused teaching &amp; research, and a commitment to impactful social justice and ecological change through its people, culture and place’ (AUP, 2023). ‘Teaching for our Time’, an essential strand of the strategy, maps out our pedagogical principles, valuing practice-based research and enquiry into how the arts,</w:t>
      </w:r>
    </w:p>
    <w:p w14:paraId="105E0545" w14:textId="77777777" w:rsidR="007E5AF3" w:rsidRPr="002249B3" w:rsidRDefault="004C3694" w:rsidP="002249B3">
      <w:pPr>
        <w:pBdr>
          <w:top w:val="nil"/>
          <w:left w:val="nil"/>
          <w:bottom w:val="nil"/>
          <w:right w:val="nil"/>
          <w:between w:val="nil"/>
        </w:pBdr>
        <w:shd w:val="clear" w:color="auto" w:fill="FFFFFF"/>
        <w:spacing w:after="240" w:line="360" w:lineRule="auto"/>
        <w:ind w:left="720"/>
        <w:rPr>
          <w:rFonts w:ascii="Tahoma" w:eastAsia="Tahoma" w:hAnsi="Tahoma" w:cs="Tahoma"/>
          <w:sz w:val="24"/>
          <w:szCs w:val="24"/>
        </w:rPr>
      </w:pPr>
      <w:r w:rsidRPr="002249B3">
        <w:rPr>
          <w:rFonts w:ascii="Tahoma" w:eastAsia="Tahoma" w:hAnsi="Tahoma" w:cs="Tahoma"/>
          <w:sz w:val="24"/>
          <w:szCs w:val="24"/>
        </w:rPr>
        <w:t>teach us in a direct and unmediated manner what it means to come into dialogue, be in dialogue and remain in dialogue through the relationship of head, hands and heart. They deepen and broaden the ways we are in touch with the world through our thinking. The arts are intrinsic to the work of the hands and the materials they form, but also to the domain of the heart, where the encounter with art touches us, moves us and inspires the feelings in us to nurture and care for the world we live in. (Felmingham, 2024)</w:t>
      </w:r>
      <w:r w:rsidRPr="002249B3">
        <w:rPr>
          <w:rFonts w:ascii="Tahoma" w:eastAsia="Tahoma" w:hAnsi="Tahoma" w:cs="Tahoma"/>
          <w:sz w:val="24"/>
          <w:szCs w:val="24"/>
        </w:rPr>
        <w:tab/>
      </w:r>
      <w:r w:rsidRPr="002249B3">
        <w:rPr>
          <w:rFonts w:ascii="Tahoma" w:eastAsia="Tahoma" w:hAnsi="Tahoma" w:cs="Tahoma"/>
          <w:sz w:val="24"/>
          <w:szCs w:val="24"/>
        </w:rPr>
        <w:tab/>
      </w:r>
    </w:p>
    <w:p w14:paraId="01FCF0C0" w14:textId="77777777" w:rsidR="007E5AF3" w:rsidRPr="002249B3" w:rsidRDefault="004C3694"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t xml:space="preserve">We are certainly not alone in considering how our </w:t>
      </w:r>
      <w:r w:rsidRPr="002249B3">
        <w:rPr>
          <w:rFonts w:ascii="Tahoma" w:eastAsia="Tahoma" w:hAnsi="Tahoma" w:cs="Tahoma"/>
          <w:sz w:val="24"/>
          <w:szCs w:val="24"/>
          <w:highlight w:val="white"/>
        </w:rPr>
        <w:t xml:space="preserve">pedagogical principles might ‘turn students outwards…towards the world’ </w:t>
      </w:r>
      <w:r w:rsidRPr="002249B3">
        <w:rPr>
          <w:rFonts w:ascii="Tahoma" w:eastAsia="Tahoma" w:hAnsi="Tahoma" w:cs="Tahoma"/>
          <w:sz w:val="24"/>
          <w:szCs w:val="24"/>
        </w:rPr>
        <w:t>(Felmingham, 2024). For example, the Royal College of Art embeds ‘environmental sustainability in all forms of teaching and learning so that students can contribute to and work within a more sustainable future’ (RCA, 2024) and University for the Creative Arts maps the content of courses against the UN SDGs to track how ESD is integrated (UCA, no date). In their own guidance QAA &amp; Advance HE, recognise that ‘transforming curricula is not a simple task and takes real commitment from an institution to do so’ (QAA &amp; Advance HE, 2021). In 2020, as a precursor to our 2030 strategy, Arts University Plymouth validated a Common Unit Framework that offers a shared understanding of what knowledge and skills undergraduate students learn</w:t>
      </w:r>
      <w:r w:rsidR="0044435B" w:rsidRPr="002249B3">
        <w:rPr>
          <w:rFonts w:ascii="Tahoma" w:eastAsia="Tahoma" w:hAnsi="Tahoma" w:cs="Tahoma"/>
          <w:sz w:val="24"/>
          <w:szCs w:val="24"/>
        </w:rPr>
        <w:t xml:space="preserve"> and develop</w:t>
      </w:r>
      <w:r w:rsidRPr="002249B3">
        <w:rPr>
          <w:rFonts w:ascii="Tahoma" w:eastAsia="Tahoma" w:hAnsi="Tahoma" w:cs="Tahoma"/>
          <w:sz w:val="24"/>
          <w:szCs w:val="24"/>
        </w:rPr>
        <w:t xml:space="preserve">, all delivered through the lens of each individual subject. Embedded themes of global citizenship and ESD </w:t>
      </w:r>
      <w:r w:rsidR="00FA6785" w:rsidRPr="002249B3">
        <w:rPr>
          <w:rFonts w:ascii="Tahoma" w:eastAsia="Tahoma" w:hAnsi="Tahoma" w:cs="Tahoma"/>
          <w:sz w:val="24"/>
          <w:szCs w:val="24"/>
        </w:rPr>
        <w:t xml:space="preserve">now </w:t>
      </w:r>
      <w:r w:rsidRPr="002249B3">
        <w:rPr>
          <w:rFonts w:ascii="Tahoma" w:eastAsia="Tahoma" w:hAnsi="Tahoma" w:cs="Tahoma"/>
          <w:sz w:val="24"/>
          <w:szCs w:val="24"/>
        </w:rPr>
        <w:t>run through our curriculum and are a particular focus in two units: Platforms of Exchange completed at the end of Level 4 study and Global Challenges which kickstarts Level 5.</w:t>
      </w:r>
    </w:p>
    <w:p w14:paraId="5FACB091" w14:textId="77777777" w:rsidR="007E5AF3" w:rsidRPr="002249B3" w:rsidRDefault="007E5AF3" w:rsidP="002249B3">
      <w:pPr>
        <w:spacing w:after="240" w:line="360" w:lineRule="auto"/>
        <w:rPr>
          <w:rFonts w:ascii="Tahoma" w:eastAsia="Tahoma" w:hAnsi="Tahoma" w:cs="Tahoma"/>
          <w:sz w:val="24"/>
          <w:szCs w:val="24"/>
        </w:rPr>
      </w:pPr>
    </w:p>
    <w:p w14:paraId="7EFE9B11"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Platforms of Exchange</w:t>
      </w:r>
    </w:p>
    <w:p w14:paraId="088FDDB4" w14:textId="77777777" w:rsidR="007E5AF3" w:rsidRPr="002249B3" w:rsidRDefault="004C3694" w:rsidP="002249B3">
      <w:pPr>
        <w:spacing w:after="240" w:line="360" w:lineRule="auto"/>
        <w:rPr>
          <w:rFonts w:ascii="Tahoma" w:eastAsia="Tahoma" w:hAnsi="Tahoma" w:cs="Tahoma"/>
          <w:i/>
          <w:sz w:val="24"/>
          <w:szCs w:val="24"/>
        </w:rPr>
      </w:pPr>
      <w:r w:rsidRPr="002249B3">
        <w:rPr>
          <w:rFonts w:ascii="Tahoma" w:eastAsia="Tahoma" w:hAnsi="Tahoma" w:cs="Tahoma"/>
          <w:sz w:val="24"/>
          <w:szCs w:val="24"/>
        </w:rPr>
        <w:t>Through cross-course delivery, working with students across our range of art, design and media undergraduate courses, Platforms of Exchange enables our first</w:t>
      </w:r>
      <w:r w:rsidR="0044435B" w:rsidRPr="002249B3">
        <w:rPr>
          <w:rFonts w:ascii="Tahoma" w:eastAsia="Tahoma" w:hAnsi="Tahoma" w:cs="Tahoma"/>
          <w:sz w:val="24"/>
          <w:szCs w:val="24"/>
        </w:rPr>
        <w:t>-</w:t>
      </w:r>
      <w:r w:rsidRPr="002249B3">
        <w:rPr>
          <w:rFonts w:ascii="Tahoma" w:eastAsia="Tahoma" w:hAnsi="Tahoma" w:cs="Tahoma"/>
          <w:sz w:val="24"/>
          <w:szCs w:val="24"/>
        </w:rPr>
        <w:t>year students to share their subject specific skills in pursuit of thematic enquiry and creative problem solving. The unit centres on critical reflection of collaborative working and the impact of individual contribution in determining creative project outcomes. Design educator Sarah Stein Greenberg states in ‘Creative Acts for Curious People’, that since we live, ‘in an era of ambiguous, messy problems - as well as extraordinary opportunities for positive change - it’s vital to have both an inquisitive mind and the ability to act with intention’ (Stein Greenberg, 2021). As we travel through our lives encountering those ‘messy problems’, it’s important to remember that although we face them together, our lived experiences differ widely. We see Platforms of Exchange as a journey our students undertake together as ‘empathic adventurers’ to consider how they can help drive social change by stepping outside themselves, expanding their moral universe by working with others (Krznaric, 2012)</w:t>
      </w:r>
      <w:r w:rsidRPr="002249B3">
        <w:rPr>
          <w:rFonts w:ascii="Tahoma" w:eastAsia="Tahoma" w:hAnsi="Tahoma" w:cs="Tahoma"/>
          <w:i/>
          <w:sz w:val="24"/>
          <w:szCs w:val="24"/>
        </w:rPr>
        <w:t xml:space="preserve">. </w:t>
      </w:r>
    </w:p>
    <w:p w14:paraId="30A43BA5"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Projects designed to introduce issue-based learning are devised in advance by unit teams in response to a contemporary theme or </w:t>
      </w:r>
      <w:r w:rsidR="005117C7" w:rsidRPr="002249B3">
        <w:rPr>
          <w:rFonts w:ascii="Tahoma" w:eastAsia="Tahoma" w:hAnsi="Tahoma" w:cs="Tahoma"/>
          <w:sz w:val="24"/>
          <w:szCs w:val="24"/>
        </w:rPr>
        <w:t>real-world</w:t>
      </w:r>
      <w:r w:rsidRPr="002249B3">
        <w:rPr>
          <w:rFonts w:ascii="Tahoma" w:eastAsia="Tahoma" w:hAnsi="Tahoma" w:cs="Tahoma"/>
          <w:sz w:val="24"/>
          <w:szCs w:val="24"/>
        </w:rPr>
        <w:t xml:space="preserve"> issue and students are challenged to explore themes they care about. Through the sharing of ideas they ‘find’ peers who are interested in similar themes, they form creative teams, develop common goals and plan to deliver creative projects. The range of outcomes from the unit so far have offered solutions including: sustainable product design; initiatives to encourage volunteering with local community groups; and awareness-raising campaigns designed to educate and empower. Students have advocated for a wide range of concerns including violence against women, mental health, issues of representation, sustainable fashion, gender expression, plastic pollution, toxic masculinity, animal welfare and the UK housing crisis.</w:t>
      </w:r>
    </w:p>
    <w:p w14:paraId="01248455" w14:textId="66F3575A"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Platforms of Exchange challenges our students to stretch themselves by working collaboratively with new people and researching unfamiliar topics. As anyone who delivers collaborative teamwork projects with their students knows, it is not easy. Sometimes you are dealing with deep set, firmly embedded ‘trauma’ around teamwork which may have come from prior education or workplace experiences.</w:t>
      </w:r>
      <w:r w:rsidR="002249B3">
        <w:rPr>
          <w:rFonts w:ascii="Tahoma" w:eastAsia="Tahoma" w:hAnsi="Tahoma" w:cs="Tahoma"/>
          <w:sz w:val="24"/>
          <w:szCs w:val="24"/>
        </w:rPr>
        <w:t xml:space="preserve"> </w:t>
      </w:r>
    </w:p>
    <w:p w14:paraId="11068983"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In order for a critically curious pedagogy to emerge…all those involved must also be willing to create and enjoy an environment of uncertainty rather than resolve or resist it…When we cultivate in students the ability to live with the unknown and remain flexible in their stances, we equip them to engage with their environments without fear of losing their sense of self when faced with differences, unknowns or uncertainties, all of which facilitate critical curiosity. (Shankar &amp; Zurn, 2020)</w:t>
      </w:r>
    </w:p>
    <w:p w14:paraId="2A51143F"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And it is precisely these uncertainties that are of value when students work with others outside their specific discipline, gaining transferrable skills and managing ‘new and unfamiliar situations such as lingering in the unknown, the courage of engaging in explorative processes beyond disciplinary norms, adapting to new situations and the skill of reflecting and meaning making’ (Aktaş and Groth, 2021).</w:t>
      </w:r>
    </w:p>
    <w:p w14:paraId="40995F0A"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Throughout the unit we are collectively testing our students’ capacity to become more empathic designers, communicators and creatives and testing Lev Vygotsky’s notion that, ‘individuals learn best when working together with others during collaboration, and it is through such collaborative endeavours with more skilled persons that learners learn and internalise new concepts, psychological tools, and skills’ (Vygotsky, 1978). Through the relationship of head, hands and heart embedded within our pedagogical principles, we hope to establish both critical and emotional engagement as essential components of not only ESD themes but also collaborative working in general.</w:t>
      </w:r>
    </w:p>
    <w:p w14:paraId="56DFD308" w14:textId="77777777" w:rsidR="007E5AF3" w:rsidRPr="002249B3" w:rsidRDefault="007E5AF3" w:rsidP="002249B3">
      <w:pPr>
        <w:spacing w:after="240" w:line="360" w:lineRule="auto"/>
        <w:rPr>
          <w:rFonts w:ascii="Tahoma" w:eastAsia="Tahoma" w:hAnsi="Tahoma" w:cs="Tahoma"/>
          <w:sz w:val="24"/>
          <w:szCs w:val="24"/>
        </w:rPr>
      </w:pPr>
    </w:p>
    <w:p w14:paraId="63AFAFEC"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The Curiosity Incubator</w:t>
      </w:r>
    </w:p>
    <w:p w14:paraId="65FCDEA7"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Within the 12-week Platforms of Exchange project called The Curiosity Incubator, we invited Level 4 students from a range of illustration and design undergraduate courses to engage in fictional, simulated scenarios highlighting global challenges. Rather than direct students towards a single, specific issue or theme, we chose to use the UN Sustainable Development Goals (SDGs) as a framework to inspire fantastical scenarios for workshops where participants were encouraged to generate unconventional and seemingly infeasible solutions. We wanted to turn our empathic adventurers towards the world by focusing on the UN SDGs, but the potential for eco-anxiety and information overload made us cautious in case our students responded negatively: emotions of grief, guilt, hopelessness or apathy; a feeling of dread that a positive future is slipping out of reach; or a sense of paralysis of ‘where to start’ when encountering the scale of the challenges we face. In our current climate emergency, precarity and fear can freeze us towards incuriosity, ‘but in order for art education to remain educational, it needs to take the task of grown-up existence with the world seriously[...]the arts provide unique possibilities for engaging with this task’ (Biesta, 2018).</w:t>
      </w:r>
    </w:p>
    <w:p w14:paraId="7F41FBFC"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In </w:t>
      </w:r>
      <w:r w:rsidRPr="002249B3">
        <w:rPr>
          <w:rFonts w:ascii="Tahoma" w:eastAsia="Tahoma" w:hAnsi="Tahoma" w:cs="Tahoma"/>
          <w:i/>
          <w:sz w:val="24"/>
          <w:szCs w:val="24"/>
        </w:rPr>
        <w:t>Playing for Time,</w:t>
      </w:r>
      <w:r w:rsidRPr="002249B3">
        <w:rPr>
          <w:rFonts w:ascii="Tahoma" w:eastAsia="Tahoma" w:hAnsi="Tahoma" w:cs="Tahoma"/>
          <w:sz w:val="24"/>
          <w:szCs w:val="24"/>
        </w:rPr>
        <w:t xml:space="preserve"> Lucy Neal describes the driving force behind her book as a ‘desire to understand the role our imaginations and creative skills play in reimagining a world in which life on Earth is cherished and sustained’ (Neal, 2015). Neal makes a strong argument for play as the space in which we can extend the range of possibilities we draw upon as we explore the world, learning what we need to know to survive. ‘In this analogy of play in a contemporary world, it’s possible artists can be circuit breakers of tragedy, surprising people with alternative ways of seeing, jolting them awake from denial and speeding up a public process of seeing and feeling the ‘truth’ of climate change’ (Neal, 2015).</w:t>
      </w:r>
    </w:p>
    <w:p w14:paraId="6D784C99" w14:textId="77777777" w:rsidR="007E5AF3" w:rsidRPr="002249B3" w:rsidRDefault="004C3694" w:rsidP="002249B3">
      <w:pPr>
        <w:spacing w:after="240" w:line="360" w:lineRule="auto"/>
        <w:rPr>
          <w:rFonts w:ascii="Tahoma" w:eastAsia="Tahoma" w:hAnsi="Tahoma" w:cs="Tahoma"/>
          <w:b/>
          <w:sz w:val="24"/>
          <w:szCs w:val="24"/>
        </w:rPr>
      </w:pPr>
      <w:r w:rsidRPr="002249B3">
        <w:rPr>
          <w:rFonts w:ascii="Tahoma" w:eastAsia="Tahoma" w:hAnsi="Tahoma" w:cs="Tahoma"/>
          <w:sz w:val="24"/>
          <w:szCs w:val="24"/>
        </w:rPr>
        <w:t xml:space="preserve">With Neal’s background as a writer, </w:t>
      </w:r>
      <w:r w:rsidR="009B2B92" w:rsidRPr="002249B3">
        <w:rPr>
          <w:rFonts w:ascii="Tahoma" w:eastAsia="Tahoma" w:hAnsi="Tahoma" w:cs="Tahoma"/>
          <w:sz w:val="24"/>
          <w:szCs w:val="24"/>
        </w:rPr>
        <w:t xml:space="preserve">theatre </w:t>
      </w:r>
      <w:r w:rsidRPr="002249B3">
        <w:rPr>
          <w:rFonts w:ascii="Tahoma" w:eastAsia="Tahoma" w:hAnsi="Tahoma" w:cs="Tahoma"/>
          <w:sz w:val="24"/>
          <w:szCs w:val="24"/>
        </w:rPr>
        <w:t xml:space="preserve">maker, art producer and educator - and her book co-written by artists and activists - the combination of case studies she presents range across art and performance to community events as a catalyst for change. We, however, were working with students accustomed to commercial, client-led contexts. We wanted to introduce the design students to the fictional worlds explored by illustrators and </w:t>
      </w:r>
      <w:r w:rsidR="009B2B92" w:rsidRPr="002249B3">
        <w:rPr>
          <w:rFonts w:ascii="Tahoma" w:eastAsia="Tahoma" w:hAnsi="Tahoma" w:cs="Tahoma"/>
          <w:sz w:val="24"/>
          <w:szCs w:val="24"/>
        </w:rPr>
        <w:t>familiarise all</w:t>
      </w:r>
      <w:r w:rsidRPr="002249B3">
        <w:rPr>
          <w:rFonts w:ascii="Tahoma" w:eastAsia="Tahoma" w:hAnsi="Tahoma" w:cs="Tahoma"/>
          <w:sz w:val="24"/>
          <w:szCs w:val="24"/>
        </w:rPr>
        <w:t xml:space="preserve"> the students with material exploration and hands-on making, removed from design cycle conventions and search engine instincts. Ultimately, what Neal gave us was permission to play, but we needed to determine our own approach - what would ‘play’ look like?</w:t>
      </w:r>
    </w:p>
    <w:p w14:paraId="423269FF" w14:textId="43FA0CD6"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In The Curiosity Incubator we decided to enter the realm of fantasy from the outset, to embrace uncertainty by exaggerating the narrative. Lesley-Anne Noel in </w:t>
      </w:r>
      <w:r w:rsidRPr="002249B3">
        <w:rPr>
          <w:rFonts w:ascii="Tahoma" w:eastAsia="Tahoma" w:hAnsi="Tahoma" w:cs="Tahoma"/>
          <w:i/>
          <w:sz w:val="24"/>
          <w:szCs w:val="24"/>
        </w:rPr>
        <w:t>Design for Social Change</w:t>
      </w:r>
      <w:r w:rsidRPr="002249B3">
        <w:rPr>
          <w:rFonts w:ascii="Tahoma" w:eastAsia="Tahoma" w:hAnsi="Tahoma" w:cs="Tahoma"/>
          <w:sz w:val="24"/>
          <w:szCs w:val="24"/>
        </w:rPr>
        <w:t>, advocates for posing problems and setting briefs that force people into a far-distant future that encourages them to ‘imagine futures without barriers’ since propelling ourselves forward ‘makes the radical seem less extreme’ (Noel, 2023). Raja Schaar and Chris Baeza describe a similar approach in their use of ‘design fiction’ in teaching design ethics:</w:t>
      </w:r>
      <w:r w:rsidR="002249B3">
        <w:rPr>
          <w:rFonts w:ascii="Tahoma" w:eastAsia="Tahoma" w:hAnsi="Tahoma" w:cs="Tahoma"/>
          <w:sz w:val="24"/>
          <w:szCs w:val="24"/>
        </w:rPr>
        <w:t xml:space="preserve"> </w:t>
      </w:r>
    </w:p>
    <w:p w14:paraId="184DC4B2"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Design fiction as an approach to speculative design, affords designers an opportunity to create and solve in an imagined world separate from the realities of the present day. Design fictions allow the designer to not only propose speculative design ideas but also gives license to the designer to imagine scenarios in which the design idea exists, will be made, and used. (Schaar and Baeza, 2020)</w:t>
      </w:r>
    </w:p>
    <w:p w14:paraId="0BA517C7"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Our particular approach to encourage design fiction was to distance ourselves from this troubled planet and situate ourselves on Mars, at a non-determined future date and as a result of an undisclosed Earth event. ESD</w:t>
      </w:r>
      <w:r w:rsidRPr="002249B3">
        <w:rPr>
          <w:rFonts w:ascii="Tahoma" w:eastAsia="Tahoma" w:hAnsi="Tahoma" w:cs="Tahoma"/>
          <w:i/>
          <w:sz w:val="24"/>
          <w:szCs w:val="24"/>
        </w:rPr>
        <w:t xml:space="preserve"> </w:t>
      </w:r>
      <w:r w:rsidRPr="002249B3">
        <w:rPr>
          <w:rFonts w:ascii="Tahoma" w:eastAsia="Tahoma" w:hAnsi="Tahoma" w:cs="Tahoma"/>
          <w:sz w:val="24"/>
          <w:szCs w:val="24"/>
        </w:rPr>
        <w:t xml:space="preserve">guidance (QAA &amp; Advance HE, 2021) proposes that the aims of the UN SDGs, and what they seek to achieve, are necessary for a positive future for life on Earth. Through the fictional lens of Mars, we attempted to reframe the sustainability challenges we face on earth, </w:t>
      </w:r>
      <w:r w:rsidR="007D6DDE" w:rsidRPr="002249B3">
        <w:rPr>
          <w:rFonts w:ascii="Tahoma" w:eastAsia="Tahoma" w:hAnsi="Tahoma" w:cs="Tahoma"/>
          <w:sz w:val="24"/>
          <w:szCs w:val="24"/>
        </w:rPr>
        <w:t xml:space="preserve">interpreting </w:t>
      </w:r>
      <w:r w:rsidRPr="002249B3">
        <w:rPr>
          <w:rFonts w:ascii="Tahoma" w:eastAsia="Tahoma" w:hAnsi="Tahoma" w:cs="Tahoma"/>
          <w:sz w:val="24"/>
          <w:szCs w:val="24"/>
        </w:rPr>
        <w:t xml:space="preserve">those aims </w:t>
      </w:r>
      <w:r w:rsidR="007D6DDE" w:rsidRPr="002249B3">
        <w:rPr>
          <w:rFonts w:ascii="Tahoma" w:eastAsia="Tahoma" w:hAnsi="Tahoma" w:cs="Tahoma"/>
          <w:sz w:val="24"/>
          <w:szCs w:val="24"/>
        </w:rPr>
        <w:t>as the</w:t>
      </w:r>
      <w:r w:rsidRPr="002249B3">
        <w:rPr>
          <w:rFonts w:ascii="Tahoma" w:eastAsia="Tahoma" w:hAnsi="Tahoma" w:cs="Tahoma"/>
          <w:sz w:val="24"/>
          <w:szCs w:val="24"/>
        </w:rPr>
        <w:t xml:space="preserve"> vital principles that would also ensure a positive life on Mars, as if they were the framework on which a world could begin, rather than goals constructed to save another. </w:t>
      </w:r>
    </w:p>
    <w:p w14:paraId="7BF154D6" w14:textId="11E8036D"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The unit began with an intense period of rapid information-gathering we call The Curious Research Method.</w:t>
      </w:r>
      <w:r w:rsidR="002249B3">
        <w:rPr>
          <w:rFonts w:ascii="Tahoma" w:eastAsia="Tahoma" w:hAnsi="Tahoma" w:cs="Tahoma"/>
          <w:sz w:val="24"/>
          <w:szCs w:val="24"/>
        </w:rPr>
        <w:t xml:space="preserve"> </w:t>
      </w:r>
      <w:r w:rsidRPr="002249B3">
        <w:rPr>
          <w:rFonts w:ascii="Tahoma" w:eastAsia="Tahoma" w:hAnsi="Tahoma" w:cs="Tahoma"/>
          <w:sz w:val="24"/>
          <w:szCs w:val="24"/>
        </w:rPr>
        <w:t>The whole group became actively curious about a single word, in this case Mars, responding to the following prompts:</w:t>
      </w:r>
    </w:p>
    <w:p w14:paraId="4F36DD75" w14:textId="77777777" w:rsidR="007E5AF3" w:rsidRPr="002249B3" w:rsidRDefault="004C3694"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 xml:space="preserve">What do you think you know already? </w:t>
      </w:r>
    </w:p>
    <w:p w14:paraId="06DABAA2"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This initial question served as an opportunity to collate the group's general knowledge, immediately setting the premise that the collective can achieve more by working together for a common purpose. </w:t>
      </w:r>
    </w:p>
    <w:p w14:paraId="16C96EAA" w14:textId="77777777" w:rsidR="007E5AF3" w:rsidRPr="002249B3" w:rsidRDefault="004C3694"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What do you not know? (could be written as statements or a list of questions)</w:t>
      </w:r>
    </w:p>
    <w:p w14:paraId="48A73DAF" w14:textId="77777777" w:rsidR="007E5AF3" w:rsidRPr="002249B3" w:rsidRDefault="004C3694"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This question could lead the group towards a sense of curiosity that is born out of a response to an information gap. Defined by Ian Leslie as ‘the curiosity zone – next door to what you already know, just before you feel you know too much’ since ‘we feel curious when there is a gap between what we think we know and what we want to know.’ (Leslie, 2014) </w:t>
      </w:r>
    </w:p>
    <w:p w14:paraId="4AEE8663" w14:textId="77777777" w:rsidR="007E5AF3" w:rsidRPr="002249B3" w:rsidRDefault="004C3694"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What if…? What can you imagine and invent?</w:t>
      </w:r>
    </w:p>
    <w:p w14:paraId="3BA66359" w14:textId="1171AD2E"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This freeform stage allowed creativity and imagination to let loose at the point just before research began, just before you ‘know too much’. The group were encouraged to let their imaginations flow as they guessed, predicted or fabricated the answers to some of the questions raised in response to the previous prompt. They might also have f</w:t>
      </w:r>
      <w:r w:rsidR="002249B3">
        <w:rPr>
          <w:rFonts w:ascii="Tahoma" w:eastAsia="Tahoma" w:hAnsi="Tahoma" w:cs="Tahoma"/>
          <w:sz w:val="24"/>
          <w:szCs w:val="24"/>
        </w:rPr>
        <w:t>a</w:t>
      </w:r>
      <w:r w:rsidRPr="002249B3">
        <w:rPr>
          <w:rFonts w:ascii="Tahoma" w:eastAsia="Tahoma" w:hAnsi="Tahoma" w:cs="Tahoma"/>
          <w:sz w:val="24"/>
          <w:szCs w:val="24"/>
        </w:rPr>
        <w:t>ntasised and imagined new narratives or new lines of enquiry.</w:t>
      </w:r>
    </w:p>
    <w:p w14:paraId="61C1E586" w14:textId="77777777" w:rsidR="007E5AF3" w:rsidRPr="002249B3" w:rsidRDefault="004C3694"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Now begin to research to fill the information gaps.</w:t>
      </w:r>
    </w:p>
    <w:p w14:paraId="668F2FB4"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Here the chase was on to follow each line of enquiry in order to build a solid foundation of awareness about the given word. Beginning with dictionary definitions, synonyms and antonyms and word origins before moving on towards basic facts and image searches.</w:t>
      </w:r>
    </w:p>
    <w:p w14:paraId="2F1DD5AF" w14:textId="77777777" w:rsidR="007E5AF3" w:rsidRPr="002249B3" w:rsidRDefault="004C3694"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Deeper research - what else can you find out?</w:t>
      </w:r>
    </w:p>
    <w:p w14:paraId="269B6CFF"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It’s here where curiosity could fully take hold, where there was no right path since ‘curiosity is unruly…preferring diversions, unplanned excursions, impulsive left turns.’ (Leslie, 2014) From asking others (peers, tutors, friends, family, specialists, professionals…) to investigative research using books, journals, newspapers, archives, films, tv documentaries, libraries or museum archives etc.</w:t>
      </w:r>
    </w:p>
    <w:p w14:paraId="32B042ED"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The Curious Research Method was intended to be performed by the whole group, moving them from a place of individual to collective knowledge. These were rapid tasks that together took no longer than an hour (although that final task of deeper research could extend beyond the session). We encouraged students to find a pace that suited their level of curiosity, to recognise that every time they got bored, curiosity had waned and they needed to move on to the next prompt. On day one of the unit, this approach to collaborative knowledge-building functioned as an active but purposeful icebreaker and moved the whole group towards building a rich appreciation of Mars from the speculative &amp; fictional through to facts &amp; figures or perhaps to an awareness of cultural depictions or mythology. More importantly, it began to provide a basic foundation to support the formation of communities of practice later in the unit, motivating students to connect to each other ‘deepening their knowledge and expertise...through interaction” (Wenger, 1998). </w:t>
      </w:r>
    </w:p>
    <w:p w14:paraId="5321B5B5"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From this shared starting point, through a series of workshops, we then invited students into the incubation phase, exploring processes of ‘opening up’ in order to work through problems as they cultivated artificial ideas about a life on Mars:</w:t>
      </w:r>
    </w:p>
    <w:p w14:paraId="19A3374F" w14:textId="77777777" w:rsidR="007E5AF3" w:rsidRPr="002249B3" w:rsidRDefault="004C3694"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 xml:space="preserve">How could hostile environments sustain life? </w:t>
      </w:r>
    </w:p>
    <w:p w14:paraId="258D90B7" w14:textId="77777777" w:rsidR="007E5AF3" w:rsidRPr="002249B3" w:rsidRDefault="004C3694"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What is needed to support living?</w:t>
      </w:r>
    </w:p>
    <w:p w14:paraId="42F58D1A" w14:textId="5CF9AC0D" w:rsidR="007E5AF3" w:rsidRPr="002249B3" w:rsidRDefault="004C3694"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How might those lives be lived?</w:t>
      </w:r>
      <w:r w:rsidR="002249B3">
        <w:rPr>
          <w:rFonts w:ascii="Tahoma" w:eastAsia="Tahoma" w:hAnsi="Tahoma" w:cs="Tahoma"/>
          <w:sz w:val="24"/>
          <w:szCs w:val="24"/>
        </w:rPr>
        <w:t xml:space="preserve"> </w:t>
      </w:r>
    </w:p>
    <w:p w14:paraId="6133095E" w14:textId="77777777" w:rsidR="007E5AF3" w:rsidRPr="002249B3" w:rsidRDefault="004C3694"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What will society/culture look like?</w:t>
      </w:r>
    </w:p>
    <w:p w14:paraId="7DFB3CB4" w14:textId="4D77A3D3" w:rsidR="007E5AF3" w:rsidRPr="002249B3" w:rsidRDefault="004C3694"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What artefacts will be made?</w:t>
      </w:r>
      <w:r w:rsidR="002249B3">
        <w:rPr>
          <w:rFonts w:ascii="Tahoma" w:eastAsia="Tahoma" w:hAnsi="Tahoma" w:cs="Tahoma"/>
          <w:sz w:val="24"/>
          <w:szCs w:val="24"/>
        </w:rPr>
        <w:t xml:space="preserve"> </w:t>
      </w:r>
    </w:p>
    <w:p w14:paraId="2A54B243" w14:textId="77777777" w:rsidR="007E5AF3" w:rsidRPr="002249B3" w:rsidRDefault="004C3694"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What stories will be told?</w:t>
      </w:r>
    </w:p>
    <w:p w14:paraId="69B9114C" w14:textId="77777777" w:rsidR="007E5AF3" w:rsidRPr="002249B3" w:rsidRDefault="004C3694" w:rsidP="002249B3">
      <w:pPr>
        <w:spacing w:after="240" w:line="360" w:lineRule="auto"/>
        <w:rPr>
          <w:rFonts w:ascii="Tahoma" w:eastAsia="Tahoma" w:hAnsi="Tahoma" w:cs="Tahoma"/>
          <w:sz w:val="24"/>
          <w:szCs w:val="24"/>
          <w:highlight w:val="white"/>
        </w:rPr>
      </w:pPr>
      <w:r w:rsidRPr="002249B3">
        <w:rPr>
          <w:rFonts w:ascii="Tahoma" w:eastAsia="Tahoma" w:hAnsi="Tahoma" w:cs="Tahoma"/>
          <w:sz w:val="24"/>
          <w:szCs w:val="24"/>
        </w:rPr>
        <w:t xml:space="preserve">There was just one rule in The Curiosity Incubator: creative ideas didn’t have to be feasible – in fact, they might definitely be impossible – but they did at least need to be considered. That process of consideration did not involve the convention of a design cycle or linear design process, instead we wanted to encourage alternative routes to problem solving through hands-on making. We asked students to build, destroy, imagine, play, curate, invent, share, relate, reject, think and question. </w:t>
      </w:r>
      <w:r w:rsidRPr="002249B3">
        <w:rPr>
          <w:rFonts w:ascii="Tahoma" w:eastAsia="Tahoma" w:hAnsi="Tahoma" w:cs="Tahoma"/>
          <w:sz w:val="24"/>
          <w:szCs w:val="24"/>
          <w:highlight w:val="white"/>
        </w:rPr>
        <w:t>We wanted to test model-making and working directly with materials to provide ‘a temporary, external store for tentative ideas’ to support ‘the ‘dialogue’ that the designer has between problem and solution’ (Cross, 2011).</w:t>
      </w:r>
    </w:p>
    <w:p w14:paraId="5F3D0ACB" w14:textId="60842CD1"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Although we used the UN SDGs as a framework for the workshops, there are 17 SDGs in total and beneath them the resulting 169 targets, so we initially focused on just three of those targets.</w:t>
      </w:r>
      <w:r w:rsidR="002249B3">
        <w:rPr>
          <w:rFonts w:ascii="Tahoma" w:eastAsia="Tahoma" w:hAnsi="Tahoma" w:cs="Tahoma"/>
          <w:sz w:val="24"/>
          <w:szCs w:val="24"/>
        </w:rPr>
        <w:t xml:space="preserve"> </w:t>
      </w:r>
      <w:r w:rsidRPr="002249B3">
        <w:rPr>
          <w:rFonts w:ascii="Tahoma" w:eastAsia="Tahoma" w:hAnsi="Tahoma" w:cs="Tahoma"/>
          <w:sz w:val="24"/>
          <w:szCs w:val="24"/>
        </w:rPr>
        <w:t>Each workshop was around 150 minutes long and began with an unpacking of keywords linked to the themes and an exploration of art, design and media outcomes exploring those same ideas. We wanted to reassure students that however unfamiliar the workshops may be, creative practitioners had conceptualised and responded to those same themes before.</w:t>
      </w:r>
      <w:r w:rsidR="002249B3">
        <w:rPr>
          <w:rFonts w:ascii="Tahoma" w:eastAsia="Tahoma" w:hAnsi="Tahoma" w:cs="Tahoma"/>
          <w:sz w:val="24"/>
          <w:szCs w:val="24"/>
        </w:rPr>
        <w:t xml:space="preserve"> </w:t>
      </w:r>
      <w:r w:rsidRPr="002249B3">
        <w:rPr>
          <w:rFonts w:ascii="Tahoma" w:eastAsia="Tahoma" w:hAnsi="Tahoma" w:cs="Tahoma"/>
          <w:sz w:val="24"/>
          <w:szCs w:val="24"/>
        </w:rPr>
        <w:t>Each workshop had an activity/prompt:</w:t>
      </w:r>
    </w:p>
    <w:p w14:paraId="341A6F26"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HOME workshop: inspired by a Goal 11 Target: ensure access for all to adequate, safe and affordable housing and basic services. Activity Prompt:</w:t>
      </w:r>
    </w:p>
    <w:p w14:paraId="6B5B5E19" w14:textId="77777777" w:rsidR="007E5AF3" w:rsidRPr="002249B3" w:rsidRDefault="004C3694"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We are situated on Mars. Construct a model of adequate and safe Martian Habitation to house 1 or more people. It can be any design you feel is suitable but you must be taking what we know about the environment on Mars into consideration: from its dusty, rocky surface to its atmosphere, temperature and gravity. Don’t plan, just make! </w:t>
      </w:r>
    </w:p>
    <w:p w14:paraId="4D53B725" w14:textId="77777777" w:rsidR="007E5AF3" w:rsidRPr="002249B3" w:rsidRDefault="004C3694"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Once complete, start to collaborate with others by joining your buildings to form an interconnected village. The connections could take the form of walkways, tunnels, bridges, steps, slides, ladders etc. and you might need to alter your structures to accommodate the linking elements.</w:t>
      </w:r>
    </w:p>
    <w:p w14:paraId="78A7F16D" w14:textId="5769FEC6"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FOOD workshop: inspired by a</w:t>
      </w:r>
      <w:r w:rsidRPr="002249B3">
        <w:rPr>
          <w:rFonts w:ascii="Tahoma" w:eastAsia="Tahoma" w:hAnsi="Tahoma" w:cs="Tahoma"/>
          <w:b/>
          <w:sz w:val="24"/>
          <w:szCs w:val="24"/>
        </w:rPr>
        <w:t xml:space="preserve"> </w:t>
      </w:r>
      <w:r w:rsidRPr="002249B3">
        <w:rPr>
          <w:rFonts w:ascii="Tahoma" w:eastAsia="Tahoma" w:hAnsi="Tahoma" w:cs="Tahoma"/>
          <w:sz w:val="24"/>
          <w:szCs w:val="24"/>
        </w:rPr>
        <w:t>Goal 2 Target: end hunger and ensure access by all people, in particular the poor and people in vulnerable situations, including infants, to safe, nutritious and sufficient food all year round. Activity Prompt:</w:t>
      </w:r>
    </w:p>
    <w:p w14:paraId="5DE5D5C3" w14:textId="77777777" w:rsidR="007E5AF3" w:rsidRPr="002249B3" w:rsidRDefault="004C3694"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We are situated on Mars. We’ve previously built where we are going to live, now we can begin to explore </w:t>
      </w:r>
      <w:r w:rsidRPr="002249B3">
        <w:rPr>
          <w:rFonts w:ascii="Tahoma" w:eastAsia="Tahoma" w:hAnsi="Tahoma" w:cs="Tahoma"/>
          <w:i/>
          <w:sz w:val="24"/>
          <w:szCs w:val="24"/>
        </w:rPr>
        <w:t>how</w:t>
      </w:r>
      <w:r w:rsidRPr="002249B3">
        <w:rPr>
          <w:rFonts w:ascii="Tahoma" w:eastAsia="Tahoma" w:hAnsi="Tahoma" w:cs="Tahoma"/>
          <w:sz w:val="24"/>
          <w:szCs w:val="24"/>
        </w:rPr>
        <w:t xml:space="preserve"> we are going to live, how we are going to function. </w:t>
      </w:r>
    </w:p>
    <w:p w14:paraId="0BDEDFBB" w14:textId="77777777" w:rsidR="007E5AF3" w:rsidRPr="002249B3" w:rsidRDefault="004C3694" w:rsidP="002249B3">
      <w:pPr>
        <w:widowControl w:val="0"/>
        <w:spacing w:after="240" w:line="360" w:lineRule="auto"/>
        <w:ind w:left="720"/>
        <w:rPr>
          <w:rFonts w:ascii="Tahoma" w:eastAsia="Tahoma" w:hAnsi="Tahoma" w:cs="Tahoma"/>
          <w:b/>
          <w:sz w:val="24"/>
          <w:szCs w:val="24"/>
        </w:rPr>
      </w:pPr>
      <w:r w:rsidRPr="002249B3">
        <w:rPr>
          <w:rFonts w:ascii="Tahoma" w:eastAsia="Tahoma" w:hAnsi="Tahoma" w:cs="Tahoma"/>
          <w:sz w:val="24"/>
          <w:szCs w:val="24"/>
        </w:rPr>
        <w:t xml:space="preserve">Specifically, how is this community going to use food? How will we eat food causing minimal waste? How can we create more food, considering that our known ‘earthly’ production methods may not be available to us? What ideas can we develop for non-food use? How might food evolve in the future? </w:t>
      </w:r>
    </w:p>
    <w:p w14:paraId="415CE10F"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FOLK workshop: inspired by a Goal 11 Target: protect and safeguard cultural and natural heritage. Activity Prompt:</w:t>
      </w:r>
    </w:p>
    <w:p w14:paraId="705974AE" w14:textId="77777777" w:rsidR="007E5AF3" w:rsidRPr="002249B3" w:rsidRDefault="004C3694"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We are situated on Mars. A number of abandoned plastic components have been discovered. These materials are coveted since petroleum-based products cannot be manufactured on Mars. Construct a new artefact that commemorates your chosen component, referring to a past which is no longer attainable.</w:t>
      </w:r>
    </w:p>
    <w:p w14:paraId="32DE29ED" w14:textId="77777777" w:rsidR="007E5AF3" w:rsidRPr="002249B3" w:rsidRDefault="007E5AF3" w:rsidP="002249B3">
      <w:pPr>
        <w:spacing w:after="240" w:line="360" w:lineRule="auto"/>
        <w:rPr>
          <w:rFonts w:ascii="Tahoma" w:eastAsia="Tahoma" w:hAnsi="Tahoma" w:cs="Tahoma"/>
          <w:sz w:val="24"/>
          <w:szCs w:val="24"/>
        </w:rPr>
      </w:pPr>
    </w:p>
    <w:p w14:paraId="0FFB4689"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FOLK workshop</w:t>
      </w:r>
    </w:p>
    <w:p w14:paraId="35CDBCA7"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While the Home and Food workshops addressed basic needs - shelter, rest, warmth, food and water - the Folk workshop focused on cultural heritage, a much more complex idea to grasp immediately and one that could have mistakenly been reduced to notions of preservation and protection of sites and objects. </w:t>
      </w:r>
      <w:r w:rsidR="002D499A" w:rsidRPr="002249B3">
        <w:rPr>
          <w:rFonts w:ascii="Tahoma" w:eastAsia="Tahoma" w:hAnsi="Tahoma" w:cs="Tahoma"/>
          <w:sz w:val="24"/>
          <w:szCs w:val="24"/>
        </w:rPr>
        <w:t>Instead,</w:t>
      </w:r>
      <w:r w:rsidRPr="002249B3">
        <w:rPr>
          <w:rFonts w:ascii="Tahoma" w:eastAsia="Tahoma" w:hAnsi="Tahoma" w:cs="Tahoma"/>
          <w:sz w:val="24"/>
          <w:szCs w:val="24"/>
        </w:rPr>
        <w:t xml:space="preserve"> this final workshop attempted to introduce human capability for both creating and experiencing culture. The workshop activity combined a fictional scenario with the creation of treasured relics as memorials to the past. Further detail below of our instructions for students to work to:</w:t>
      </w:r>
    </w:p>
    <w:p w14:paraId="7C801404"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In a previous attempt to colonise Mars, a transporter ship containing various non-essential items was sent on ahead and landed on the planet, this consignment was left abandoned until now. </w:t>
      </w:r>
    </w:p>
    <w:p w14:paraId="306DB8C7"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Few of its contents endured the harsh environment, however a number of abandoned plastic components have been discovered, largely fragments from </w:t>
      </w:r>
      <w:r w:rsidR="002D499A" w:rsidRPr="002249B3">
        <w:rPr>
          <w:rFonts w:ascii="Tahoma" w:eastAsia="Tahoma" w:hAnsi="Tahoma" w:cs="Tahoma"/>
          <w:sz w:val="24"/>
          <w:szCs w:val="24"/>
        </w:rPr>
        <w:t>children’s</w:t>
      </w:r>
      <w:r w:rsidRPr="002249B3">
        <w:rPr>
          <w:rFonts w:ascii="Tahoma" w:eastAsia="Tahoma" w:hAnsi="Tahoma" w:cs="Tahoma"/>
          <w:sz w:val="24"/>
          <w:szCs w:val="24"/>
        </w:rPr>
        <w:t xml:space="preserve"> toys and dolls. These materials are coveted since petroleum-based products cannot be manufactured on Mars. </w:t>
      </w:r>
    </w:p>
    <w:p w14:paraId="1C6B914C" w14:textId="3DD3C296"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Construct a new artefact that commemorates your chosen component, referring to a past which is no longer attainable. Transform and celebrate your relic through a process of covering, wrapping, adorning &amp; enclosing using only the materials and components supplied. It can become as elaborate as you want but at its core (both metaphorically and literally) should be the plastic pieces.</w:t>
      </w:r>
      <w:r w:rsidR="002249B3">
        <w:rPr>
          <w:rFonts w:ascii="Tahoma" w:eastAsia="Tahoma" w:hAnsi="Tahoma" w:cs="Tahoma"/>
          <w:sz w:val="24"/>
          <w:szCs w:val="24"/>
        </w:rPr>
        <w:t xml:space="preserve"> </w:t>
      </w:r>
      <w:r w:rsidRPr="002249B3">
        <w:rPr>
          <w:rFonts w:ascii="Tahoma" w:eastAsia="Tahoma" w:hAnsi="Tahoma" w:cs="Tahoma"/>
          <w:sz w:val="24"/>
          <w:szCs w:val="24"/>
        </w:rPr>
        <w:t>(Fig.1 Brown 2023)</w:t>
      </w:r>
    </w:p>
    <w:p w14:paraId="65B1C3EF" w14:textId="77777777" w:rsidR="007E5AF3" w:rsidRPr="002249B3" w:rsidRDefault="004C3694" w:rsidP="002249B3">
      <w:pPr>
        <w:spacing w:after="240" w:line="360" w:lineRule="auto"/>
        <w:ind w:right="100"/>
        <w:rPr>
          <w:rFonts w:ascii="Tahoma" w:eastAsia="Tahoma" w:hAnsi="Tahoma" w:cs="Tahoma"/>
          <w:i/>
          <w:sz w:val="20"/>
          <w:szCs w:val="20"/>
        </w:rPr>
      </w:pPr>
      <w:r w:rsidRPr="002249B3">
        <w:rPr>
          <w:rFonts w:ascii="Tahoma" w:eastAsia="Tahoma" w:hAnsi="Tahoma" w:cs="Tahoma"/>
          <w:noProof/>
          <w:sz w:val="24"/>
          <w:szCs w:val="24"/>
        </w:rPr>
        <w:drawing>
          <wp:inline distT="114300" distB="114300" distL="114300" distR="114300" wp14:anchorId="721EA054" wp14:editId="1BF99886">
            <wp:extent cx="5295319" cy="3775628"/>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1208760552" name="image1.png"/>
                    <pic:cNvPicPr/>
                  </pic:nvPicPr>
                  <pic:blipFill>
                    <a:blip r:embed="rId8"/>
                    <a:stretch>
                      <a:fillRect/>
                    </a:stretch>
                  </pic:blipFill>
                  <pic:spPr>
                    <a:xfrm>
                      <a:off x="0" y="0"/>
                      <a:ext cx="5295319" cy="3775628"/>
                    </a:xfrm>
                    <a:prstGeom prst="rect">
                      <a:avLst/>
                    </a:prstGeom>
                  </pic:spPr>
                </pic:pic>
              </a:graphicData>
            </a:graphic>
          </wp:inline>
        </w:drawing>
      </w:r>
      <w:r w:rsidRPr="002249B3">
        <w:rPr>
          <w:rFonts w:ascii="Tahoma" w:eastAsia="Tahoma" w:hAnsi="Tahoma" w:cs="Tahoma"/>
          <w:i/>
          <w:sz w:val="20"/>
          <w:szCs w:val="20"/>
        </w:rPr>
        <w:t xml:space="preserve">Figure 1: Plastic Reliquary: Folk Workshop Artefacts, Photo credits: Mel Brown, 2023 © </w:t>
      </w:r>
    </w:p>
    <w:p w14:paraId="6FB691EC" w14:textId="77777777"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As participants worked, we encouraged them to imagine and invent the narrative behind their artefact, to acknowledge the ritual they were performing, and to write down their story, since ‘imagination can be continued into the situation by talking, writing and so on’ (Dijk &amp; Rietveld, 2020). We invited fantasy, storytelling and </w:t>
      </w:r>
      <w:r w:rsidR="002D499A" w:rsidRPr="002249B3">
        <w:rPr>
          <w:rFonts w:ascii="Tahoma" w:eastAsia="Tahoma" w:hAnsi="Tahoma" w:cs="Tahoma"/>
          <w:sz w:val="24"/>
          <w:szCs w:val="24"/>
        </w:rPr>
        <w:t>mythmaking</w:t>
      </w:r>
      <w:r w:rsidRPr="002249B3">
        <w:rPr>
          <w:rFonts w:ascii="Tahoma" w:eastAsia="Tahoma" w:hAnsi="Tahoma" w:cs="Tahoma"/>
          <w:sz w:val="24"/>
          <w:szCs w:val="24"/>
        </w:rPr>
        <w:t xml:space="preserve"> and we celebrated imagination, fabrication and exaggeration. Subsequently, they presented narrative responses to their plastic relics that were symbolic of notions of endurance and survival. These were predominantly positive messages as they connected both the fictional premise of their outcomes with real-life ‘earthbound challenges’, reflecting on how things might ‘turn out OK’ (Hopkins, 2019). </w:t>
      </w:r>
    </w:p>
    <w:p w14:paraId="4A08EC5E" w14:textId="77777777"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Through the FOLK workshop, thinking through the act of making facilitated a space for our participants to form a narrative about a fictional ‘situatedness’ - a space they believed possible because it was wrapped in an invented story they believed in, one that had formed organically alongside the actions they had been performing. By creating a fantastical scenario of an imagined situation, participants were able to generate unconventional, seemingly infeasible solutions that pushed beyond what they considered, for them, familiar or conventional thinking. Participants ventured beyond their typical practices (for example illustration, fashion or graphic design) to use only physical, hands-on approaches to create the artefacts. In a world increasingly dominated by the internet and AI influences, our FOLK Workshop encouraged participants to step away from digital tools and instead embrace the unique qualities of analogue making. Their artefacts were documented in the Plastic Reliquary drawings (Fig.2 Brown 2023).</w:t>
      </w:r>
    </w:p>
    <w:p w14:paraId="53609FB3" w14:textId="77777777"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noProof/>
          <w:sz w:val="24"/>
          <w:szCs w:val="24"/>
        </w:rPr>
        <w:drawing>
          <wp:inline distT="114300" distB="114300" distL="114300" distR="114300" wp14:anchorId="515D16A2" wp14:editId="7B3A2967">
            <wp:extent cx="5227419" cy="3817144"/>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1474529294" name="image3.png"/>
                    <pic:cNvPicPr/>
                  </pic:nvPicPr>
                  <pic:blipFill>
                    <a:blip r:embed="rId9"/>
                    <a:stretch>
                      <a:fillRect/>
                    </a:stretch>
                  </pic:blipFill>
                  <pic:spPr>
                    <a:xfrm>
                      <a:off x="0" y="0"/>
                      <a:ext cx="5227419" cy="3817144"/>
                    </a:xfrm>
                    <a:prstGeom prst="rect">
                      <a:avLst/>
                    </a:prstGeom>
                  </pic:spPr>
                </pic:pic>
              </a:graphicData>
            </a:graphic>
          </wp:inline>
        </w:drawing>
      </w:r>
      <w:r w:rsidRPr="002249B3">
        <w:rPr>
          <w:rFonts w:ascii="Tahoma" w:eastAsia="Tahoma" w:hAnsi="Tahoma" w:cs="Tahoma"/>
          <w:i/>
          <w:sz w:val="20"/>
          <w:szCs w:val="20"/>
        </w:rPr>
        <w:t>Figure 2: Mel Brown, Plastic Reliquary drawings: Folk Workshop Artefacts 2023</w:t>
      </w:r>
      <w:r w:rsidRPr="002249B3">
        <w:rPr>
          <w:rFonts w:ascii="Tahoma" w:eastAsia="Tahoma" w:hAnsi="Tahoma" w:cs="Tahoma"/>
          <w:sz w:val="20"/>
          <w:szCs w:val="20"/>
        </w:rPr>
        <w:t xml:space="preserve"> </w:t>
      </w:r>
      <w:r w:rsidRPr="002249B3">
        <w:rPr>
          <w:rFonts w:ascii="Tahoma" w:eastAsia="Tahoma" w:hAnsi="Tahoma" w:cs="Tahoma"/>
          <w:b/>
          <w:sz w:val="20"/>
          <w:szCs w:val="20"/>
        </w:rPr>
        <w:t xml:space="preserve">© </w:t>
      </w:r>
    </w:p>
    <w:p w14:paraId="3CDB6FCB"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On completion of the workshops, students began to elaborate upon our starting points, developing their own narratives before forming teams around projects they cared about. As tutors it was our role to guide the students to tease out what was important to them as creatives in the world today. Each team approached this differently, some jumping straight in and others slowly developing ideas to creatively address and highlight important issues. Returning to our original intent of encouraging our students to become ‘empathic adventurers’, this unit offers a journey that, while enriching and rewarding, can also be unpredictable and at times frustrating. Pathways can be sprawling and littered with crossroads and diversions, or they can be narrow and unnavigable leading to dead ends and obstructions. Decisions need to be </w:t>
      </w:r>
      <w:r w:rsidR="002D499A" w:rsidRPr="002249B3">
        <w:rPr>
          <w:rFonts w:ascii="Tahoma" w:eastAsia="Tahoma" w:hAnsi="Tahoma" w:cs="Tahoma"/>
          <w:sz w:val="24"/>
          <w:szCs w:val="24"/>
        </w:rPr>
        <w:t>made,</w:t>
      </w:r>
      <w:r w:rsidRPr="002249B3">
        <w:rPr>
          <w:rFonts w:ascii="Tahoma" w:eastAsia="Tahoma" w:hAnsi="Tahoma" w:cs="Tahoma"/>
          <w:sz w:val="24"/>
          <w:szCs w:val="24"/>
        </w:rPr>
        <w:t xml:space="preserve"> and directions chosen. As the students travel with others they are constantly negotiating and compromising to try to ensure the experience is valuable for all involved. </w:t>
      </w:r>
    </w:p>
    <w:p w14:paraId="7E11DE49"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Teamwork and collaboration </w:t>
      </w:r>
      <w:r w:rsidR="002D499A" w:rsidRPr="002249B3">
        <w:rPr>
          <w:rFonts w:ascii="Tahoma" w:eastAsia="Tahoma" w:hAnsi="Tahoma" w:cs="Tahoma"/>
          <w:sz w:val="24"/>
          <w:szCs w:val="24"/>
        </w:rPr>
        <w:t>test</w:t>
      </w:r>
      <w:r w:rsidRPr="002249B3">
        <w:rPr>
          <w:rFonts w:ascii="Tahoma" w:eastAsia="Tahoma" w:hAnsi="Tahoma" w:cs="Tahoma"/>
          <w:sz w:val="24"/>
          <w:szCs w:val="24"/>
        </w:rPr>
        <w:t xml:space="preserve"> our students in terms of their resilience and patience and challenge us in navigating and supporting students as they journey through the collaborative projects. For Shankar &amp; Zurn and their call for a ‘critically curious pedagogy’, students working in collaborative environments is vital for inviting discussion and co-creation since ‘community dialogue helps students to understand that curiosity is multiple and can move in different directions’ (Shankar &amp; Zurn, 2020). Our role was to hold the space that encouraged play, imagination and curiosity to thrive.</w:t>
      </w:r>
    </w:p>
    <w:p w14:paraId="4D9C1DA5"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As The Curiosity Incubator 12-week project drew to a close, the resulting team outcomes covered a variety of themes, for example: world-building explored through character and costume design depicting a story of futuristic sustainable living; the creation of headdresses as artefacts symbolising two different but thriving worlds–one where nature has taken control and conquered everything, the other a world where humans have eradicated nature; and an exploration of traditional craft practices including learning new craft skills and research into how sustainable and environmentally friendly they actually are. In the final phase of the unit, there was a flurry of activity as the students concluded their team projects and together formulated plans for presentation and display to the rest of their cohorts. In their individual evaluation, each team member was able to acknowledge the vitality of their achievements, how their shared skills and resourcefulness enabled them to work together while recognising their individual strengths in contributing to team outcomes.</w:t>
      </w:r>
    </w:p>
    <w:p w14:paraId="792A2A7D" w14:textId="77777777"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Beyond delivering the FOLK workshop within the unit, we</w:t>
      </w:r>
      <w:r w:rsidR="00471F82" w:rsidRPr="002249B3">
        <w:rPr>
          <w:rFonts w:ascii="Tahoma" w:eastAsia="Tahoma" w:hAnsi="Tahoma" w:cs="Tahoma"/>
          <w:sz w:val="24"/>
          <w:szCs w:val="24"/>
        </w:rPr>
        <w:t xml:space="preserve"> </w:t>
      </w:r>
      <w:r w:rsidRPr="002249B3">
        <w:rPr>
          <w:rFonts w:ascii="Tahoma" w:eastAsia="Tahoma" w:hAnsi="Tahoma" w:cs="Tahoma"/>
          <w:sz w:val="24"/>
          <w:szCs w:val="24"/>
        </w:rPr>
        <w:t xml:space="preserve">adapted it for our colleagues in the university’s Making Learning Research Group and then again for participants at ELIA Academy, Evora in 2023. Our aim was to prioritise experimentation and the unexpected, at each Folk workshop we observed our participants directly engaging with the materials, fostering a deep connection with their objects and becoming purposefully lost in the action of making. The task encouraged immersive creative engagement, provoking haptic memories of basic making skills such as wrapping and binding, as well as tapping into mind-wandering and imagination we associated with an incubation phase of creativity (Wallas, 1926). </w:t>
      </w:r>
    </w:p>
    <w:p w14:paraId="61ACFEA9" w14:textId="77777777" w:rsidR="007E5AF3" w:rsidRPr="002249B3" w:rsidRDefault="004C3694" w:rsidP="002249B3">
      <w:pPr>
        <w:spacing w:after="240" w:line="360" w:lineRule="auto"/>
        <w:ind w:left="720" w:right="100"/>
        <w:rPr>
          <w:rFonts w:ascii="Tahoma" w:eastAsia="Tahoma" w:hAnsi="Tahoma" w:cs="Tahoma"/>
          <w:sz w:val="24"/>
          <w:szCs w:val="24"/>
        </w:rPr>
      </w:pPr>
      <w:r w:rsidRPr="002249B3">
        <w:rPr>
          <w:rFonts w:ascii="Tahoma" w:eastAsia="Tahoma" w:hAnsi="Tahoma" w:cs="Tahoma"/>
          <w:sz w:val="24"/>
          <w:szCs w:val="24"/>
          <w:highlight w:val="white"/>
        </w:rPr>
        <w:t>How do we put creativity at the centre of the debate to address complex global issues, and not on the periphery? Some would say that the ecological crisis is not a technological one, it's an aesthetic crisis. It’s about our relationship with the world, not necessarily our relationship with machines and technical solutions, but with how we love, care for and nurture the world. (Felmingham, 2024)</w:t>
      </w:r>
    </w:p>
    <w:p w14:paraId="1DD7AF18" w14:textId="6845675F" w:rsidR="00391DC0"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These analogue methods also fostered tactile awareness through a process of connecting emotionally with materials, particularly well-suited to exploring sustainability and acknowledging our responsibility to care for the planet and its resources.</w:t>
      </w:r>
    </w:p>
    <w:p w14:paraId="00ED47EE" w14:textId="77777777" w:rsidR="002249B3" w:rsidRDefault="002249B3" w:rsidP="002249B3">
      <w:pPr>
        <w:widowControl w:val="0"/>
        <w:spacing w:after="240" w:line="360" w:lineRule="auto"/>
        <w:rPr>
          <w:rFonts w:ascii="Tahoma" w:eastAsia="Tahoma" w:hAnsi="Tahoma" w:cs="Tahoma"/>
          <w:b/>
          <w:bCs/>
          <w:sz w:val="28"/>
          <w:szCs w:val="28"/>
        </w:rPr>
      </w:pPr>
    </w:p>
    <w:p w14:paraId="0EE4407D" w14:textId="39D6CFC3" w:rsidR="007E5AF3" w:rsidRPr="002249B3" w:rsidRDefault="004C3694" w:rsidP="002249B3">
      <w:pPr>
        <w:widowControl w:val="0"/>
        <w:spacing w:after="240" w:line="360" w:lineRule="auto"/>
        <w:rPr>
          <w:rFonts w:ascii="Tahoma" w:eastAsia="Tahoma" w:hAnsi="Tahoma" w:cs="Tahoma"/>
          <w:sz w:val="24"/>
          <w:szCs w:val="24"/>
        </w:rPr>
      </w:pPr>
      <w:r w:rsidRPr="002249B3">
        <w:rPr>
          <w:rFonts w:ascii="Tahoma" w:eastAsia="Tahoma" w:hAnsi="Tahoma" w:cs="Tahoma"/>
          <w:b/>
          <w:bCs/>
          <w:sz w:val="28"/>
          <w:szCs w:val="28"/>
        </w:rPr>
        <w:t>Global Challenges</w:t>
      </w:r>
    </w:p>
    <w:p w14:paraId="658AA465" w14:textId="77777777" w:rsidR="007E5AF3" w:rsidRPr="002249B3" w:rsidRDefault="004C3694"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t xml:space="preserve">Following on from the delivery of Platforms of Exchange, at the start of their Level 5 study, the Global Challenges unit affords students the opportunity to progress their understanding of ESD themes. We have followed the progress of The Curiosity Incubator students into their second </w:t>
      </w:r>
      <w:r w:rsidR="002D499A" w:rsidRPr="002249B3">
        <w:rPr>
          <w:rFonts w:ascii="Tahoma" w:eastAsia="Tahoma" w:hAnsi="Tahoma" w:cs="Tahoma"/>
          <w:sz w:val="24"/>
          <w:szCs w:val="24"/>
        </w:rPr>
        <w:t>year and</w:t>
      </w:r>
      <w:r w:rsidRPr="002249B3">
        <w:rPr>
          <w:rFonts w:ascii="Tahoma" w:eastAsia="Tahoma" w:hAnsi="Tahoma" w:cs="Tahoma"/>
          <w:sz w:val="24"/>
          <w:szCs w:val="24"/>
        </w:rPr>
        <w:t xml:space="preserve"> noted that although they all invariably returned to earth, through the self-initiated projects they developed for the Global Challenges unit, they demonstrate an ongoing development of sustainable values in their practice and a lasting commitment to care for the world and those that inhabit it. For example, outcomes included:</w:t>
      </w:r>
    </w:p>
    <w:p w14:paraId="12D19E3F" w14:textId="77777777" w:rsidR="007E5AF3" w:rsidRPr="002249B3" w:rsidRDefault="004C3694"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A Textile Design student who through knitted banners took on a very personal approach to campaign development, breaking down barriers to raise issues faced by deaf students.</w:t>
      </w:r>
    </w:p>
    <w:p w14:paraId="0EB08B6A" w14:textId="77777777" w:rsidR="007E5AF3" w:rsidRPr="002249B3" w:rsidRDefault="004C3694"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 xml:space="preserve">An Illustration Student who created a fully illustrated narrative that aimed to inspire empathy towards people who struggle with anxiety or other invisible conditions that affect everyday life. </w:t>
      </w:r>
    </w:p>
    <w:p w14:paraId="25E121A6" w14:textId="77777777" w:rsidR="007E5AF3" w:rsidRPr="002249B3" w:rsidRDefault="004C3694"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Costume Production students who considered the landscape of ethical and sustainable approaches in the costume industry, creating a Costume Production Sustainability Policy.</w:t>
      </w:r>
    </w:p>
    <w:p w14:paraId="48D4A35D" w14:textId="77777777" w:rsidR="007E5AF3" w:rsidRPr="002249B3" w:rsidRDefault="004C3694"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Fashion Design students repurposing waste materials to make high end commercial collections.</w:t>
      </w:r>
    </w:p>
    <w:p w14:paraId="208BFA42" w14:textId="77777777" w:rsidR="007E5AF3" w:rsidRPr="002249B3" w:rsidRDefault="004C3694"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A Textile Design student who explored algae as a replacement colour pigment in ink to find a more sustainable way to print textiles.</w:t>
      </w:r>
    </w:p>
    <w:p w14:paraId="350C76CA" w14:textId="77777777" w:rsidR="007E5AF3" w:rsidRPr="002249B3" w:rsidRDefault="004C3694"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An Interior Design student who responded to the controversial felling of trees in Plymouth City centre to bring home environmental issues that exist on our doorstep.</w:t>
      </w:r>
    </w:p>
    <w:p w14:paraId="44EF9D7D" w14:textId="77777777" w:rsidR="007E5AF3" w:rsidRPr="002249B3" w:rsidRDefault="004C3694"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t xml:space="preserve">To bring this work into view, student achievements are celebrated every year in the Global Challenges Awards, initiated by the author Mel Brown, and celebrated through an exhibition and awards event and archived in a publication (Fig. 3 Brown 2023). </w:t>
      </w:r>
    </w:p>
    <w:p w14:paraId="5239D215" w14:textId="77777777" w:rsidR="007E5AF3" w:rsidRPr="002249B3" w:rsidRDefault="004C3694" w:rsidP="002249B3">
      <w:pPr>
        <w:widowControl w:val="0"/>
        <w:spacing w:after="240" w:line="360" w:lineRule="auto"/>
        <w:rPr>
          <w:rFonts w:ascii="Tahoma" w:eastAsia="Tahoma" w:hAnsi="Tahoma" w:cs="Tahoma"/>
          <w:sz w:val="24"/>
          <w:szCs w:val="24"/>
          <w:highlight w:val="yellow"/>
        </w:rPr>
      </w:pPr>
      <w:r w:rsidRPr="002249B3">
        <w:rPr>
          <w:rFonts w:ascii="Tahoma" w:eastAsia="Tahoma" w:hAnsi="Tahoma" w:cs="Tahoma"/>
          <w:noProof/>
          <w:sz w:val="24"/>
          <w:szCs w:val="24"/>
        </w:rPr>
        <w:drawing>
          <wp:inline distT="114300" distB="114300" distL="114300" distR="114300" wp14:anchorId="01534B7C" wp14:editId="73837949">
            <wp:extent cx="5628694" cy="3973196"/>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1512858865" name="image2.png"/>
                    <pic:cNvPicPr/>
                  </pic:nvPicPr>
                  <pic:blipFill>
                    <a:blip r:embed="rId10"/>
                    <a:srcRect l="3466" r="3541"/>
                    <a:stretch>
                      <a:fillRect/>
                    </a:stretch>
                  </pic:blipFill>
                  <pic:spPr>
                    <a:xfrm>
                      <a:off x="0" y="0"/>
                      <a:ext cx="5628694" cy="3973196"/>
                    </a:xfrm>
                    <a:prstGeom prst="rect">
                      <a:avLst/>
                    </a:prstGeom>
                  </pic:spPr>
                </pic:pic>
              </a:graphicData>
            </a:graphic>
          </wp:inline>
        </w:drawing>
      </w:r>
      <w:r w:rsidRPr="002249B3">
        <w:rPr>
          <w:rFonts w:ascii="Tahoma" w:eastAsia="Tahoma" w:hAnsi="Tahoma" w:cs="Tahoma"/>
          <w:i/>
          <w:sz w:val="20"/>
          <w:szCs w:val="20"/>
        </w:rPr>
        <w:t>Figure 3: Global Challenges Awards archive publication, Mel Brown, 2023</w:t>
      </w:r>
      <w:r w:rsidRPr="002249B3">
        <w:rPr>
          <w:rFonts w:ascii="Tahoma" w:eastAsia="Tahoma" w:hAnsi="Tahoma" w:cs="Tahoma"/>
          <w:sz w:val="20"/>
          <w:szCs w:val="20"/>
        </w:rPr>
        <w:t xml:space="preserve"> </w:t>
      </w:r>
      <w:r w:rsidRPr="002249B3">
        <w:rPr>
          <w:rFonts w:ascii="Tahoma" w:eastAsia="Tahoma" w:hAnsi="Tahoma" w:cs="Tahoma"/>
          <w:b/>
          <w:sz w:val="20"/>
          <w:szCs w:val="20"/>
        </w:rPr>
        <w:t xml:space="preserve">© </w:t>
      </w:r>
    </w:p>
    <w:p w14:paraId="0765DC3D" w14:textId="77777777" w:rsidR="007E5AF3" w:rsidRPr="002249B3" w:rsidRDefault="004C3694"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t xml:space="preserve">An important feature of the awards is the involvement of the Vice-Chancellor's Executive in the judging process alongside the wider community of students and staff. The Global Challenges unit is given a platform to shine and the whole University now recognises it, sitting at the heart of our students’ undergraduate experience, literally marking the mid-way point in their </w:t>
      </w:r>
      <w:r w:rsidR="002D499A" w:rsidRPr="002249B3">
        <w:rPr>
          <w:rFonts w:ascii="Tahoma" w:eastAsia="Tahoma" w:hAnsi="Tahoma" w:cs="Tahoma"/>
          <w:sz w:val="24"/>
          <w:szCs w:val="24"/>
        </w:rPr>
        <w:t>three-year</w:t>
      </w:r>
      <w:r w:rsidRPr="002249B3">
        <w:rPr>
          <w:rFonts w:ascii="Tahoma" w:eastAsia="Tahoma" w:hAnsi="Tahoma" w:cs="Tahoma"/>
          <w:sz w:val="24"/>
          <w:szCs w:val="24"/>
        </w:rPr>
        <w:t xml:space="preserve"> journey and exemplifying the spirit of our curriculum in its potential to provide a catalyst for personal, professional and cultural transformation. </w:t>
      </w:r>
    </w:p>
    <w:p w14:paraId="69BEBE64" w14:textId="77777777" w:rsidR="007E5AF3" w:rsidRPr="002249B3" w:rsidRDefault="007E5AF3" w:rsidP="002249B3">
      <w:pPr>
        <w:spacing w:after="240" w:line="360" w:lineRule="auto"/>
        <w:rPr>
          <w:rFonts w:ascii="Tahoma" w:eastAsia="Tahoma" w:hAnsi="Tahoma" w:cs="Tahoma"/>
          <w:sz w:val="24"/>
          <w:szCs w:val="24"/>
        </w:rPr>
      </w:pPr>
    </w:p>
    <w:p w14:paraId="559ADEF0"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Thinking Through Making</w:t>
      </w:r>
    </w:p>
    <w:p w14:paraId="31678A82"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This case study introduced the development of an Undergraduate project that combines playful thinking, analogue making and imagination as a way of approaching global challenges and asked whether the playful integration of ESD can result in impactful, transformational learning experiences. The Curiosity Incubator project for The Platforms of Exchange unit began with The Curious Research Method, where curiosity is defined as the desire to know or learn something. Research is reframed as ‘being curious’ and researching begins to feel a little less daunting and a whole lot more inviting, as students are encouraged to collaborate and immerse themselves in the simple yet transformative pleasure of finding things out. </w:t>
      </w:r>
    </w:p>
    <w:p w14:paraId="73ADB7F1"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The incubation phase followed, as students engaged in workshops inspired by the SDG Goals, opening up to ideas in order to work through the problems we posed using play, imagination and design fictions. The project as a whole was designed to expand students’ experiences beyond their immediate circumstances, empowering them to make imaginative responses to complex and unwieldy problems. One can understand reactions of feeling intimidated or overwhelmed when faced with the scale of trying to contemplate - never mind solve - interconnected global challenges such as climate change, sustainability, inequality and migration. The project was designed to be an engaging and playful way of presenting information so that students could construct their own meanings. Our approach was the playful integration of the UN SDGs as a framework to build the workshops, providing a way of forming connections through the intimacy of making and imagining as a way to pull students:</w:t>
      </w:r>
    </w:p>
    <w:p w14:paraId="5E6DE84C" w14:textId="77777777" w:rsidR="007E5AF3" w:rsidRPr="002249B3" w:rsidRDefault="004C3694"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…“inside” the frame within which knowledge begins to make sense and is able to make sense. It is precisely this act of “pulling” that goes fundamentally </w:t>
      </w:r>
      <w:r w:rsidRPr="002249B3">
        <w:rPr>
          <w:rFonts w:ascii="Tahoma" w:eastAsia="Tahoma" w:hAnsi="Tahoma" w:cs="Tahoma"/>
          <w:i/>
          <w:sz w:val="24"/>
          <w:szCs w:val="24"/>
        </w:rPr>
        <w:t>beyond</w:t>
      </w:r>
      <w:r w:rsidRPr="002249B3">
        <w:rPr>
          <w:rFonts w:ascii="Tahoma" w:eastAsia="Tahoma" w:hAnsi="Tahoma" w:cs="Tahoma"/>
          <w:sz w:val="24"/>
          <w:szCs w:val="24"/>
        </w:rPr>
        <w:t xml:space="preserve"> all the sense-making that students are able to do, up to the point where they encounter something new, something radically “beyond” their own horizons of understanding. (Biesta, 2022)</w:t>
      </w:r>
    </w:p>
    <w:p w14:paraId="6CEC3A2E" w14:textId="5171EC41" w:rsidR="007E5AF3" w:rsidRPr="002249B3" w:rsidRDefault="004C3694" w:rsidP="002249B3">
      <w:pPr>
        <w:spacing w:after="240" w:line="360" w:lineRule="auto"/>
        <w:rPr>
          <w:rFonts w:ascii="Tahoma" w:eastAsia="Tahoma" w:hAnsi="Tahoma" w:cs="Tahoma"/>
          <w:b/>
          <w:sz w:val="24"/>
          <w:szCs w:val="24"/>
        </w:rPr>
      </w:pPr>
      <w:r w:rsidRPr="002249B3">
        <w:rPr>
          <w:rFonts w:ascii="Tahoma" w:eastAsia="Tahoma" w:hAnsi="Tahoma" w:cs="Tahoma"/>
          <w:sz w:val="24"/>
          <w:szCs w:val="24"/>
        </w:rPr>
        <w:t>We want to continue to develop our interpretation of a ‘critically curious pedagogy’ that seeks to harness the potential of curiosity, play and imagination as a means to approach and conceptualise ‘messy’ and unwieldy global issues. This could involve further investigation into the impact and legacy of The Curiosity Incubator project on the students, looking beyond delivery of the unit, their Global Challenges projects and their final year outputs. We want to further embed these approaches into our teaching outside of the Platforms of Exchange unit, advocating a shift from a mindset of ‘</w:t>
      </w:r>
      <w:r w:rsidRPr="002249B3">
        <w:rPr>
          <w:rFonts w:ascii="Tahoma" w:eastAsia="Tahoma" w:hAnsi="Tahoma" w:cs="Tahoma"/>
          <w:i/>
          <w:sz w:val="24"/>
          <w:szCs w:val="24"/>
        </w:rPr>
        <w:t xml:space="preserve">What?’ </w:t>
      </w:r>
      <w:r w:rsidRPr="002249B3">
        <w:rPr>
          <w:rFonts w:ascii="Tahoma" w:eastAsia="Tahoma" w:hAnsi="Tahoma" w:cs="Tahoma"/>
          <w:sz w:val="24"/>
          <w:szCs w:val="24"/>
        </w:rPr>
        <w:t xml:space="preserve">to </w:t>
      </w:r>
      <w:r w:rsidRPr="002249B3">
        <w:rPr>
          <w:rFonts w:ascii="Tahoma" w:eastAsia="Tahoma" w:hAnsi="Tahoma" w:cs="Tahoma"/>
          <w:i/>
          <w:sz w:val="24"/>
          <w:szCs w:val="24"/>
        </w:rPr>
        <w:t>'What-if?’</w:t>
      </w:r>
      <w:r w:rsidR="002249B3">
        <w:rPr>
          <w:rFonts w:ascii="Tahoma" w:eastAsia="Tahoma" w:hAnsi="Tahoma" w:cs="Tahoma"/>
          <w:i/>
          <w:sz w:val="24"/>
          <w:szCs w:val="24"/>
        </w:rPr>
        <w:t xml:space="preserve"> </w:t>
      </w:r>
      <w:r w:rsidRPr="002249B3">
        <w:rPr>
          <w:rFonts w:ascii="Tahoma" w:eastAsia="Tahoma" w:hAnsi="Tahoma" w:cs="Tahoma"/>
          <w:sz w:val="24"/>
          <w:szCs w:val="24"/>
        </w:rPr>
        <w:t>by stripping back the design process and revisiting the fundamental aspects of making inherent in all of us. By joining our students in trusting the process and believing that something will appear from nothing, we are considering how to open up new avenues for creative problem-solving and innovative thinking where the memorable action of making and the experience of imagining are as important as output and outcome.</w:t>
      </w:r>
    </w:p>
    <w:p w14:paraId="3D80E18F" w14:textId="77777777" w:rsidR="007E5AF3" w:rsidRPr="002249B3" w:rsidRDefault="007E5AF3" w:rsidP="002249B3">
      <w:pPr>
        <w:spacing w:after="240" w:line="360" w:lineRule="auto"/>
        <w:rPr>
          <w:rFonts w:ascii="Tahoma" w:eastAsia="Tahoma" w:hAnsi="Tahoma" w:cs="Tahoma"/>
          <w:color w:val="0000FF"/>
          <w:sz w:val="24"/>
          <w:szCs w:val="24"/>
          <w:highlight w:val="yellow"/>
        </w:rPr>
      </w:pPr>
    </w:p>
    <w:p w14:paraId="145A058A" w14:textId="77777777" w:rsidR="005117C7" w:rsidRPr="002249B3" w:rsidRDefault="004C3694" w:rsidP="002249B3">
      <w:pPr>
        <w:spacing w:after="240" w:line="360" w:lineRule="auto"/>
        <w:rPr>
          <w:rFonts w:ascii="Tahoma" w:hAnsi="Tahoma" w:cs="Tahoma"/>
          <w:b/>
          <w:bCs/>
          <w:sz w:val="28"/>
          <w:szCs w:val="28"/>
        </w:rPr>
      </w:pPr>
      <w:r w:rsidRPr="002249B3">
        <w:rPr>
          <w:rFonts w:ascii="Tahoma" w:hAnsi="Tahoma" w:cs="Tahoma"/>
          <w:b/>
          <w:bCs/>
          <w:sz w:val="28"/>
          <w:szCs w:val="28"/>
        </w:rPr>
        <w:t>Disclosure Statement</w:t>
      </w:r>
    </w:p>
    <w:p w14:paraId="5C9349C3" w14:textId="77777777" w:rsidR="005117C7" w:rsidRPr="002249B3" w:rsidRDefault="004C3694" w:rsidP="002249B3">
      <w:pPr>
        <w:spacing w:after="240" w:line="360" w:lineRule="auto"/>
        <w:rPr>
          <w:rFonts w:ascii="Tahoma" w:hAnsi="Tahoma" w:cs="Tahoma"/>
          <w:sz w:val="24"/>
          <w:szCs w:val="24"/>
        </w:rPr>
      </w:pPr>
      <w:r w:rsidRPr="002249B3">
        <w:rPr>
          <w:rFonts w:ascii="Tahoma" w:hAnsi="Tahoma" w:cs="Tahoma"/>
          <w:sz w:val="24"/>
          <w:szCs w:val="24"/>
        </w:rPr>
        <w:t xml:space="preserve">All materials included in the article represent the authors’ own work and anything cited or paraphrased within the text is included in the reference list. This work has not been previously published nor is it is being considered for publication elsewhere. We declare there are no potential conflicts of interest which might have influenced the authors in reporting their findings completely and honestly. </w:t>
      </w:r>
    </w:p>
    <w:p w14:paraId="19819462" w14:textId="77777777" w:rsidR="007E5AF3" w:rsidRPr="002249B3" w:rsidRDefault="007E5AF3" w:rsidP="002249B3">
      <w:pPr>
        <w:spacing w:after="240" w:line="360" w:lineRule="auto"/>
        <w:rPr>
          <w:rFonts w:ascii="Tahoma" w:eastAsia="Tahoma" w:hAnsi="Tahoma" w:cs="Tahoma"/>
          <w:sz w:val="24"/>
          <w:szCs w:val="24"/>
          <w:highlight w:val="cyan"/>
        </w:rPr>
      </w:pPr>
    </w:p>
    <w:p w14:paraId="1B264593" w14:textId="77777777" w:rsidR="007E5AF3" w:rsidRPr="002249B3" w:rsidRDefault="004C3694" w:rsidP="002249B3">
      <w:pPr>
        <w:spacing w:after="240" w:line="360" w:lineRule="auto"/>
        <w:rPr>
          <w:rFonts w:ascii="Tahoma" w:eastAsia="Tahoma" w:hAnsi="Tahoma" w:cs="Tahoma"/>
          <w:b/>
          <w:sz w:val="24"/>
          <w:szCs w:val="24"/>
          <w:highlight w:val="cyan"/>
        </w:rPr>
      </w:pPr>
      <w:r w:rsidRPr="002249B3">
        <w:rPr>
          <w:rFonts w:ascii="Tahoma" w:eastAsia="Tahoma" w:hAnsi="Tahoma" w:cs="Tahoma"/>
          <w:b/>
          <w:bCs/>
          <w:sz w:val="28"/>
          <w:szCs w:val="28"/>
        </w:rPr>
        <w:t>References</w:t>
      </w:r>
    </w:p>
    <w:p w14:paraId="2F815914" w14:textId="615C4D6E" w:rsidR="007E5AF3" w:rsidRPr="002249B3" w:rsidRDefault="004C3694" w:rsidP="002249B3">
      <w:pPr>
        <w:pBdr>
          <w:top w:val="none" w:sz="0" w:space="3" w:color="auto"/>
          <w:left w:val="none" w:sz="0" w:space="3" w:color="auto"/>
          <w:bottom w:val="none" w:sz="0" w:space="3" w:color="auto"/>
          <w:right w:val="none" w:sz="0" w:space="3" w:color="auto"/>
          <w:between w:val="none" w:sz="0" w:space="3" w:color="auto"/>
        </w:pBdr>
        <w:spacing w:after="240" w:line="360" w:lineRule="auto"/>
        <w:rPr>
          <w:rFonts w:ascii="Tahoma" w:eastAsia="Tahoma" w:hAnsi="Tahoma" w:cs="Tahoma"/>
          <w:sz w:val="24"/>
          <w:szCs w:val="24"/>
        </w:rPr>
      </w:pPr>
      <w:r w:rsidRPr="002249B3">
        <w:rPr>
          <w:rFonts w:ascii="Tahoma" w:eastAsia="Tahoma" w:hAnsi="Tahoma" w:cs="Tahoma"/>
          <w:sz w:val="24"/>
          <w:szCs w:val="24"/>
        </w:rPr>
        <w:t xml:space="preserve">Aktaş, B., and Groth, C. (2020) ‘Studying Material Interactions to Facilitate a Sense of Being with the World’, </w:t>
      </w:r>
      <w:r w:rsidRPr="002249B3">
        <w:rPr>
          <w:rFonts w:ascii="Tahoma" w:eastAsia="Tahoma" w:hAnsi="Tahoma" w:cs="Tahoma"/>
          <w:i/>
          <w:sz w:val="24"/>
          <w:szCs w:val="24"/>
        </w:rPr>
        <w:t>The Design Research Society 2020 International Conference: SYNERGY</w:t>
      </w:r>
      <w:r w:rsidRPr="002249B3">
        <w:rPr>
          <w:rFonts w:ascii="Tahoma" w:eastAsia="Tahoma" w:hAnsi="Tahoma" w:cs="Tahoma"/>
          <w:sz w:val="24"/>
          <w:szCs w:val="24"/>
        </w:rPr>
        <w:t xml:space="preserve">, Brisbane, Australia, 11-14 August. </w:t>
      </w:r>
      <w:hyperlink r:id="rId11" w:history="1">
        <w:r w:rsidR="005117C7" w:rsidRPr="002249B3">
          <w:rPr>
            <w:rStyle w:val="Hyperlink"/>
            <w:rFonts w:ascii="Tahoma" w:eastAsia="Tahoma" w:hAnsi="Tahoma" w:cs="Tahoma"/>
            <w:sz w:val="24"/>
            <w:szCs w:val="24"/>
            <w:highlight w:val="white"/>
          </w:rPr>
          <w:t>https://doi.org/10.21606/drs.2020.229</w:t>
        </w:r>
      </w:hyperlink>
      <w:r w:rsidR="005117C7" w:rsidRPr="002249B3">
        <w:rPr>
          <w:rFonts w:ascii="Tahoma" w:eastAsia="Tahoma" w:hAnsi="Tahoma" w:cs="Tahoma"/>
          <w:sz w:val="24"/>
          <w:szCs w:val="24"/>
          <w:highlight w:val="white"/>
        </w:rPr>
        <w:t xml:space="preserve"> </w:t>
      </w:r>
    </w:p>
    <w:p w14:paraId="7A69A934" w14:textId="4735431B" w:rsidR="007E5AF3" w:rsidRPr="002249B3" w:rsidRDefault="004C3694" w:rsidP="002249B3">
      <w:pPr>
        <w:pBdr>
          <w:top w:val="none" w:sz="0" w:space="3" w:color="auto"/>
          <w:left w:val="none" w:sz="0" w:space="3" w:color="auto"/>
          <w:bottom w:val="none" w:sz="0" w:space="3" w:color="auto"/>
          <w:right w:val="none" w:sz="0" w:space="3" w:color="auto"/>
          <w:between w:val="none" w:sz="0" w:space="3" w:color="auto"/>
        </w:pBdr>
        <w:spacing w:after="240" w:line="360" w:lineRule="auto"/>
        <w:rPr>
          <w:rFonts w:ascii="Tahoma" w:eastAsia="Tahoma" w:hAnsi="Tahoma" w:cs="Tahoma"/>
          <w:sz w:val="24"/>
          <w:szCs w:val="24"/>
        </w:rPr>
      </w:pPr>
      <w:r w:rsidRPr="002249B3">
        <w:rPr>
          <w:rFonts w:ascii="Tahoma" w:eastAsia="Tahoma" w:hAnsi="Tahoma" w:cs="Tahoma"/>
          <w:sz w:val="24"/>
          <w:szCs w:val="24"/>
        </w:rPr>
        <w:t xml:space="preserve">Aktaş, B., and Groth, C. (2021) ‘Using creative practice in interdisciplinary education’, in Bohemia, E., Nielsen, L.M., Pan, L., Börekçi, N.A.G.Z., Zhang, Y. (eds.), </w:t>
      </w:r>
      <w:r w:rsidRPr="002249B3">
        <w:rPr>
          <w:rFonts w:ascii="Tahoma" w:eastAsia="Tahoma" w:hAnsi="Tahoma" w:cs="Tahoma"/>
          <w:i/>
          <w:sz w:val="24"/>
          <w:szCs w:val="24"/>
        </w:rPr>
        <w:t>Learn X Design 2021: Engaging with challenges in design education</w:t>
      </w:r>
      <w:r w:rsidRPr="002249B3">
        <w:rPr>
          <w:rFonts w:ascii="Tahoma" w:eastAsia="Tahoma" w:hAnsi="Tahoma" w:cs="Tahoma"/>
          <w:sz w:val="24"/>
          <w:szCs w:val="24"/>
        </w:rPr>
        <w:t xml:space="preserve">, </w:t>
      </w:r>
      <w:r w:rsidRPr="002249B3">
        <w:rPr>
          <w:rFonts w:ascii="Tahoma" w:eastAsia="Tahoma" w:hAnsi="Tahoma" w:cs="Tahoma"/>
          <w:sz w:val="24"/>
          <w:szCs w:val="24"/>
          <w:highlight w:val="white"/>
        </w:rPr>
        <w:t>24-26 September, Shandong University of Art &amp; Design, Jinan, China.</w:t>
      </w:r>
      <w:r w:rsidRPr="002249B3">
        <w:rPr>
          <w:rFonts w:ascii="Tahoma" w:eastAsia="Tahoma" w:hAnsi="Tahoma" w:cs="Tahoma"/>
          <w:sz w:val="24"/>
          <w:szCs w:val="24"/>
        </w:rPr>
        <w:t xml:space="preserve"> </w:t>
      </w:r>
      <w:hyperlink r:id="rId12" w:history="1">
        <w:r w:rsidR="005117C7" w:rsidRPr="002249B3">
          <w:rPr>
            <w:rStyle w:val="Hyperlink"/>
            <w:rFonts w:ascii="Tahoma" w:eastAsia="Tahoma" w:hAnsi="Tahoma" w:cs="Tahoma"/>
            <w:sz w:val="24"/>
            <w:szCs w:val="24"/>
          </w:rPr>
          <w:t>https://doi.org/10.21606/drs_lxd2021.07.233</w:t>
        </w:r>
      </w:hyperlink>
      <w:r w:rsidR="005117C7" w:rsidRPr="002249B3">
        <w:rPr>
          <w:rFonts w:ascii="Tahoma" w:eastAsia="Tahoma" w:hAnsi="Tahoma" w:cs="Tahoma"/>
          <w:sz w:val="24"/>
          <w:szCs w:val="24"/>
        </w:rPr>
        <w:t xml:space="preserve"> </w:t>
      </w:r>
    </w:p>
    <w:p w14:paraId="3DAE9823" w14:textId="73DED8EF" w:rsidR="007E5AF3" w:rsidRPr="002249B3" w:rsidRDefault="004C3694" w:rsidP="002249B3">
      <w:pPr>
        <w:pBdr>
          <w:top w:val="none" w:sz="0" w:space="3" w:color="auto"/>
          <w:left w:val="none" w:sz="0" w:space="3" w:color="auto"/>
          <w:bottom w:val="none" w:sz="0" w:space="3" w:color="auto"/>
          <w:right w:val="none" w:sz="0" w:space="3" w:color="auto"/>
          <w:between w:val="none" w:sz="0" w:space="3" w:color="auto"/>
        </w:pBdr>
        <w:spacing w:after="240" w:line="360" w:lineRule="auto"/>
        <w:rPr>
          <w:rFonts w:ascii="Tahoma" w:eastAsia="Tahoma" w:hAnsi="Tahoma" w:cs="Tahoma"/>
          <w:sz w:val="24"/>
          <w:szCs w:val="24"/>
        </w:rPr>
      </w:pPr>
      <w:r w:rsidRPr="002249B3">
        <w:rPr>
          <w:rFonts w:ascii="Tahoma" w:eastAsia="Tahoma" w:hAnsi="Tahoma" w:cs="Tahoma"/>
          <w:sz w:val="24"/>
          <w:szCs w:val="24"/>
        </w:rPr>
        <w:t xml:space="preserve">Arts University Plymouth (2023) </w:t>
      </w:r>
      <w:r w:rsidRPr="002249B3">
        <w:rPr>
          <w:rFonts w:ascii="Tahoma" w:eastAsia="Tahoma" w:hAnsi="Tahoma" w:cs="Tahoma"/>
          <w:i/>
          <w:sz w:val="24"/>
          <w:szCs w:val="24"/>
        </w:rPr>
        <w:t>Creative Education for a Changing World</w:t>
      </w:r>
      <w:r w:rsidRPr="002249B3">
        <w:rPr>
          <w:rFonts w:ascii="Tahoma" w:eastAsia="Tahoma" w:hAnsi="Tahoma" w:cs="Tahoma"/>
          <w:sz w:val="24"/>
          <w:szCs w:val="24"/>
        </w:rPr>
        <w:t xml:space="preserve">. Available at: </w:t>
      </w:r>
      <w:r w:rsidR="005117C7" w:rsidRPr="002249B3">
        <w:rPr>
          <w:rFonts w:ascii="Tahoma" w:hAnsi="Tahoma" w:cs="Tahoma"/>
          <w:sz w:val="24"/>
          <w:szCs w:val="24"/>
        </w:rPr>
        <w:t>https://www.aup.ac.uk/strategic-plan</w:t>
      </w:r>
      <w:r w:rsidRPr="002249B3">
        <w:rPr>
          <w:rFonts w:ascii="Tahoma" w:eastAsia="Tahoma" w:hAnsi="Tahoma" w:cs="Tahoma"/>
          <w:sz w:val="24"/>
          <w:szCs w:val="24"/>
        </w:rPr>
        <w:t xml:space="preserve"> (Accessed: 5 August 2024).</w:t>
      </w:r>
    </w:p>
    <w:p w14:paraId="5DEDF99C" w14:textId="42C156BC"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Biesta, G. (2018)</w:t>
      </w:r>
      <w:r w:rsidR="00E71E1F">
        <w:rPr>
          <w:rFonts w:ascii="Tahoma" w:eastAsia="Tahoma" w:hAnsi="Tahoma" w:cs="Tahoma"/>
          <w:sz w:val="24"/>
          <w:szCs w:val="24"/>
        </w:rPr>
        <w:t>.</w:t>
      </w:r>
      <w:r w:rsidRPr="002249B3">
        <w:rPr>
          <w:rFonts w:ascii="Tahoma" w:eastAsia="Tahoma" w:hAnsi="Tahoma" w:cs="Tahoma"/>
          <w:sz w:val="24"/>
          <w:szCs w:val="24"/>
        </w:rPr>
        <w:t xml:space="preserve"> ‘What if? Education beyond expression and creativity’, in Naughton, C., Biesta, G. and Cole, D. R. (eds.) </w:t>
      </w:r>
      <w:r w:rsidRPr="002249B3">
        <w:rPr>
          <w:rFonts w:ascii="Tahoma" w:eastAsia="Tahoma" w:hAnsi="Tahoma" w:cs="Tahoma"/>
          <w:i/>
          <w:sz w:val="24"/>
          <w:szCs w:val="24"/>
        </w:rPr>
        <w:t>Art, Artists and Pedagogy: Philosophy and the Arts in Education</w:t>
      </w:r>
      <w:r w:rsidRPr="002249B3">
        <w:rPr>
          <w:rFonts w:ascii="Tahoma" w:eastAsia="Tahoma" w:hAnsi="Tahoma" w:cs="Tahoma"/>
          <w:sz w:val="24"/>
          <w:szCs w:val="24"/>
        </w:rPr>
        <w:t>. London: Routledge, pp. 11–20.</w:t>
      </w:r>
    </w:p>
    <w:p w14:paraId="0F8786C8" w14:textId="444E9C83"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Biesta, G. (2022) </w:t>
      </w:r>
      <w:r w:rsidRPr="002249B3">
        <w:rPr>
          <w:rFonts w:ascii="Tahoma" w:eastAsia="Tahoma" w:hAnsi="Tahoma" w:cs="Tahoma"/>
          <w:i/>
          <w:sz w:val="24"/>
          <w:szCs w:val="24"/>
        </w:rPr>
        <w:t>World Centred Education: A View for the Present</w:t>
      </w:r>
      <w:r w:rsidRPr="002249B3">
        <w:rPr>
          <w:rFonts w:ascii="Tahoma" w:eastAsia="Tahoma" w:hAnsi="Tahoma" w:cs="Tahoma"/>
          <w:sz w:val="24"/>
          <w:szCs w:val="24"/>
        </w:rPr>
        <w:t>. London: Routledge.</w:t>
      </w:r>
    </w:p>
    <w:p w14:paraId="0AD7C05A" w14:textId="0690A6CB"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Cross, N. (2011) </w:t>
      </w:r>
      <w:r w:rsidRPr="002249B3">
        <w:rPr>
          <w:rFonts w:ascii="Tahoma" w:eastAsia="Tahoma" w:hAnsi="Tahoma" w:cs="Tahoma"/>
          <w:i/>
          <w:sz w:val="24"/>
          <w:szCs w:val="24"/>
        </w:rPr>
        <w:t>Design thinking: Understanding how designers think and work</w:t>
      </w:r>
      <w:r w:rsidRPr="002249B3">
        <w:rPr>
          <w:rFonts w:ascii="Tahoma" w:eastAsia="Tahoma" w:hAnsi="Tahoma" w:cs="Tahoma"/>
          <w:sz w:val="24"/>
          <w:szCs w:val="24"/>
        </w:rPr>
        <w:t>. London: Bloomsbury Academic.</w:t>
      </w:r>
    </w:p>
    <w:p w14:paraId="62DC99A8" w14:textId="5444EF75"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D’Orville, H. (2019) ‘The Relationship between Sustainability and Creativity’. </w:t>
      </w:r>
      <w:r w:rsidRPr="002249B3">
        <w:rPr>
          <w:rFonts w:ascii="Tahoma" w:eastAsia="Tahoma" w:hAnsi="Tahoma" w:cs="Tahoma"/>
          <w:i/>
          <w:sz w:val="24"/>
          <w:szCs w:val="24"/>
        </w:rPr>
        <w:t>Cadmus</w:t>
      </w:r>
      <w:r w:rsidRPr="002249B3">
        <w:rPr>
          <w:rFonts w:ascii="Tahoma" w:eastAsia="Tahoma" w:hAnsi="Tahoma" w:cs="Tahoma"/>
          <w:sz w:val="24"/>
          <w:szCs w:val="24"/>
        </w:rPr>
        <w:t xml:space="preserve"> Journal. 4(1) Available at: </w:t>
      </w:r>
      <w:hyperlink r:id="rId13" w:history="1">
        <w:r w:rsidR="005117C7" w:rsidRPr="002249B3">
          <w:rPr>
            <w:rStyle w:val="Hyperlink"/>
            <w:rFonts w:ascii="Tahoma" w:eastAsia="Tahoma" w:hAnsi="Tahoma" w:cs="Tahoma"/>
            <w:sz w:val="24"/>
            <w:szCs w:val="24"/>
          </w:rPr>
          <w:t>https://www.cadmusjournal.org/node/742</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(Accessed: 1 March 2025)</w:t>
      </w:r>
    </w:p>
    <w:p w14:paraId="43FF9B6C" w14:textId="77777777"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Felmingham, S. (2024) ‘Creative Education for a Changing World.’ </w:t>
      </w:r>
      <w:r w:rsidRPr="002249B3">
        <w:rPr>
          <w:rFonts w:ascii="Tahoma" w:eastAsia="Tahoma" w:hAnsi="Tahoma" w:cs="Tahoma"/>
          <w:i/>
          <w:sz w:val="24"/>
          <w:szCs w:val="24"/>
        </w:rPr>
        <w:t xml:space="preserve">Latest News, </w:t>
      </w:r>
      <w:r w:rsidRPr="002249B3">
        <w:rPr>
          <w:rFonts w:ascii="Tahoma" w:eastAsia="Tahoma" w:hAnsi="Tahoma" w:cs="Tahoma"/>
          <w:sz w:val="24"/>
          <w:szCs w:val="24"/>
        </w:rPr>
        <w:t>23rd January. Available at:</w:t>
      </w:r>
    </w:p>
    <w:p w14:paraId="005416A0" w14:textId="68A58418" w:rsidR="007E5AF3" w:rsidRPr="002249B3" w:rsidRDefault="005117C7" w:rsidP="002249B3">
      <w:pPr>
        <w:spacing w:after="240" w:line="360" w:lineRule="auto"/>
        <w:rPr>
          <w:rFonts w:ascii="Tahoma" w:eastAsia="Tahoma" w:hAnsi="Tahoma" w:cs="Tahoma"/>
          <w:sz w:val="24"/>
          <w:szCs w:val="24"/>
        </w:rPr>
      </w:pPr>
      <w:hyperlink r:id="rId14" w:history="1">
        <w:r w:rsidRPr="002249B3">
          <w:rPr>
            <w:rStyle w:val="Hyperlink"/>
            <w:rFonts w:ascii="Tahoma" w:eastAsia="Tahoma" w:hAnsi="Tahoma" w:cs="Tahoma"/>
            <w:sz w:val="24"/>
            <w:szCs w:val="24"/>
          </w:rPr>
          <w:t>https://www.aup.ac.uk/posts/creative-education-for-a-changing-world</w:t>
        </w:r>
      </w:hyperlink>
      <w:r w:rsidRPr="002249B3">
        <w:rPr>
          <w:rFonts w:ascii="Tahoma" w:eastAsia="Tahoma" w:hAnsi="Tahoma" w:cs="Tahoma"/>
          <w:sz w:val="24"/>
          <w:szCs w:val="24"/>
        </w:rPr>
        <w:t xml:space="preserve"> (Accessed: 5 August 2024).</w:t>
      </w:r>
    </w:p>
    <w:p w14:paraId="27543C8C" w14:textId="39A7CA2D"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Hopkins, R. (2019) </w:t>
      </w:r>
      <w:r w:rsidRPr="002249B3">
        <w:rPr>
          <w:rFonts w:ascii="Tahoma" w:eastAsia="Tahoma" w:hAnsi="Tahoma" w:cs="Tahoma"/>
          <w:i/>
          <w:sz w:val="24"/>
          <w:szCs w:val="24"/>
        </w:rPr>
        <w:t>From What Is to What If: Unleashing the Power of Imagination to Create the Future We Want</w:t>
      </w:r>
      <w:r w:rsidRPr="002249B3">
        <w:rPr>
          <w:rFonts w:ascii="Tahoma" w:eastAsia="Tahoma" w:hAnsi="Tahoma" w:cs="Tahoma"/>
          <w:sz w:val="24"/>
          <w:szCs w:val="24"/>
        </w:rPr>
        <w:t>. London: Chelsea Green Publishing.</w:t>
      </w:r>
    </w:p>
    <w:p w14:paraId="4CF4D744" w14:textId="4B9D7396"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Krznaric, R. (2012) </w:t>
      </w:r>
      <w:r w:rsidRPr="002249B3">
        <w:rPr>
          <w:rFonts w:ascii="Tahoma" w:eastAsia="Tahoma" w:hAnsi="Tahoma" w:cs="Tahoma"/>
          <w:i/>
          <w:sz w:val="24"/>
          <w:szCs w:val="24"/>
        </w:rPr>
        <w:t xml:space="preserve">RSA Animate - The Power of Outrospection. </w:t>
      </w:r>
      <w:r w:rsidRPr="002249B3">
        <w:rPr>
          <w:rFonts w:ascii="Tahoma" w:eastAsia="Tahoma" w:hAnsi="Tahoma" w:cs="Tahoma"/>
          <w:sz w:val="24"/>
          <w:szCs w:val="24"/>
        </w:rPr>
        <w:t xml:space="preserve">Available at: </w:t>
      </w:r>
      <w:hyperlink r:id="rId15" w:history="1">
        <w:r w:rsidR="005117C7" w:rsidRPr="002249B3">
          <w:rPr>
            <w:rStyle w:val="Hyperlink"/>
            <w:rFonts w:ascii="Tahoma" w:eastAsia="Tahoma" w:hAnsi="Tahoma" w:cs="Tahoma"/>
            <w:sz w:val="24"/>
            <w:szCs w:val="24"/>
          </w:rPr>
          <w:t>https://www.thersa.org/videos/rsa-animate-the-power-of-outrospection/</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(Accessed: 31 January 2023).</w:t>
      </w:r>
    </w:p>
    <w:p w14:paraId="75E5B7D0" w14:textId="24E459CC"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Leslie, I. (2014) </w:t>
      </w:r>
      <w:r w:rsidRPr="002249B3">
        <w:rPr>
          <w:rFonts w:ascii="Tahoma" w:eastAsia="Tahoma" w:hAnsi="Tahoma" w:cs="Tahoma"/>
          <w:i/>
          <w:sz w:val="24"/>
          <w:szCs w:val="24"/>
        </w:rPr>
        <w:t>Curious: The desire to know and why your future depends on it.</w:t>
      </w:r>
      <w:r w:rsidRPr="002249B3">
        <w:rPr>
          <w:rFonts w:ascii="Tahoma" w:eastAsia="Tahoma" w:hAnsi="Tahoma" w:cs="Tahoma"/>
          <w:sz w:val="24"/>
          <w:szCs w:val="24"/>
        </w:rPr>
        <w:t xml:space="preserve"> London: Quercus.</w:t>
      </w:r>
    </w:p>
    <w:p w14:paraId="3854FE4D" w14:textId="1F7BBBFF"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Mezirow, J. (2009) ‘An overview of transformative learning’, in Illeris, K. (ed.) </w:t>
      </w:r>
      <w:r w:rsidRPr="002249B3">
        <w:rPr>
          <w:rFonts w:ascii="Tahoma" w:eastAsia="Tahoma" w:hAnsi="Tahoma" w:cs="Tahoma"/>
          <w:i/>
          <w:sz w:val="24"/>
          <w:szCs w:val="24"/>
        </w:rPr>
        <w:t>Contemporary Theories of Learning</w:t>
      </w:r>
      <w:r w:rsidRPr="002249B3">
        <w:rPr>
          <w:rFonts w:ascii="Tahoma" w:eastAsia="Tahoma" w:hAnsi="Tahoma" w:cs="Tahoma"/>
          <w:sz w:val="24"/>
          <w:szCs w:val="24"/>
        </w:rPr>
        <w:t>. Abingdon: Routledge, pp. 90-105.</w:t>
      </w:r>
    </w:p>
    <w:p w14:paraId="0E827C29" w14:textId="66D8873C"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Neale, L. (2015) </w:t>
      </w:r>
      <w:r w:rsidRPr="002249B3">
        <w:rPr>
          <w:rFonts w:ascii="Tahoma" w:eastAsia="Tahoma" w:hAnsi="Tahoma" w:cs="Tahoma"/>
          <w:i/>
          <w:sz w:val="24"/>
          <w:szCs w:val="24"/>
        </w:rPr>
        <w:t>Playing for Time: Making Art as if the World Mattered</w:t>
      </w:r>
      <w:r w:rsidRPr="002249B3">
        <w:rPr>
          <w:rFonts w:ascii="Tahoma" w:eastAsia="Tahoma" w:hAnsi="Tahoma" w:cs="Tahoma"/>
          <w:sz w:val="24"/>
          <w:szCs w:val="24"/>
        </w:rPr>
        <w:t>. London: Oberon Books.</w:t>
      </w:r>
    </w:p>
    <w:p w14:paraId="7AA9C630" w14:textId="66F100CB"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QAA and Advance HE (2021) </w:t>
      </w:r>
      <w:r w:rsidRPr="002249B3">
        <w:rPr>
          <w:rFonts w:ascii="Tahoma" w:eastAsia="Tahoma" w:hAnsi="Tahoma" w:cs="Tahoma"/>
          <w:i/>
          <w:sz w:val="24"/>
          <w:szCs w:val="24"/>
        </w:rPr>
        <w:t>Education for Sustainable Development.</w:t>
      </w:r>
      <w:r w:rsidRPr="002249B3">
        <w:rPr>
          <w:rFonts w:ascii="Tahoma" w:eastAsia="Tahoma" w:hAnsi="Tahoma" w:cs="Tahoma"/>
          <w:sz w:val="24"/>
          <w:szCs w:val="24"/>
        </w:rPr>
        <w:t xml:space="preserve"> Available at: </w:t>
      </w:r>
      <w:hyperlink r:id="rId16" w:history="1">
        <w:r w:rsidR="005117C7" w:rsidRPr="002249B3">
          <w:rPr>
            <w:rStyle w:val="Hyperlink"/>
            <w:rFonts w:ascii="Tahoma" w:eastAsia="Tahoma" w:hAnsi="Tahoma" w:cs="Tahoma"/>
            <w:sz w:val="24"/>
            <w:szCs w:val="24"/>
          </w:rPr>
          <w:t>https://www.advance-he.ac.uk/knowledge-hub/education-sustainable-development-guidance</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 xml:space="preserve">(Accessed: 8 August 2024). </w:t>
      </w:r>
    </w:p>
    <w:p w14:paraId="5310332B" w14:textId="1D1B8738"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RCA (2024) </w:t>
      </w:r>
      <w:r w:rsidRPr="002249B3">
        <w:rPr>
          <w:rFonts w:ascii="Tahoma" w:eastAsia="Tahoma" w:hAnsi="Tahoma" w:cs="Tahoma"/>
          <w:i/>
          <w:sz w:val="24"/>
          <w:szCs w:val="24"/>
        </w:rPr>
        <w:t xml:space="preserve">Education for Sustainable Development: Strategy for Sustainability in Teaching &amp; Learning. </w:t>
      </w:r>
      <w:r w:rsidRPr="002249B3">
        <w:rPr>
          <w:rFonts w:ascii="Tahoma" w:eastAsia="Tahoma" w:hAnsi="Tahoma" w:cs="Tahoma"/>
          <w:sz w:val="24"/>
          <w:szCs w:val="24"/>
        </w:rPr>
        <w:t xml:space="preserve">Available at: </w:t>
      </w:r>
      <w:r w:rsidR="009B1EA1" w:rsidRPr="002249B3">
        <w:rPr>
          <w:rFonts w:ascii="Tahoma" w:hAnsi="Tahoma" w:cs="Tahoma"/>
          <w:sz w:val="24"/>
          <w:szCs w:val="24"/>
        </w:rPr>
        <w:t>https://www.rca.ac.uk/more/sustainability/education-for-sustainable-development/#strategy-for-sustainability-in-teaching-learning</w:t>
      </w:r>
      <w:r w:rsidRPr="002249B3">
        <w:rPr>
          <w:rFonts w:ascii="Tahoma" w:eastAsia="Tahoma" w:hAnsi="Tahoma" w:cs="Tahoma"/>
          <w:sz w:val="24"/>
          <w:szCs w:val="24"/>
        </w:rPr>
        <w:t xml:space="preserve"> (Accessed: 5 February 2025). </w:t>
      </w:r>
    </w:p>
    <w:p w14:paraId="2F87E4D2" w14:textId="77777777" w:rsidR="007E5AF3" w:rsidRPr="002249B3" w:rsidRDefault="004C3694" w:rsidP="002249B3">
      <w:pPr>
        <w:spacing w:after="240" w:line="360" w:lineRule="auto"/>
        <w:rPr>
          <w:rFonts w:ascii="Tahoma" w:eastAsia="Tahoma" w:hAnsi="Tahoma" w:cs="Tahoma"/>
          <w:sz w:val="24"/>
          <w:szCs w:val="24"/>
          <w:highlight w:val="white"/>
        </w:rPr>
      </w:pPr>
      <w:r w:rsidRPr="002249B3">
        <w:rPr>
          <w:rFonts w:ascii="Tahoma" w:eastAsia="Tahoma" w:hAnsi="Tahoma" w:cs="Tahoma"/>
          <w:sz w:val="24"/>
          <w:szCs w:val="24"/>
          <w:highlight w:val="white"/>
        </w:rPr>
        <w:t>Schaar, R. and Baeza, C. (2020)</w:t>
      </w:r>
      <w:r w:rsidRPr="002249B3">
        <w:rPr>
          <w:rFonts w:ascii="Tahoma" w:eastAsia="Tahoma" w:hAnsi="Tahoma" w:cs="Tahoma"/>
          <w:i/>
          <w:sz w:val="24"/>
          <w:szCs w:val="24"/>
          <w:highlight w:val="white"/>
        </w:rPr>
        <w:t xml:space="preserve"> ‘</w:t>
      </w:r>
      <w:hyperlink r:id="rId17" w:history="1">
        <w:r w:rsidR="007E5AF3" w:rsidRPr="002249B3">
          <w:rPr>
            <w:rFonts w:ascii="Tahoma" w:eastAsia="Tahoma" w:hAnsi="Tahoma" w:cs="Tahoma"/>
            <w:i/>
            <w:sz w:val="24"/>
            <w:szCs w:val="24"/>
            <w:highlight w:val="white"/>
          </w:rPr>
          <w:t>Using design fiction to teach ethics in design: Preparing students to be ethical entrepreneurs by studying the implications of speculative futures</w:t>
        </w:r>
      </w:hyperlink>
      <w:r w:rsidRPr="002249B3">
        <w:rPr>
          <w:rFonts w:ascii="Tahoma" w:eastAsia="Tahoma" w:hAnsi="Tahoma" w:cs="Tahoma"/>
          <w:i/>
          <w:sz w:val="24"/>
          <w:szCs w:val="24"/>
          <w:highlight w:val="white"/>
        </w:rPr>
        <w:t xml:space="preserve">’. </w:t>
      </w:r>
      <w:r w:rsidRPr="002249B3">
        <w:rPr>
          <w:rFonts w:ascii="Tahoma" w:eastAsia="Tahoma" w:hAnsi="Tahoma" w:cs="Tahoma"/>
          <w:sz w:val="24"/>
          <w:szCs w:val="24"/>
        </w:rPr>
        <w:t>Available at:</w:t>
      </w:r>
    </w:p>
    <w:p w14:paraId="4B4740BC" w14:textId="5FBD0885" w:rsidR="007E5AF3" w:rsidRPr="002249B3" w:rsidRDefault="007E5AF3" w:rsidP="002249B3">
      <w:pPr>
        <w:spacing w:after="240" w:line="360" w:lineRule="auto"/>
        <w:rPr>
          <w:rFonts w:ascii="Tahoma" w:eastAsia="Tahoma" w:hAnsi="Tahoma" w:cs="Tahoma"/>
          <w:sz w:val="24"/>
          <w:szCs w:val="24"/>
          <w:highlight w:val="white"/>
        </w:rPr>
      </w:pPr>
      <w:hyperlink r:id="rId18" w:history="1">
        <w:r w:rsidRPr="002249B3">
          <w:rPr>
            <w:rFonts w:ascii="Tahoma" w:eastAsia="Tahoma" w:hAnsi="Tahoma" w:cs="Tahoma"/>
            <w:sz w:val="24"/>
            <w:szCs w:val="24"/>
            <w:highlight w:val="white"/>
          </w:rPr>
          <w:t>https://www.idsa.org/education-paper/using-design-fiction-to-teach-ethics-in-design/</w:t>
        </w:r>
      </w:hyperlink>
      <w:r w:rsidRPr="002249B3">
        <w:rPr>
          <w:rFonts w:ascii="Tahoma" w:eastAsia="Tahoma" w:hAnsi="Tahoma" w:cs="Tahoma"/>
          <w:sz w:val="24"/>
          <w:szCs w:val="24"/>
          <w:highlight w:val="white"/>
        </w:rPr>
        <w:t xml:space="preserve"> </w:t>
      </w:r>
      <w:r w:rsidRPr="002249B3">
        <w:rPr>
          <w:rFonts w:ascii="Tahoma" w:eastAsia="Tahoma" w:hAnsi="Tahoma" w:cs="Tahoma"/>
          <w:sz w:val="24"/>
          <w:szCs w:val="24"/>
        </w:rPr>
        <w:t>(Accessed: 1 March 2025).</w:t>
      </w:r>
    </w:p>
    <w:p w14:paraId="0592B871" w14:textId="2A3E6902" w:rsidR="007E5AF3" w:rsidRPr="002249B3" w:rsidRDefault="004C3694"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Shanker, A. and Zurn, P. (2020) ‘Conclusion: On Teaching Curiosity’ in Shanker, A. and Zurn, P. (eds.) </w:t>
      </w:r>
      <w:r w:rsidRPr="002249B3">
        <w:rPr>
          <w:rFonts w:ascii="Tahoma" w:eastAsia="Tahoma" w:hAnsi="Tahoma" w:cs="Tahoma"/>
          <w:i/>
          <w:sz w:val="24"/>
          <w:szCs w:val="24"/>
        </w:rPr>
        <w:t xml:space="preserve">Curiosity Studies: A New Ecology of Knowledge. </w:t>
      </w:r>
      <w:r w:rsidRPr="002249B3">
        <w:rPr>
          <w:rFonts w:ascii="Tahoma" w:eastAsia="Tahoma" w:hAnsi="Tahoma" w:cs="Tahoma"/>
          <w:sz w:val="24"/>
          <w:szCs w:val="24"/>
        </w:rPr>
        <w:t>Minneapolis: University of Minnesota Press.</w:t>
      </w:r>
    </w:p>
    <w:p w14:paraId="55405B9C" w14:textId="00DDB822"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Stein Greenberg, S. (2021) </w:t>
      </w:r>
      <w:r w:rsidRPr="002249B3">
        <w:rPr>
          <w:rFonts w:ascii="Tahoma" w:eastAsia="Tahoma" w:hAnsi="Tahoma" w:cs="Tahoma"/>
          <w:i/>
          <w:sz w:val="24"/>
          <w:szCs w:val="24"/>
        </w:rPr>
        <w:t>Creative Acts for Curious People.</w:t>
      </w:r>
      <w:r w:rsidRPr="002249B3">
        <w:rPr>
          <w:rFonts w:ascii="Tahoma" w:eastAsia="Tahoma" w:hAnsi="Tahoma" w:cs="Tahoma"/>
          <w:sz w:val="24"/>
          <w:szCs w:val="24"/>
        </w:rPr>
        <w:t xml:space="preserve"> London: Penguin Business. </w:t>
      </w:r>
    </w:p>
    <w:p w14:paraId="31F79D1B" w14:textId="343BAFDA"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UCA (no date) </w:t>
      </w:r>
      <w:r w:rsidRPr="002249B3">
        <w:rPr>
          <w:rFonts w:ascii="Tahoma" w:eastAsia="Tahoma" w:hAnsi="Tahoma" w:cs="Tahoma"/>
          <w:i/>
          <w:sz w:val="24"/>
          <w:szCs w:val="24"/>
        </w:rPr>
        <w:t>Teaching at UCA.</w:t>
      </w:r>
      <w:r w:rsidRPr="002249B3">
        <w:rPr>
          <w:rFonts w:ascii="Tahoma" w:eastAsia="Tahoma" w:hAnsi="Tahoma" w:cs="Tahoma"/>
          <w:sz w:val="24"/>
          <w:szCs w:val="24"/>
        </w:rPr>
        <w:t xml:space="preserve"> Available at: </w:t>
      </w:r>
      <w:hyperlink r:id="rId19" w:history="1">
        <w:r w:rsidR="005117C7" w:rsidRPr="002249B3">
          <w:rPr>
            <w:rStyle w:val="Hyperlink"/>
            <w:rFonts w:ascii="Tahoma" w:eastAsia="Tahoma" w:hAnsi="Tahoma" w:cs="Tahoma"/>
            <w:sz w:val="24"/>
            <w:szCs w:val="24"/>
          </w:rPr>
          <w:t>https://www.uca.ac.uk/about-us/environment-and-sustainability/teaching/</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 xml:space="preserve">(Accessed: 5 February 2025). </w:t>
      </w:r>
    </w:p>
    <w:p w14:paraId="1C52CDBE" w14:textId="23A033E7"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United Nations (no date) </w:t>
      </w:r>
      <w:r w:rsidRPr="002249B3">
        <w:rPr>
          <w:rFonts w:ascii="Tahoma" w:eastAsia="Tahoma" w:hAnsi="Tahoma" w:cs="Tahoma"/>
          <w:i/>
          <w:sz w:val="24"/>
          <w:szCs w:val="24"/>
        </w:rPr>
        <w:t xml:space="preserve">The 17 Goals. </w:t>
      </w:r>
      <w:r w:rsidRPr="002249B3">
        <w:rPr>
          <w:rFonts w:ascii="Tahoma" w:eastAsia="Tahoma" w:hAnsi="Tahoma" w:cs="Tahoma"/>
          <w:sz w:val="24"/>
          <w:szCs w:val="24"/>
        </w:rPr>
        <w:t xml:space="preserve">Available at: </w:t>
      </w:r>
      <w:hyperlink r:id="rId20" w:history="1">
        <w:r w:rsidR="005117C7" w:rsidRPr="002249B3">
          <w:rPr>
            <w:rStyle w:val="Hyperlink"/>
            <w:rFonts w:ascii="Tahoma" w:eastAsia="Tahoma" w:hAnsi="Tahoma" w:cs="Tahoma"/>
            <w:sz w:val="24"/>
            <w:szCs w:val="24"/>
          </w:rPr>
          <w:t>https://sdgs.un.org/goals</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(Accessed: 8 August 2024).</w:t>
      </w:r>
    </w:p>
    <w:p w14:paraId="690430A3" w14:textId="4871EEFC"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van Dijk, L. and Rietveld, E. (2020) ‘Situated imagination’, </w:t>
      </w:r>
      <w:r w:rsidRPr="002249B3">
        <w:rPr>
          <w:rFonts w:ascii="Tahoma" w:eastAsia="Tahoma" w:hAnsi="Tahoma" w:cs="Tahoma"/>
          <w:i/>
          <w:sz w:val="24"/>
          <w:szCs w:val="24"/>
        </w:rPr>
        <w:t>Phenomenology &amp; the Cognitive Sciences.</w:t>
      </w:r>
      <w:r w:rsidRPr="002249B3">
        <w:rPr>
          <w:rFonts w:ascii="Tahoma" w:eastAsia="Tahoma" w:hAnsi="Tahoma" w:cs="Tahoma"/>
          <w:sz w:val="24"/>
          <w:szCs w:val="24"/>
        </w:rPr>
        <w:t xml:space="preserve"> </w:t>
      </w:r>
      <w:hyperlink r:id="rId21" w:history="1">
        <w:r w:rsidR="005117C7" w:rsidRPr="002249B3">
          <w:rPr>
            <w:rStyle w:val="Hyperlink"/>
            <w:rFonts w:ascii="Tahoma" w:eastAsia="Tahoma" w:hAnsi="Tahoma" w:cs="Tahoma"/>
            <w:sz w:val="24"/>
            <w:szCs w:val="24"/>
          </w:rPr>
          <w:t>https://doi.org/10.1007/s11097-020-09701-2</w:t>
        </w:r>
      </w:hyperlink>
    </w:p>
    <w:p w14:paraId="60CABEC5" w14:textId="77777777"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Vygotsky, L. (1978). </w:t>
      </w:r>
      <w:r w:rsidRPr="002249B3">
        <w:rPr>
          <w:rFonts w:ascii="Tahoma" w:eastAsia="Tahoma" w:hAnsi="Tahoma" w:cs="Tahoma"/>
          <w:i/>
          <w:sz w:val="24"/>
          <w:szCs w:val="24"/>
        </w:rPr>
        <w:t>Mind in society: The development of higher psychological processes</w:t>
      </w:r>
      <w:r w:rsidRPr="002249B3">
        <w:rPr>
          <w:rFonts w:ascii="Tahoma" w:eastAsia="Tahoma" w:hAnsi="Tahoma" w:cs="Tahoma"/>
          <w:sz w:val="24"/>
          <w:szCs w:val="24"/>
        </w:rPr>
        <w:t>. London: Harvard University Press.</w:t>
      </w:r>
    </w:p>
    <w:p w14:paraId="35EA379B" w14:textId="7EE3F889" w:rsidR="007E5AF3" w:rsidRPr="002249B3" w:rsidRDefault="004C3694"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Wallas, G. ([1926] 2014) </w:t>
      </w:r>
      <w:r w:rsidRPr="002249B3">
        <w:rPr>
          <w:rFonts w:ascii="Tahoma" w:eastAsia="Tahoma" w:hAnsi="Tahoma" w:cs="Tahoma"/>
          <w:i/>
          <w:sz w:val="24"/>
          <w:szCs w:val="24"/>
        </w:rPr>
        <w:t>The Art of Thought.</w:t>
      </w:r>
      <w:r w:rsidRPr="002249B3">
        <w:rPr>
          <w:rFonts w:ascii="Tahoma" w:eastAsia="Tahoma" w:hAnsi="Tahoma" w:cs="Tahoma"/>
          <w:sz w:val="24"/>
          <w:szCs w:val="24"/>
        </w:rPr>
        <w:t xml:space="preserve"> Poole, Dorset: Solis Press.</w:t>
      </w:r>
    </w:p>
    <w:p w14:paraId="756403C1" w14:textId="77777777" w:rsidR="007E5AF3" w:rsidRPr="002249B3" w:rsidRDefault="004C3694" w:rsidP="002249B3">
      <w:pPr>
        <w:spacing w:after="240" w:line="360" w:lineRule="auto"/>
        <w:ind w:right="100"/>
        <w:rPr>
          <w:rFonts w:ascii="Tahoma" w:eastAsia="Tahoma" w:hAnsi="Tahoma" w:cs="Tahoma"/>
          <w:b/>
          <w:sz w:val="24"/>
          <w:szCs w:val="24"/>
        </w:rPr>
      </w:pPr>
      <w:r w:rsidRPr="002249B3">
        <w:rPr>
          <w:rFonts w:ascii="Tahoma" w:eastAsia="Tahoma" w:hAnsi="Tahoma" w:cs="Tahoma"/>
          <w:sz w:val="24"/>
          <w:szCs w:val="24"/>
        </w:rPr>
        <w:t xml:space="preserve">Wenger, E. (1998) </w:t>
      </w:r>
      <w:r w:rsidRPr="002249B3">
        <w:rPr>
          <w:rFonts w:ascii="Tahoma" w:eastAsia="Tahoma" w:hAnsi="Tahoma" w:cs="Tahoma"/>
          <w:i/>
          <w:sz w:val="24"/>
          <w:szCs w:val="24"/>
        </w:rPr>
        <w:t>Communities of Practice: learning, meaning and identity.</w:t>
      </w:r>
      <w:r w:rsidRPr="002249B3">
        <w:rPr>
          <w:rFonts w:ascii="Tahoma" w:eastAsia="Tahoma" w:hAnsi="Tahoma" w:cs="Tahoma"/>
          <w:sz w:val="24"/>
          <w:szCs w:val="24"/>
        </w:rPr>
        <w:t xml:space="preserve"> Cambridge: University Press.</w:t>
      </w:r>
    </w:p>
    <w:p w14:paraId="18F10A23" w14:textId="77777777" w:rsidR="007E5AF3" w:rsidRPr="002249B3" w:rsidRDefault="007E5AF3" w:rsidP="002249B3">
      <w:pPr>
        <w:spacing w:after="240" w:line="360" w:lineRule="auto"/>
        <w:ind w:left="720" w:right="100"/>
        <w:rPr>
          <w:rFonts w:ascii="Tahoma" w:eastAsia="Tahoma" w:hAnsi="Tahoma" w:cs="Tahoma"/>
          <w:sz w:val="24"/>
          <w:szCs w:val="24"/>
        </w:rPr>
      </w:pPr>
    </w:p>
    <w:sectPr w:rsidR="007E5AF3" w:rsidRPr="002249B3">
      <w:headerReference w:type="even" r:id="rId22"/>
      <w:headerReference w:type="default" r:id="rId23"/>
      <w:footerReference w:type="even" r:id="rId24"/>
      <w:footerReference w:type="default" r:id="rId25"/>
      <w:headerReference w:type="first" r:id="rId26"/>
      <w:footerReference w:type="first" r:id="rId27"/>
      <w:pgSz w:w="11909" w:h="16834"/>
      <w:pgMar w:top="1440" w:right="1797" w:bottom="1440" w:left="1797"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8EB2AB" w14:textId="77777777" w:rsidR="00B47634" w:rsidRDefault="00B47634">
      <w:pPr>
        <w:spacing w:line="240" w:lineRule="auto"/>
      </w:pPr>
      <w:r>
        <w:separator/>
      </w:r>
    </w:p>
  </w:endnote>
  <w:endnote w:type="continuationSeparator" w:id="0">
    <w:p w14:paraId="5BBD21B2" w14:textId="77777777" w:rsidR="00B47634" w:rsidRDefault="00B4763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DDDAECC7-5F83-402A-905C-ADFBF52F4F4A}"/>
    <w:embedBold r:id="rId2" w:fontKey="{E9329ACF-E408-412A-BB66-51B8D2BBBE1E}"/>
    <w:embedItalic r:id="rId3" w:fontKey="{5B95A3C3-40FD-4D78-B7A8-4A4024F01A0E}"/>
  </w:font>
  <w:font w:name="Calibri">
    <w:panose1 w:val="020F0502020204030204"/>
    <w:charset w:val="00"/>
    <w:family w:val="swiss"/>
    <w:pitch w:val="variable"/>
    <w:sig w:usb0="E4002EFF" w:usb1="C200247B" w:usb2="00000009" w:usb3="00000000" w:csb0="000001FF" w:csb1="00000000"/>
    <w:embedRegular r:id="rId4" w:fontKey="{4F439CFB-798D-4EA7-8B49-B89C0DE55EC7}"/>
  </w:font>
  <w:font w:name="Cambria">
    <w:panose1 w:val="02040503050406030204"/>
    <w:charset w:val="00"/>
    <w:family w:val="roman"/>
    <w:pitch w:val="variable"/>
    <w:sig w:usb0="E00006FF" w:usb1="420024FF" w:usb2="02000000" w:usb3="00000000" w:csb0="0000019F" w:csb1="00000000"/>
    <w:embedRegular r:id="rId5" w:fontKey="{703B3378-A0F3-4911-908F-2544865A0FF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EAB81" w14:textId="77777777" w:rsidR="00E83851" w:rsidRDefault="00E8385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544BA" w14:textId="77777777" w:rsidR="0086703A" w:rsidRPr="00C33412" w:rsidRDefault="0086703A" w:rsidP="0086703A">
    <w:pPr>
      <w:pStyle w:val="Footer"/>
      <w:rPr>
        <w:rFonts w:ascii="Tahoma" w:hAnsi="Tahoma" w:cs="Tahoma"/>
        <w:noProof/>
        <w:sz w:val="20"/>
        <w:szCs w:val="20"/>
      </w:rPr>
    </w:pPr>
    <w:r w:rsidRPr="00C33412">
      <w:rPr>
        <w:rFonts w:ascii="Tahoma" w:hAnsi="Tahoma" w:cs="Tahoma"/>
        <w:sz w:val="20"/>
        <w:szCs w:val="20"/>
      </w:rPr>
      <w:t>Innovative Practice in Higher Education</w:t>
    </w:r>
    <w:r w:rsidRPr="00C33412">
      <w:rPr>
        <w:rFonts w:ascii="Tahoma" w:hAnsi="Tahoma" w:cs="Tahoma"/>
        <w:sz w:val="20"/>
        <w:szCs w:val="20"/>
      </w:rPr>
      <w:tab/>
    </w:r>
    <w:r w:rsidRPr="00C33412">
      <w:rPr>
        <w:rFonts w:ascii="Tahoma" w:hAnsi="Tahoma" w:cs="Tahoma"/>
        <w:sz w:val="20"/>
        <w:szCs w:val="20"/>
      </w:rPr>
      <w:tab/>
    </w:r>
    <w:r w:rsidRPr="00C33412">
      <w:rPr>
        <w:rFonts w:ascii="Tahoma" w:hAnsi="Tahoma" w:cs="Tahoma"/>
        <w:sz w:val="20"/>
        <w:szCs w:val="20"/>
      </w:rPr>
      <w:fldChar w:fldCharType="begin"/>
    </w:r>
    <w:r w:rsidRPr="00C33412">
      <w:rPr>
        <w:rFonts w:ascii="Tahoma" w:hAnsi="Tahoma" w:cs="Tahoma"/>
        <w:sz w:val="20"/>
        <w:szCs w:val="20"/>
      </w:rPr>
      <w:instrText xml:space="preserve"> PAGE   \* MERGEFORMAT </w:instrText>
    </w:r>
    <w:r w:rsidRPr="00C33412">
      <w:rPr>
        <w:rFonts w:ascii="Tahoma" w:hAnsi="Tahoma" w:cs="Tahoma"/>
        <w:sz w:val="20"/>
        <w:szCs w:val="20"/>
      </w:rPr>
      <w:fldChar w:fldCharType="separate"/>
    </w:r>
    <w:r>
      <w:rPr>
        <w:rFonts w:ascii="Tahoma" w:hAnsi="Tahoma" w:cs="Tahoma"/>
        <w:sz w:val="20"/>
        <w:szCs w:val="20"/>
      </w:rPr>
      <w:t>1</w:t>
    </w:r>
    <w:r w:rsidRPr="00C33412">
      <w:rPr>
        <w:rFonts w:ascii="Tahoma" w:hAnsi="Tahoma" w:cs="Tahoma"/>
        <w:noProof/>
        <w:sz w:val="20"/>
        <w:szCs w:val="20"/>
      </w:rPr>
      <w:fldChar w:fldCharType="end"/>
    </w:r>
  </w:p>
  <w:p w14:paraId="3EDA5D86" w14:textId="77777777" w:rsidR="0086703A" w:rsidRPr="00C33412" w:rsidRDefault="0086703A" w:rsidP="0086703A">
    <w:pPr>
      <w:pStyle w:val="Footer"/>
      <w:rPr>
        <w:rFonts w:ascii="Tahoma" w:hAnsi="Tahoma" w:cs="Tahoma"/>
        <w:sz w:val="20"/>
        <w:szCs w:val="20"/>
      </w:rPr>
    </w:pPr>
    <w:r w:rsidRPr="00C33412">
      <w:rPr>
        <w:rFonts w:ascii="Tahoma" w:hAnsi="Tahoma" w:cs="Tahoma"/>
        <w:sz w:val="20"/>
        <w:szCs w:val="20"/>
      </w:rPr>
      <w:t>© IPiHE 202</w:t>
    </w:r>
    <w:r>
      <w:rPr>
        <w:rFonts w:ascii="Tahoma" w:hAnsi="Tahoma" w:cs="Tahoma"/>
        <w:sz w:val="20"/>
        <w:szCs w:val="20"/>
      </w:rPr>
      <w:t>5</w:t>
    </w:r>
  </w:p>
  <w:p w14:paraId="5A0EB124" w14:textId="3C84E8AC" w:rsidR="0086703A" w:rsidRDefault="0086703A">
    <w:pPr>
      <w:pStyle w:val="Footer"/>
    </w:pPr>
    <w:r w:rsidRPr="00C33412">
      <w:rPr>
        <w:rFonts w:ascii="Tahoma" w:hAnsi="Tahoma" w:cs="Tahoma"/>
        <w:sz w:val="20"/>
        <w:szCs w:val="20"/>
      </w:rPr>
      <w:t>ISSN: 2044-3315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6318F" w14:textId="77777777" w:rsidR="00E83851" w:rsidRDefault="00E838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78AE6E" w14:textId="77777777" w:rsidR="00B47634" w:rsidRDefault="00B47634">
      <w:pPr>
        <w:spacing w:line="240" w:lineRule="auto"/>
      </w:pPr>
      <w:r>
        <w:separator/>
      </w:r>
    </w:p>
  </w:footnote>
  <w:footnote w:type="continuationSeparator" w:id="0">
    <w:p w14:paraId="1CFDEE52" w14:textId="77777777" w:rsidR="00B47634" w:rsidRDefault="00B4763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63094" w14:textId="77777777" w:rsidR="00E83851" w:rsidRDefault="00E8385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306F9" w14:textId="74FC4F07" w:rsidR="00566361" w:rsidRPr="00C33412" w:rsidRDefault="00566361" w:rsidP="00566361">
    <w:pPr>
      <w:pStyle w:val="Header"/>
      <w:rPr>
        <w:rFonts w:ascii="Tahoma" w:hAnsi="Tahoma" w:cs="Tahoma"/>
        <w:sz w:val="20"/>
        <w:szCs w:val="20"/>
      </w:rPr>
    </w:pPr>
    <w:r w:rsidRPr="00C33412">
      <w:rPr>
        <w:rFonts w:ascii="Tahoma" w:hAnsi="Tahoma" w:cs="Tahoma"/>
        <w:sz w:val="20"/>
        <w:szCs w:val="20"/>
      </w:rPr>
      <w:t>Innovative Practice in Higher Education</w:t>
    </w:r>
    <w:r w:rsidRPr="00C33412">
      <w:rPr>
        <w:rFonts w:ascii="Tahoma" w:hAnsi="Tahoma" w:cs="Tahoma"/>
        <w:sz w:val="20"/>
        <w:szCs w:val="20"/>
      </w:rPr>
      <w:tab/>
    </w:r>
    <w:r w:rsidRPr="00C33412">
      <w:rPr>
        <w:rFonts w:ascii="Tahoma" w:hAnsi="Tahoma" w:cs="Tahoma"/>
        <w:sz w:val="20"/>
        <w:szCs w:val="20"/>
      </w:rPr>
      <w:tab/>
    </w:r>
    <w:r>
      <w:rPr>
        <w:rFonts w:ascii="Tahoma" w:hAnsi="Tahoma" w:cs="Tahoma"/>
        <w:sz w:val="20"/>
        <w:szCs w:val="20"/>
      </w:rPr>
      <w:t>As</w:t>
    </w:r>
    <w:r w:rsidR="00E83851">
      <w:rPr>
        <w:rFonts w:ascii="Tahoma" w:hAnsi="Tahoma" w:cs="Tahoma"/>
        <w:sz w:val="20"/>
        <w:szCs w:val="20"/>
      </w:rPr>
      <w:t>h</w:t>
    </w:r>
    <w:r>
      <w:rPr>
        <w:rFonts w:ascii="Tahoma" w:hAnsi="Tahoma" w:cs="Tahoma"/>
        <w:sz w:val="20"/>
        <w:szCs w:val="20"/>
      </w:rPr>
      <w:t xml:space="preserve">ton and Brown </w:t>
    </w:r>
  </w:p>
  <w:p w14:paraId="6F4D8C8A" w14:textId="0A57AE9B" w:rsidR="007E5AF3" w:rsidRDefault="00566361" w:rsidP="00566361">
    <w:pPr>
      <w:pStyle w:val="Header"/>
    </w:pPr>
    <w:r w:rsidRPr="00C33412">
      <w:rPr>
        <w:rFonts w:ascii="Tahoma" w:hAnsi="Tahoma" w:cs="Tahoma"/>
        <w:sz w:val="20"/>
        <w:szCs w:val="20"/>
      </w:rPr>
      <w:t xml:space="preserve">Vol </w:t>
    </w:r>
    <w:r>
      <w:rPr>
        <w:rFonts w:ascii="Tahoma" w:hAnsi="Tahoma" w:cs="Tahoma"/>
        <w:sz w:val="20"/>
        <w:szCs w:val="20"/>
      </w:rPr>
      <w:t>7 (1)</w:t>
    </w:r>
    <w:r w:rsidRPr="00C33412">
      <w:rPr>
        <w:rFonts w:ascii="Tahoma" w:hAnsi="Tahoma" w:cs="Tahoma"/>
        <w:sz w:val="20"/>
        <w:szCs w:val="20"/>
      </w:rPr>
      <w:t xml:space="preserve"> </w:t>
    </w:r>
    <w:r>
      <w:rPr>
        <w:rFonts w:ascii="Tahoma" w:hAnsi="Tahoma" w:cs="Tahoma"/>
        <w:sz w:val="20"/>
        <w:szCs w:val="20"/>
      </w:rPr>
      <w:t>July</w:t>
    </w:r>
    <w:r w:rsidRPr="00C33412">
      <w:rPr>
        <w:rFonts w:ascii="Tahoma" w:hAnsi="Tahoma" w:cs="Tahoma"/>
        <w:sz w:val="20"/>
        <w:szCs w:val="20"/>
      </w:rPr>
      <w:t xml:space="preserve"> </w:t>
    </w:r>
    <w:r>
      <w:rPr>
        <w:rFonts w:ascii="Tahoma" w:hAnsi="Tahoma" w:cs="Tahoma"/>
        <w:sz w:val="20"/>
        <w:szCs w:val="20"/>
      </w:rPr>
      <w:t>2025</w:t>
    </w:r>
    <w:r w:rsidRPr="00C33412">
      <w:rPr>
        <w:rFonts w:ascii="Tahoma" w:hAnsi="Tahoma" w:cs="Tahoma"/>
        <w:sz w:val="20"/>
        <w:szCs w:val="20"/>
      </w:rPr>
      <w:tab/>
    </w:r>
    <w:r>
      <w:rPr>
        <w:rFonts w:ascii="Tahoma" w:hAnsi="Tahoma" w:cs="Tahoma"/>
        <w:sz w:val="20"/>
        <w:szCs w:val="20"/>
      </w:rPr>
      <w:tab/>
      <w:t>Thinking Through Making</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9CB2AE" w14:textId="77777777" w:rsidR="00E83851" w:rsidRDefault="00E838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CD581D"/>
    <w:multiLevelType w:val="multilevel"/>
    <w:tmpl w:val="2D580D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6647CDE"/>
    <w:multiLevelType w:val="multilevel"/>
    <w:tmpl w:val="48DCAA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4EA3365"/>
    <w:multiLevelType w:val="multilevel"/>
    <w:tmpl w:val="D480D3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758791938">
    <w:abstractNumId w:val="1"/>
  </w:num>
  <w:num w:numId="2" w16cid:durableId="983006678">
    <w:abstractNumId w:val="0"/>
  </w:num>
  <w:num w:numId="3" w16cid:durableId="17027065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5AF3"/>
    <w:rsid w:val="00004141"/>
    <w:rsid w:val="00085A9A"/>
    <w:rsid w:val="00195746"/>
    <w:rsid w:val="001A003B"/>
    <w:rsid w:val="001D09D5"/>
    <w:rsid w:val="00212D40"/>
    <w:rsid w:val="002249B3"/>
    <w:rsid w:val="002627B2"/>
    <w:rsid w:val="002B149E"/>
    <w:rsid w:val="002D499A"/>
    <w:rsid w:val="00370738"/>
    <w:rsid w:val="00391DC0"/>
    <w:rsid w:val="00426F79"/>
    <w:rsid w:val="0044435B"/>
    <w:rsid w:val="00471F82"/>
    <w:rsid w:val="004779A2"/>
    <w:rsid w:val="004B436F"/>
    <w:rsid w:val="004C3694"/>
    <w:rsid w:val="004D0BAE"/>
    <w:rsid w:val="005116BB"/>
    <w:rsid w:val="005117C7"/>
    <w:rsid w:val="00531102"/>
    <w:rsid w:val="0053587E"/>
    <w:rsid w:val="00566361"/>
    <w:rsid w:val="00726D0B"/>
    <w:rsid w:val="007D6DDE"/>
    <w:rsid w:val="007E1DBE"/>
    <w:rsid w:val="007E5AF3"/>
    <w:rsid w:val="0086703A"/>
    <w:rsid w:val="008D0EA0"/>
    <w:rsid w:val="008D1A83"/>
    <w:rsid w:val="00901357"/>
    <w:rsid w:val="0094573B"/>
    <w:rsid w:val="00975724"/>
    <w:rsid w:val="009B1EA1"/>
    <w:rsid w:val="009B2B92"/>
    <w:rsid w:val="00A109FE"/>
    <w:rsid w:val="00A51C32"/>
    <w:rsid w:val="00A60ED0"/>
    <w:rsid w:val="00AC4018"/>
    <w:rsid w:val="00AF737A"/>
    <w:rsid w:val="00B47634"/>
    <w:rsid w:val="00B83B70"/>
    <w:rsid w:val="00B93B66"/>
    <w:rsid w:val="00C6584A"/>
    <w:rsid w:val="00C80CDA"/>
    <w:rsid w:val="00CC204D"/>
    <w:rsid w:val="00D20308"/>
    <w:rsid w:val="00D71D7E"/>
    <w:rsid w:val="00D817EF"/>
    <w:rsid w:val="00D872ED"/>
    <w:rsid w:val="00D90DD9"/>
    <w:rsid w:val="00DA5954"/>
    <w:rsid w:val="00DC7043"/>
    <w:rsid w:val="00E2014E"/>
    <w:rsid w:val="00E71E1F"/>
    <w:rsid w:val="00E83851"/>
    <w:rsid w:val="00EB5067"/>
    <w:rsid w:val="00EE39E5"/>
    <w:rsid w:val="00EF58DC"/>
    <w:rsid w:val="00FA6785"/>
    <w:rsid w:val="00FF391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AFDC5"/>
  <w15:docId w15:val="{F3649EC0-74D8-C842-B8B0-E4BC134D8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Revision">
    <w:name w:val="Revision"/>
    <w:hidden/>
    <w:uiPriority w:val="99"/>
    <w:semiHidden/>
    <w:rsid w:val="009B2B92"/>
    <w:pPr>
      <w:spacing w:line="240" w:lineRule="auto"/>
    </w:pPr>
  </w:style>
  <w:style w:type="character" w:styleId="Hyperlink">
    <w:name w:val="Hyperlink"/>
    <w:basedOn w:val="DefaultParagraphFont"/>
    <w:uiPriority w:val="99"/>
    <w:unhideWhenUsed/>
    <w:rsid w:val="005117C7"/>
    <w:rPr>
      <w:color w:val="0000FF" w:themeColor="hyperlink"/>
      <w:u w:val="single"/>
    </w:rPr>
  </w:style>
  <w:style w:type="character" w:customStyle="1" w:styleId="UnresolvedMention1">
    <w:name w:val="Unresolved Mention1"/>
    <w:basedOn w:val="DefaultParagraphFont"/>
    <w:uiPriority w:val="99"/>
    <w:semiHidden/>
    <w:unhideWhenUsed/>
    <w:rsid w:val="005117C7"/>
    <w:rPr>
      <w:color w:val="605E5C"/>
      <w:shd w:val="clear" w:color="auto" w:fill="E1DFDD"/>
    </w:rPr>
  </w:style>
  <w:style w:type="character" w:styleId="CommentReference">
    <w:name w:val="annotation reference"/>
    <w:basedOn w:val="DefaultParagraphFont"/>
    <w:uiPriority w:val="99"/>
    <w:semiHidden/>
    <w:unhideWhenUsed/>
    <w:rsid w:val="005117C7"/>
    <w:rPr>
      <w:sz w:val="16"/>
      <w:szCs w:val="16"/>
    </w:rPr>
  </w:style>
  <w:style w:type="paragraph" w:styleId="CommentText">
    <w:name w:val="annotation text"/>
    <w:basedOn w:val="Normal"/>
    <w:link w:val="CommentTextChar"/>
    <w:uiPriority w:val="99"/>
    <w:semiHidden/>
    <w:unhideWhenUsed/>
    <w:rsid w:val="005117C7"/>
    <w:pPr>
      <w:spacing w:line="240" w:lineRule="auto"/>
    </w:pPr>
    <w:rPr>
      <w:sz w:val="20"/>
      <w:szCs w:val="20"/>
    </w:rPr>
  </w:style>
  <w:style w:type="character" w:customStyle="1" w:styleId="CommentTextChar">
    <w:name w:val="Comment Text Char"/>
    <w:basedOn w:val="DefaultParagraphFont"/>
    <w:link w:val="CommentText"/>
    <w:uiPriority w:val="99"/>
    <w:semiHidden/>
    <w:rsid w:val="005117C7"/>
    <w:rPr>
      <w:sz w:val="20"/>
      <w:szCs w:val="20"/>
    </w:rPr>
  </w:style>
  <w:style w:type="paragraph" w:styleId="CommentSubject">
    <w:name w:val="annotation subject"/>
    <w:basedOn w:val="CommentText"/>
    <w:next w:val="CommentText"/>
    <w:link w:val="CommentSubjectChar"/>
    <w:uiPriority w:val="99"/>
    <w:semiHidden/>
    <w:unhideWhenUsed/>
    <w:rsid w:val="005117C7"/>
    <w:rPr>
      <w:b/>
      <w:bCs/>
    </w:rPr>
  </w:style>
  <w:style w:type="character" w:customStyle="1" w:styleId="CommentSubjectChar">
    <w:name w:val="Comment Subject Char"/>
    <w:basedOn w:val="CommentTextChar"/>
    <w:link w:val="CommentSubject"/>
    <w:uiPriority w:val="99"/>
    <w:semiHidden/>
    <w:rsid w:val="005117C7"/>
    <w:rPr>
      <w:b/>
      <w:bCs/>
      <w:sz w:val="20"/>
      <w:szCs w:val="20"/>
    </w:rPr>
  </w:style>
  <w:style w:type="character" w:styleId="FollowedHyperlink">
    <w:name w:val="FollowedHyperlink"/>
    <w:basedOn w:val="DefaultParagraphFont"/>
    <w:uiPriority w:val="99"/>
    <w:semiHidden/>
    <w:unhideWhenUsed/>
    <w:rsid w:val="00A60ED0"/>
    <w:rPr>
      <w:color w:val="800080" w:themeColor="followedHyperlink"/>
      <w:u w:val="single"/>
    </w:rPr>
  </w:style>
  <w:style w:type="character" w:styleId="UnresolvedMention">
    <w:name w:val="Unresolved Mention"/>
    <w:basedOn w:val="DefaultParagraphFont"/>
    <w:uiPriority w:val="99"/>
    <w:rsid w:val="00D872ED"/>
    <w:rPr>
      <w:color w:val="605E5C"/>
      <w:shd w:val="clear" w:color="auto" w:fill="E1DFDD"/>
    </w:rPr>
  </w:style>
  <w:style w:type="paragraph" w:styleId="Header">
    <w:name w:val="header"/>
    <w:basedOn w:val="Normal"/>
    <w:link w:val="HeaderChar"/>
    <w:uiPriority w:val="99"/>
    <w:unhideWhenUsed/>
    <w:rsid w:val="00566361"/>
    <w:pPr>
      <w:tabs>
        <w:tab w:val="center" w:pos="4513"/>
        <w:tab w:val="right" w:pos="9026"/>
      </w:tabs>
      <w:spacing w:line="240" w:lineRule="auto"/>
    </w:pPr>
  </w:style>
  <w:style w:type="character" w:customStyle="1" w:styleId="HeaderChar">
    <w:name w:val="Header Char"/>
    <w:basedOn w:val="DefaultParagraphFont"/>
    <w:link w:val="Header"/>
    <w:uiPriority w:val="99"/>
    <w:rsid w:val="00566361"/>
  </w:style>
  <w:style w:type="paragraph" w:styleId="Footer">
    <w:name w:val="footer"/>
    <w:basedOn w:val="Normal"/>
    <w:link w:val="FooterChar"/>
    <w:uiPriority w:val="99"/>
    <w:unhideWhenUsed/>
    <w:rsid w:val="00566361"/>
    <w:pPr>
      <w:tabs>
        <w:tab w:val="center" w:pos="4513"/>
        <w:tab w:val="right" w:pos="9026"/>
      </w:tabs>
      <w:spacing w:line="240" w:lineRule="auto"/>
    </w:pPr>
  </w:style>
  <w:style w:type="character" w:customStyle="1" w:styleId="FooterChar">
    <w:name w:val="Footer Char"/>
    <w:basedOn w:val="DefaultParagraphFont"/>
    <w:link w:val="Footer"/>
    <w:uiPriority w:val="99"/>
    <w:rsid w:val="005663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protect.checkpoint.com/v2/r02/___https://www.cadmusjournal.org/node/742___.YzJlOnVsc3RlcnVuaXZlcnNpdHk6YzpvOjNiNmUzNTc1MjMxYTI3YjkzNjY1MGM0Y2E3YWRhMDIyOjc6ZDJlZjpmNjY4OTA1MzJiOWIwNjA1N2YwYzQ1MmJiOWM0MGEzMTkyODVkODQ5YTEyNTQ2NjUyNDUyNmU0ZTc4ZmQ5ZjcxOnA6VDpO" TargetMode="External"/><Relationship Id="rId18" Type="http://schemas.openxmlformats.org/officeDocument/2006/relationships/hyperlink" Target="https://protect.checkpoint.com/v2/r02/___https://www.idsa.org/education-paper/using-design-fiction-to-teach-ethics-in-design/___.YzJlOnVsc3RlcnVuaXZlcnNpdHk6YzpvOjNiNmUzNTc1MjMxYTI3YjkzNjY1MGM0Y2E3YWRhMDIyOjc6NjE2Yjo3ZTQ1MmQ5M2JlZjc3NWMzYTFkZGU1MWFmMThlOGRkMjE2OTkxYTM0MzgwZGYwZTQ3ZGMzMTE4Zjc1NTJjNmE2OnA6VDpO" TargetMode="External"/><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hyperlink" Target="https://protect.checkpoint.com/v2/r02/___https://doi.org/10.1007/s11097-020-09701-2___.YzJlOnVsc3RlcnVuaXZlcnNpdHk6YzpvOjNiNmUzNTc1MjMxYTI3YjkzNjY1MGM0Y2E3YWRhMDIyOjc6YTQ3ODphMDUwMGVhZWViM2MwOGJlMDE2ZWJhYTJhOGY3NmFiZDJjZDlkODM1M2EyNDU5OTMyNDEyZjhkY2Y3MWNhYzI1OnA6VDpO" TargetMode="External"/><Relationship Id="rId7" Type="http://schemas.openxmlformats.org/officeDocument/2006/relationships/hyperlink" Target="mailto:melbrown@aup.ac.uk" TargetMode="External"/><Relationship Id="rId12" Type="http://schemas.openxmlformats.org/officeDocument/2006/relationships/hyperlink" Target="https://protect.checkpoint.com/v2/r02/___https://doi.org/10.21606/drs_lxd2021.07.233___.YzJlOnVsc3RlcnVuaXZlcnNpdHk6YzpvOjNiNmUzNTc1MjMxYTI3YjkzNjY1MGM0Y2E3YWRhMDIyOjc6MWM3NDo4MjRjMTBkMGU5MjYyZGU3MmQyODY1NGE0ODdkMDY1NTBhNTJhNWQ1ODY1MmE3ZWMwNzk1MThhNTI4MDFlYjQ2OnA6VDpO" TargetMode="External"/><Relationship Id="rId17" Type="http://schemas.openxmlformats.org/officeDocument/2006/relationships/hyperlink" Target="https://protect.checkpoint.com/v2/r02/___https://www.idsa.org/educationpaper/using-design-fiction-teach-ethics-design___.YzJlOnVsc3RlcnVuaXZlcnNpdHk6YzpvOjNiNmUzNTc1MjMxYTI3YjkzNjY1MGM0Y2E3YWRhMDIyOjc6YTkxNzplOTg4M2IxOGZiZjBmY2IyNjg0Nzk3NTM1ODExOWI5NjFmZWRjMjk1MWYzNDY5YzZiNGFjZTIyYTU1M2RjMzc4OnA6VDpO" TargetMode="External"/><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hyperlink" Target="https://protect.checkpoint.com/v2/r02/___https://www.advance-he.ac.uk/knowledge-hub/education-sustainable-development-guidance___.YzJlOnVsc3RlcnVuaXZlcnNpdHk6YzpvOjNiNmUzNTc1MjMxYTI3YjkzNjY1MGM0Y2E3YWRhMDIyOjc6ZDJlYzo5MzU4YjdlOWJhNzMyODk5ZDhkZGQwNjU4ZThkZDA1ZTczNTk4MzJjZmM2YTVhM2UxM2ZmOTAxN2U3ZWIzZTAzOnA6VDpO" TargetMode="External"/><Relationship Id="rId20" Type="http://schemas.openxmlformats.org/officeDocument/2006/relationships/hyperlink" Target="https://protect.checkpoint.com/v2/r02/___https://sdgs.un.org/goals___.YzJlOnVsc3RlcnVuaXZlcnNpdHk6YzpvOjNiNmUzNTc1MjMxYTI3YjkzNjY1MGM0Y2E3YWRhMDIyOjc6ZjZhODozNjgwMjdkZjhjMmQ5N2NlNDVjZGYyNDQxNGM0NjgzOTQxMDcyOGU4NjYxZTE4NTU1MWNkOWJjNTM1MzdlMTMwOnA6VDpO"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protect.checkpoint.com/v2/r02/___https://doi.org/10.21606/drs.2020.229___.YzJlOnVsc3RlcnVuaXZlcnNpdHk6YzpvOjNiNmUzNTc1MjMxYTI3YjkzNjY1MGM0Y2E3YWRhMDIyOjc6ZWQ4MTo3NTY4M2NlMDcwYTA1YmRhMGUzM2FhMDgwYzA4OWI5ODg4N2I5Yzk1ZDk5OTM4YTVlYWNlMWYzODE3MmE1ZWM1OnA6VDpO" TargetMode="External"/><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protect.checkpoint.com/v2/r02/___https://www.thersa.org/videos/rsa-animate-the-power-of-outrospection/___.YzJlOnVsc3RlcnVuaXZlcnNpdHk6YzpvOjNiNmUzNTc1MjMxYTI3YjkzNjY1MGM0Y2E3YWRhMDIyOjc6MDBhYjpjZWY3OGFhZTQ1ODUxM2EyYmU1YWNmYTRiMWIzZTI1MjcwNGE2NDY1NWMyNjcxYjNhM2ZlYWQ0NTcwNWQ2MWJmOnA6VDpO" TargetMode="External"/><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protect.checkpoint.com/v2/r02/___https://www.uca.ac.uk/about-us/environment-and-sustainability/teaching/___.YzJlOnVsc3RlcnVuaXZlcnNpdHk6YzpvOjNiNmUzNTc1MjMxYTI3YjkzNjY1MGM0Y2E3YWRhMDIyOjc6MzUyYzpiZTY5ODE4MGJhOTBkYjVhYzkxYTBlOGQ5NDM1MjRjMWZhNzA3OTFkZDAyNTdjNGZhM2YzNTA3MTM0NTczNDIzOnA6VDpO"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protect.checkpoint.com/v2/r02/___https://www.aup.ac.uk/posts/creative-education-for-a-changing-world___.YzJlOnVsc3RlcnVuaXZlcnNpdHk6YzpvOjNiNmUzNTc1MjMxYTI3YjkzNjY1MGM0Y2E3YWRhMDIyOjc6ODc2Yjo0OWE1ZjkzNjc4YTNkYjBjYzdkYWFlNGI3MmQ3OTA0ZTMwYjRlMjMxZmZlMjE5NTkxMGQ3OWI5MDhmM2U2YWQzOnA6VDpO" TargetMode="External"/><Relationship Id="rId22" Type="http://schemas.openxmlformats.org/officeDocument/2006/relationships/header" Target="header1.xml"/><Relationship Id="rId27" Type="http://schemas.openxmlformats.org/officeDocument/2006/relationships/footer" Target="footer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2</Pages>
  <Words>6632</Words>
  <Characters>37407</Characters>
  <Application>Microsoft Office Word</Application>
  <DocSecurity>0</DocSecurity>
  <Lines>680</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Christopher Little</cp:lastModifiedBy>
  <cp:revision>14</cp:revision>
  <cp:lastPrinted>2025-04-04T12:00:00Z</cp:lastPrinted>
  <dcterms:created xsi:type="dcterms:W3CDTF">2025-04-05T19:28:00Z</dcterms:created>
  <dcterms:modified xsi:type="dcterms:W3CDTF">2025-07-21T11:16:00Z</dcterms:modified>
</cp:coreProperties>
</file>