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EEB" w:rsidRDefault="003D6B91" w:rsidP="00E24148">
      <w:pPr>
        <w:spacing w:line="240" w:lineRule="auto"/>
        <w:rPr>
          <w:rStyle w:val="BookTitle"/>
          <w:rFonts w:ascii="Tahoma" w:hAnsi="Tahoma" w:cs="Tahoma"/>
          <w:i w:val="0"/>
          <w:sz w:val="32"/>
        </w:rPr>
      </w:pPr>
      <w:bookmarkStart w:id="0" w:name="_GoBack"/>
      <w:bookmarkEnd w:id="0"/>
      <w:r>
        <w:rPr>
          <w:rStyle w:val="BookTitle"/>
          <w:rFonts w:ascii="Tahoma" w:hAnsi="Tahoma" w:cs="Tahoma"/>
          <w:i w:val="0"/>
          <w:sz w:val="32"/>
        </w:rPr>
        <w:t xml:space="preserve">Student Transition into Higher Education: Exploring </w:t>
      </w:r>
      <w:r w:rsidR="00BE4016" w:rsidRPr="00207086">
        <w:rPr>
          <w:rStyle w:val="BookTitle"/>
          <w:rFonts w:ascii="Tahoma" w:hAnsi="Tahoma" w:cs="Tahoma"/>
          <w:i w:val="0"/>
          <w:sz w:val="32"/>
        </w:rPr>
        <w:t xml:space="preserve">BTEC </w:t>
      </w:r>
      <w:r w:rsidR="00A844DF" w:rsidRPr="00207086">
        <w:rPr>
          <w:rStyle w:val="BookTitle"/>
          <w:rFonts w:ascii="Tahoma" w:hAnsi="Tahoma" w:cs="Tahoma"/>
          <w:i w:val="0"/>
          <w:sz w:val="32"/>
        </w:rPr>
        <w:t>Sport</w:t>
      </w:r>
      <w:r w:rsidR="006F7742" w:rsidRPr="00207086">
        <w:rPr>
          <w:rStyle w:val="BookTitle"/>
          <w:rFonts w:ascii="Tahoma" w:hAnsi="Tahoma" w:cs="Tahoma"/>
          <w:i w:val="0"/>
          <w:sz w:val="32"/>
        </w:rPr>
        <w:t xml:space="preserve"> and Exercise Students </w:t>
      </w:r>
      <w:r w:rsidR="00BE4016" w:rsidRPr="00207086">
        <w:rPr>
          <w:rStyle w:val="BookTitle"/>
          <w:rFonts w:ascii="Tahoma" w:hAnsi="Tahoma" w:cs="Tahoma"/>
          <w:i w:val="0"/>
          <w:sz w:val="32"/>
        </w:rPr>
        <w:t xml:space="preserve">Forthcoming Transition to </w:t>
      </w:r>
      <w:r w:rsidR="008C60BD" w:rsidRPr="00207086">
        <w:rPr>
          <w:rStyle w:val="BookTitle"/>
          <w:rFonts w:ascii="Tahoma" w:hAnsi="Tahoma" w:cs="Tahoma"/>
          <w:i w:val="0"/>
          <w:sz w:val="32"/>
        </w:rPr>
        <w:t xml:space="preserve">Higher Education </w:t>
      </w:r>
      <w:r w:rsidR="00FD4E70">
        <w:rPr>
          <w:rStyle w:val="BookTitle"/>
          <w:rFonts w:ascii="Tahoma" w:hAnsi="Tahoma" w:cs="Tahoma"/>
          <w:i w:val="0"/>
          <w:sz w:val="32"/>
        </w:rPr>
        <w:t>Taught</w:t>
      </w:r>
      <w:r w:rsidR="008C60BD" w:rsidRPr="00207086">
        <w:rPr>
          <w:rStyle w:val="BookTitle"/>
          <w:rFonts w:ascii="Tahoma" w:hAnsi="Tahoma" w:cs="Tahoma"/>
          <w:i w:val="0"/>
          <w:sz w:val="32"/>
        </w:rPr>
        <w:t xml:space="preserve"> </w:t>
      </w:r>
      <w:r w:rsidR="00FD4E70">
        <w:rPr>
          <w:rStyle w:val="BookTitle"/>
          <w:rFonts w:ascii="Tahoma" w:hAnsi="Tahoma" w:cs="Tahoma"/>
          <w:i w:val="0"/>
          <w:sz w:val="32"/>
        </w:rPr>
        <w:t>with</w:t>
      </w:r>
      <w:r w:rsidR="00BE4016" w:rsidRPr="00207086">
        <w:rPr>
          <w:rStyle w:val="BookTitle"/>
          <w:rFonts w:ascii="Tahoma" w:hAnsi="Tahoma" w:cs="Tahoma"/>
          <w:i w:val="0"/>
          <w:sz w:val="32"/>
        </w:rPr>
        <w:t xml:space="preserve">in a Further Education </w:t>
      </w:r>
      <w:r w:rsidR="00600425">
        <w:rPr>
          <w:rStyle w:val="BookTitle"/>
          <w:rFonts w:ascii="Tahoma" w:hAnsi="Tahoma" w:cs="Tahoma"/>
          <w:i w:val="0"/>
          <w:sz w:val="32"/>
        </w:rPr>
        <w:t>Setting</w:t>
      </w:r>
    </w:p>
    <w:p w:rsidR="004557FA" w:rsidRDefault="004557FA" w:rsidP="00E24148">
      <w:pPr>
        <w:spacing w:line="240" w:lineRule="auto"/>
        <w:rPr>
          <w:rStyle w:val="BookTitle"/>
          <w:rFonts w:ascii="Tahoma" w:hAnsi="Tahoma" w:cs="Tahoma"/>
          <w:i w:val="0"/>
          <w:sz w:val="28"/>
          <w:szCs w:val="28"/>
        </w:rPr>
      </w:pPr>
    </w:p>
    <w:p w:rsidR="004557FA" w:rsidRDefault="003D6B91" w:rsidP="00E24148">
      <w:pPr>
        <w:spacing w:line="240" w:lineRule="auto"/>
        <w:rPr>
          <w:rStyle w:val="BookTitle"/>
          <w:rFonts w:ascii="Tahoma" w:hAnsi="Tahoma" w:cs="Tahoma"/>
          <w:i w:val="0"/>
          <w:sz w:val="28"/>
          <w:szCs w:val="28"/>
        </w:rPr>
      </w:pPr>
      <w:r>
        <w:rPr>
          <w:rStyle w:val="BookTitle"/>
          <w:rFonts w:ascii="Tahoma" w:hAnsi="Tahoma" w:cs="Tahoma"/>
          <w:i w:val="0"/>
          <w:sz w:val="28"/>
          <w:szCs w:val="28"/>
        </w:rPr>
        <w:t>Ashley Gill</w:t>
      </w:r>
    </w:p>
    <w:p w:rsidR="004557FA" w:rsidRDefault="004557FA" w:rsidP="00E24148">
      <w:pPr>
        <w:spacing w:line="240" w:lineRule="auto"/>
        <w:rPr>
          <w:rStyle w:val="BookTitle"/>
          <w:rFonts w:ascii="Tahoma" w:hAnsi="Tahoma" w:cs="Tahoma"/>
          <w:b w:val="0"/>
          <w:i w:val="0"/>
          <w:sz w:val="24"/>
          <w:szCs w:val="24"/>
        </w:rPr>
      </w:pPr>
    </w:p>
    <w:p w:rsidR="004557FA" w:rsidRDefault="003D6B91" w:rsidP="00E24148">
      <w:pPr>
        <w:spacing w:line="240" w:lineRule="auto"/>
        <w:rPr>
          <w:rStyle w:val="BookTitle"/>
          <w:rFonts w:ascii="Tahoma" w:hAnsi="Tahoma" w:cs="Tahoma"/>
          <w:b w:val="0"/>
          <w:i w:val="0"/>
          <w:sz w:val="24"/>
          <w:szCs w:val="24"/>
        </w:rPr>
      </w:pPr>
      <w:r>
        <w:rPr>
          <w:rStyle w:val="BookTitle"/>
          <w:rFonts w:ascii="Tahoma" w:hAnsi="Tahoma" w:cs="Tahoma"/>
          <w:b w:val="0"/>
          <w:i w:val="0"/>
          <w:sz w:val="24"/>
          <w:szCs w:val="24"/>
        </w:rPr>
        <w:t>Staffordshire University</w:t>
      </w:r>
    </w:p>
    <w:p w:rsidR="004557FA" w:rsidRDefault="004557FA" w:rsidP="00E24148">
      <w:pPr>
        <w:spacing w:line="240" w:lineRule="auto"/>
        <w:rPr>
          <w:rStyle w:val="BookTitle"/>
          <w:rFonts w:ascii="Tahoma" w:hAnsi="Tahoma" w:cs="Tahoma"/>
          <w:b w:val="0"/>
          <w:i w:val="0"/>
          <w:sz w:val="24"/>
          <w:szCs w:val="24"/>
        </w:rPr>
      </w:pPr>
    </w:p>
    <w:p w:rsidR="004557FA" w:rsidRPr="004557FA" w:rsidRDefault="003D6B91" w:rsidP="00E24148">
      <w:pPr>
        <w:spacing w:line="240" w:lineRule="auto"/>
        <w:rPr>
          <w:rStyle w:val="BookTitle"/>
          <w:rFonts w:ascii="Tahoma" w:hAnsi="Tahoma" w:cs="Tahoma"/>
          <w:b w:val="0"/>
          <w:i w:val="0"/>
          <w:sz w:val="24"/>
          <w:szCs w:val="24"/>
        </w:rPr>
      </w:pPr>
      <w:r>
        <w:rPr>
          <w:rStyle w:val="BookTitle"/>
          <w:rFonts w:ascii="Tahoma" w:hAnsi="Tahoma" w:cs="Tahoma"/>
          <w:b w:val="0"/>
          <w:i w:val="0"/>
          <w:sz w:val="24"/>
          <w:szCs w:val="24"/>
        </w:rPr>
        <w:t xml:space="preserve">Corresponding Author: </w:t>
      </w:r>
      <w:hyperlink r:id="rId7" w:history="1">
        <w:r w:rsidRPr="00563A7B">
          <w:rPr>
            <w:rStyle w:val="Hyperlink"/>
            <w:rFonts w:ascii="Tahoma" w:hAnsi="Tahoma" w:cs="Tahoma"/>
            <w:spacing w:val="5"/>
            <w:sz w:val="24"/>
            <w:szCs w:val="24"/>
          </w:rPr>
          <w:t>Ashley.Gill1@Staffs.ac.uk</w:t>
        </w:r>
      </w:hyperlink>
      <w:r>
        <w:rPr>
          <w:rStyle w:val="BookTitle"/>
          <w:rFonts w:ascii="Tahoma" w:hAnsi="Tahoma" w:cs="Tahoma"/>
          <w:b w:val="0"/>
          <w:i w:val="0"/>
          <w:sz w:val="24"/>
          <w:szCs w:val="24"/>
        </w:rPr>
        <w:t xml:space="preserve"> </w:t>
      </w:r>
    </w:p>
    <w:p w:rsidR="004557FA" w:rsidRPr="00207086" w:rsidRDefault="004557FA" w:rsidP="00E24148">
      <w:pPr>
        <w:spacing w:line="240" w:lineRule="auto"/>
        <w:rPr>
          <w:rStyle w:val="BookTitle"/>
          <w:rFonts w:ascii="Tahoma" w:hAnsi="Tahoma" w:cs="Tahoma"/>
          <w:i w:val="0"/>
          <w:sz w:val="32"/>
        </w:rPr>
      </w:pPr>
    </w:p>
    <w:p w:rsidR="00EF5EEB" w:rsidRPr="004557FA" w:rsidRDefault="00EF5EEB" w:rsidP="0000178A">
      <w:pPr>
        <w:spacing w:line="240" w:lineRule="auto"/>
        <w:jc w:val="both"/>
        <w:rPr>
          <w:rFonts w:ascii="Tahoma" w:hAnsi="Tahoma" w:cs="Tahoma"/>
          <w:b/>
          <w:sz w:val="24"/>
          <w:szCs w:val="24"/>
        </w:rPr>
      </w:pPr>
      <w:r w:rsidRPr="004557FA">
        <w:rPr>
          <w:rFonts w:ascii="Tahoma" w:hAnsi="Tahoma" w:cs="Tahoma"/>
          <w:b/>
          <w:sz w:val="24"/>
          <w:szCs w:val="24"/>
        </w:rPr>
        <w:t>Abstract</w:t>
      </w:r>
    </w:p>
    <w:p w:rsidR="00EF5EEB" w:rsidRPr="004557FA" w:rsidRDefault="006E2A4B" w:rsidP="00F452EC">
      <w:pPr>
        <w:spacing w:line="240" w:lineRule="auto"/>
        <w:rPr>
          <w:rFonts w:ascii="Tahoma" w:hAnsi="Tahoma" w:cs="Tahoma"/>
          <w:i/>
        </w:rPr>
      </w:pPr>
      <w:r w:rsidRPr="004557FA">
        <w:rPr>
          <w:rFonts w:ascii="Tahoma" w:hAnsi="Tahoma" w:cs="Tahoma"/>
          <w:i/>
        </w:rPr>
        <w:t xml:space="preserve">As of </w:t>
      </w:r>
      <w:r w:rsidR="003816A7" w:rsidRPr="004557FA">
        <w:rPr>
          <w:rFonts w:ascii="Tahoma" w:hAnsi="Tahoma" w:cs="Tahoma"/>
          <w:i/>
        </w:rPr>
        <w:t>March 2017,</w:t>
      </w:r>
      <w:r w:rsidR="00FD4E70">
        <w:rPr>
          <w:rFonts w:ascii="Tahoma" w:hAnsi="Tahoma" w:cs="Tahoma"/>
          <w:i/>
        </w:rPr>
        <w:t xml:space="preserve"> </w:t>
      </w:r>
      <w:r w:rsidR="007B28BE" w:rsidRPr="004557FA">
        <w:rPr>
          <w:rFonts w:ascii="Tahoma" w:hAnsi="Tahoma" w:cs="Tahoma"/>
          <w:i/>
        </w:rPr>
        <w:t>241</w:t>
      </w:r>
      <w:r w:rsidR="00A8181C" w:rsidRPr="004557FA">
        <w:rPr>
          <w:rFonts w:ascii="Tahoma" w:hAnsi="Tahoma" w:cs="Tahoma"/>
          <w:i/>
        </w:rPr>
        <w:t xml:space="preserve"> </w:t>
      </w:r>
      <w:r w:rsidR="00885500">
        <w:rPr>
          <w:rFonts w:ascii="Tahoma" w:hAnsi="Tahoma" w:cs="Tahoma"/>
          <w:i/>
        </w:rPr>
        <w:t>Further Education (</w:t>
      </w:r>
      <w:r w:rsidR="00BF4275" w:rsidRPr="004557FA">
        <w:rPr>
          <w:rFonts w:ascii="Tahoma" w:hAnsi="Tahoma" w:cs="Tahoma"/>
          <w:i/>
        </w:rPr>
        <w:t>FE</w:t>
      </w:r>
      <w:r w:rsidR="00885500">
        <w:rPr>
          <w:rFonts w:ascii="Tahoma" w:hAnsi="Tahoma" w:cs="Tahoma"/>
          <w:i/>
        </w:rPr>
        <w:t>) colleges</w:t>
      </w:r>
      <w:r w:rsidR="00A8181C" w:rsidRPr="004557FA">
        <w:rPr>
          <w:rFonts w:ascii="Tahoma" w:hAnsi="Tahoma" w:cs="Tahoma"/>
          <w:i/>
        </w:rPr>
        <w:t xml:space="preserve"> </w:t>
      </w:r>
      <w:r w:rsidR="00771F58" w:rsidRPr="004557FA">
        <w:rPr>
          <w:rFonts w:ascii="Tahoma" w:hAnsi="Tahoma" w:cs="Tahoma"/>
          <w:i/>
        </w:rPr>
        <w:t xml:space="preserve">were </w:t>
      </w:r>
      <w:r w:rsidRPr="004557FA">
        <w:rPr>
          <w:rFonts w:ascii="Tahoma" w:hAnsi="Tahoma" w:cs="Tahoma"/>
          <w:i/>
        </w:rPr>
        <w:t>delivering H</w:t>
      </w:r>
      <w:r w:rsidR="00600425">
        <w:rPr>
          <w:rFonts w:ascii="Tahoma" w:hAnsi="Tahoma" w:cs="Tahoma"/>
          <w:i/>
        </w:rPr>
        <w:t xml:space="preserve">igher </w:t>
      </w:r>
      <w:r w:rsidRPr="004557FA">
        <w:rPr>
          <w:rFonts w:ascii="Tahoma" w:hAnsi="Tahoma" w:cs="Tahoma"/>
          <w:i/>
        </w:rPr>
        <w:t>E</w:t>
      </w:r>
      <w:r w:rsidR="00600425">
        <w:rPr>
          <w:rFonts w:ascii="Tahoma" w:hAnsi="Tahoma" w:cs="Tahoma"/>
          <w:i/>
        </w:rPr>
        <w:t>ducation (HE)</w:t>
      </w:r>
      <w:r w:rsidRPr="004557FA">
        <w:rPr>
          <w:rFonts w:ascii="Tahoma" w:hAnsi="Tahoma" w:cs="Tahoma"/>
          <w:i/>
        </w:rPr>
        <w:t xml:space="preserve"> qualifications</w:t>
      </w:r>
      <w:r w:rsidR="00DA3AA4" w:rsidRPr="004557FA">
        <w:rPr>
          <w:rFonts w:ascii="Tahoma" w:hAnsi="Tahoma" w:cs="Tahoma"/>
          <w:i/>
        </w:rPr>
        <w:t>,</w:t>
      </w:r>
      <w:r w:rsidR="003816A7" w:rsidRPr="004557FA">
        <w:rPr>
          <w:rFonts w:ascii="Tahoma" w:hAnsi="Tahoma" w:cs="Tahoma"/>
          <w:i/>
        </w:rPr>
        <w:t xml:space="preserve"> with</w:t>
      </w:r>
      <w:r w:rsidR="00A8181C" w:rsidRPr="004557FA">
        <w:rPr>
          <w:rFonts w:ascii="Tahoma" w:hAnsi="Tahoma" w:cs="Tahoma"/>
          <w:i/>
        </w:rPr>
        <w:t xml:space="preserve"> </w:t>
      </w:r>
      <w:r w:rsidR="00DA3AA4" w:rsidRPr="004557FA">
        <w:rPr>
          <w:rFonts w:ascii="Tahoma" w:hAnsi="Tahoma" w:cs="Tahoma"/>
          <w:i/>
        </w:rPr>
        <w:t>t</w:t>
      </w:r>
      <w:r w:rsidRPr="004557FA">
        <w:rPr>
          <w:rFonts w:ascii="Tahoma" w:hAnsi="Tahoma" w:cs="Tahoma"/>
          <w:i/>
        </w:rPr>
        <w:t>he majority of students enrolled on courses such as F</w:t>
      </w:r>
      <w:r w:rsidR="00FD4E70">
        <w:rPr>
          <w:rFonts w:ascii="Tahoma" w:hAnsi="Tahoma" w:cs="Tahoma"/>
          <w:i/>
        </w:rPr>
        <w:t xml:space="preserve">oundation </w:t>
      </w:r>
      <w:r w:rsidRPr="004557FA">
        <w:rPr>
          <w:rFonts w:ascii="Tahoma" w:hAnsi="Tahoma" w:cs="Tahoma"/>
          <w:i/>
        </w:rPr>
        <w:t>D</w:t>
      </w:r>
      <w:r w:rsidR="00885500">
        <w:rPr>
          <w:rFonts w:ascii="Tahoma" w:hAnsi="Tahoma" w:cs="Tahoma"/>
          <w:i/>
        </w:rPr>
        <w:t>egree</w:t>
      </w:r>
      <w:r w:rsidRPr="004557FA">
        <w:rPr>
          <w:rFonts w:ascii="Tahoma" w:hAnsi="Tahoma" w:cs="Tahoma"/>
          <w:i/>
        </w:rPr>
        <w:t>s</w:t>
      </w:r>
      <w:r w:rsidR="00FD4E70">
        <w:rPr>
          <w:rFonts w:ascii="Tahoma" w:hAnsi="Tahoma" w:cs="Tahoma"/>
          <w:i/>
        </w:rPr>
        <w:t xml:space="preserve"> (FDs)</w:t>
      </w:r>
      <w:r w:rsidR="002E1405" w:rsidRPr="004557FA">
        <w:rPr>
          <w:rFonts w:ascii="Tahoma" w:hAnsi="Tahoma" w:cs="Tahoma"/>
          <w:i/>
        </w:rPr>
        <w:t>.</w:t>
      </w:r>
      <w:r w:rsidR="00A8181C" w:rsidRPr="004557FA">
        <w:rPr>
          <w:rFonts w:ascii="Tahoma" w:hAnsi="Tahoma" w:cs="Tahoma"/>
          <w:i/>
        </w:rPr>
        <w:t xml:space="preserve"> </w:t>
      </w:r>
      <w:r w:rsidR="00815211" w:rsidRPr="004557FA">
        <w:rPr>
          <w:rFonts w:ascii="Tahoma" w:hAnsi="Tahoma" w:cs="Tahoma"/>
          <w:i/>
        </w:rPr>
        <w:t>FDs</w:t>
      </w:r>
      <w:r w:rsidR="00A8181C" w:rsidRPr="004557FA">
        <w:rPr>
          <w:rFonts w:ascii="Tahoma" w:hAnsi="Tahoma" w:cs="Tahoma"/>
          <w:i/>
        </w:rPr>
        <w:t xml:space="preserve"> </w:t>
      </w:r>
      <w:r w:rsidR="00201E9C" w:rsidRPr="004557FA">
        <w:rPr>
          <w:rFonts w:ascii="Tahoma" w:hAnsi="Tahoma" w:cs="Tahoma"/>
          <w:i/>
        </w:rPr>
        <w:t>prove to</w:t>
      </w:r>
      <w:r w:rsidR="00A8181C" w:rsidRPr="004557FA">
        <w:rPr>
          <w:rFonts w:ascii="Tahoma" w:hAnsi="Tahoma" w:cs="Tahoma"/>
          <w:i/>
        </w:rPr>
        <w:t xml:space="preserve"> </w:t>
      </w:r>
      <w:r w:rsidR="00201E9C" w:rsidRPr="004557FA">
        <w:rPr>
          <w:rFonts w:ascii="Tahoma" w:hAnsi="Tahoma" w:cs="Tahoma"/>
          <w:i/>
        </w:rPr>
        <w:t xml:space="preserve">be </w:t>
      </w:r>
      <w:r w:rsidR="00B633D6" w:rsidRPr="004557FA">
        <w:rPr>
          <w:rFonts w:ascii="Tahoma" w:hAnsi="Tahoma" w:cs="Tahoma"/>
          <w:i/>
        </w:rPr>
        <w:t>a popular choice amongst those entering HE from non-traditional backgrounds</w:t>
      </w:r>
      <w:r w:rsidR="00DF3615" w:rsidRPr="004557FA">
        <w:rPr>
          <w:rFonts w:ascii="Tahoma" w:hAnsi="Tahoma" w:cs="Tahoma"/>
          <w:i/>
        </w:rPr>
        <w:t>.</w:t>
      </w:r>
      <w:r w:rsidR="00FD4E70">
        <w:rPr>
          <w:rFonts w:ascii="Tahoma" w:hAnsi="Tahoma" w:cs="Tahoma"/>
          <w:i/>
        </w:rPr>
        <w:t xml:space="preserve"> </w:t>
      </w:r>
      <w:r w:rsidR="00C80B12" w:rsidRPr="004557FA">
        <w:rPr>
          <w:rFonts w:ascii="Tahoma" w:hAnsi="Tahoma" w:cs="Tahoma"/>
          <w:i/>
        </w:rPr>
        <w:t>Consequently</w:t>
      </w:r>
      <w:r w:rsidR="0022371A" w:rsidRPr="004557FA">
        <w:rPr>
          <w:rFonts w:ascii="Tahoma" w:hAnsi="Tahoma" w:cs="Tahoma"/>
          <w:i/>
        </w:rPr>
        <w:t>, i</w:t>
      </w:r>
      <w:r w:rsidR="003105AE" w:rsidRPr="004557FA">
        <w:rPr>
          <w:rFonts w:ascii="Tahoma" w:hAnsi="Tahoma" w:cs="Tahoma"/>
          <w:i/>
        </w:rPr>
        <w:t xml:space="preserve">t </w:t>
      </w:r>
      <w:r w:rsidR="00DF3615" w:rsidRPr="004557FA">
        <w:rPr>
          <w:rFonts w:ascii="Tahoma" w:hAnsi="Tahoma" w:cs="Tahoma"/>
          <w:i/>
        </w:rPr>
        <w:t xml:space="preserve">is important that we explore and understand this student </w:t>
      </w:r>
      <w:r w:rsidR="00E50ACF" w:rsidRPr="004557FA">
        <w:rPr>
          <w:rFonts w:ascii="Tahoma" w:hAnsi="Tahoma" w:cs="Tahoma"/>
          <w:i/>
        </w:rPr>
        <w:t>demographic</w:t>
      </w:r>
      <w:r w:rsidR="00885500">
        <w:rPr>
          <w:rFonts w:ascii="Tahoma" w:hAnsi="Tahoma" w:cs="Tahoma"/>
          <w:i/>
        </w:rPr>
        <w:t>. T</w:t>
      </w:r>
      <w:r w:rsidR="0095689C" w:rsidRPr="004557FA">
        <w:rPr>
          <w:rFonts w:ascii="Tahoma" w:hAnsi="Tahoma" w:cs="Tahoma"/>
          <w:i/>
        </w:rPr>
        <w:t>he aim of this research is to explore BTEC Level 3 sport</w:t>
      </w:r>
      <w:r w:rsidR="00415F87">
        <w:rPr>
          <w:rFonts w:ascii="Tahoma" w:hAnsi="Tahoma" w:cs="Tahoma"/>
          <w:i/>
        </w:rPr>
        <w:t xml:space="preserve"> and exercise</w:t>
      </w:r>
      <w:r w:rsidR="0095689C" w:rsidRPr="004557FA">
        <w:rPr>
          <w:rFonts w:ascii="Tahoma" w:hAnsi="Tahoma" w:cs="Tahoma"/>
          <w:i/>
        </w:rPr>
        <w:t xml:space="preserve"> students</w:t>
      </w:r>
      <w:r w:rsidR="00EE0DA2">
        <w:rPr>
          <w:rFonts w:ascii="Tahoma" w:hAnsi="Tahoma" w:cs="Tahoma"/>
          <w:i/>
        </w:rPr>
        <w:t>’</w:t>
      </w:r>
      <w:r w:rsidR="0095689C" w:rsidRPr="004557FA">
        <w:rPr>
          <w:rFonts w:ascii="Tahoma" w:hAnsi="Tahoma" w:cs="Tahoma"/>
          <w:i/>
        </w:rPr>
        <w:t xml:space="preserve"> thoughts, feelings and perceptions on their forthcoming transition to </w:t>
      </w:r>
      <w:r w:rsidR="002C3308" w:rsidRPr="004557FA">
        <w:rPr>
          <w:rFonts w:ascii="Tahoma" w:hAnsi="Tahoma" w:cs="Tahoma"/>
          <w:i/>
        </w:rPr>
        <w:t>HE, delivered in a</w:t>
      </w:r>
      <w:r w:rsidR="00885500">
        <w:rPr>
          <w:rFonts w:ascii="Tahoma" w:hAnsi="Tahoma" w:cs="Tahoma"/>
          <w:i/>
        </w:rPr>
        <w:t>n</w:t>
      </w:r>
      <w:r w:rsidR="002C3308" w:rsidRPr="004557FA">
        <w:rPr>
          <w:rFonts w:ascii="Tahoma" w:hAnsi="Tahoma" w:cs="Tahoma"/>
          <w:i/>
        </w:rPr>
        <w:t xml:space="preserve"> </w:t>
      </w:r>
      <w:r w:rsidR="0095689C" w:rsidRPr="004557FA">
        <w:rPr>
          <w:rFonts w:ascii="Tahoma" w:hAnsi="Tahoma" w:cs="Tahoma"/>
          <w:i/>
        </w:rPr>
        <w:t>FE</w:t>
      </w:r>
      <w:r w:rsidR="002C3308" w:rsidRPr="004557FA">
        <w:rPr>
          <w:rFonts w:ascii="Tahoma" w:hAnsi="Tahoma" w:cs="Tahoma"/>
          <w:i/>
        </w:rPr>
        <w:t xml:space="preserve"> </w:t>
      </w:r>
      <w:r w:rsidR="00600425">
        <w:rPr>
          <w:rFonts w:ascii="Tahoma" w:hAnsi="Tahoma" w:cs="Tahoma"/>
          <w:i/>
        </w:rPr>
        <w:t>setting</w:t>
      </w:r>
      <w:r w:rsidR="0095689C" w:rsidRPr="004557FA">
        <w:rPr>
          <w:rFonts w:ascii="Tahoma" w:hAnsi="Tahoma" w:cs="Tahoma"/>
          <w:i/>
        </w:rPr>
        <w:t>.</w:t>
      </w:r>
      <w:r w:rsidR="00A8181C" w:rsidRPr="004557FA">
        <w:rPr>
          <w:rFonts w:ascii="Tahoma" w:hAnsi="Tahoma" w:cs="Tahoma"/>
          <w:i/>
        </w:rPr>
        <w:t xml:space="preserve"> T</w:t>
      </w:r>
      <w:r w:rsidR="003224CB" w:rsidRPr="004557FA">
        <w:rPr>
          <w:rFonts w:ascii="Tahoma" w:hAnsi="Tahoma" w:cs="Tahoma"/>
          <w:i/>
        </w:rPr>
        <w:t>he f</w:t>
      </w:r>
      <w:r w:rsidR="00F17C18" w:rsidRPr="004557FA">
        <w:rPr>
          <w:rFonts w:ascii="Tahoma" w:hAnsi="Tahoma" w:cs="Tahoma"/>
          <w:i/>
        </w:rPr>
        <w:t xml:space="preserve">indings identified three key themes: </w:t>
      </w:r>
      <w:r w:rsidR="00E14320" w:rsidRPr="004557FA">
        <w:rPr>
          <w:rFonts w:ascii="Tahoma" w:hAnsi="Tahoma" w:cs="Tahoma"/>
          <w:i/>
        </w:rPr>
        <w:t>differences are expected between the academic levels and students must make changes to meet the perceived demands</w:t>
      </w:r>
      <w:r w:rsidR="00F17C18" w:rsidRPr="004557FA">
        <w:rPr>
          <w:rFonts w:ascii="Tahoma" w:hAnsi="Tahoma" w:cs="Tahoma"/>
          <w:i/>
        </w:rPr>
        <w:t xml:space="preserve">; progressing to a </w:t>
      </w:r>
      <w:r w:rsidR="00B94E01" w:rsidRPr="004557FA">
        <w:rPr>
          <w:rFonts w:ascii="Tahoma" w:hAnsi="Tahoma" w:cs="Tahoma"/>
          <w:i/>
        </w:rPr>
        <w:t xml:space="preserve">FD </w:t>
      </w:r>
      <w:r w:rsidR="00F17C18" w:rsidRPr="004557FA">
        <w:rPr>
          <w:rFonts w:ascii="Tahoma" w:hAnsi="Tahoma" w:cs="Tahoma"/>
          <w:i/>
        </w:rPr>
        <w:t>is an anxious process and many barriers exist;</w:t>
      </w:r>
      <w:r w:rsidR="00A8181C" w:rsidRPr="004557FA">
        <w:rPr>
          <w:rFonts w:ascii="Tahoma" w:hAnsi="Tahoma" w:cs="Tahoma"/>
          <w:i/>
        </w:rPr>
        <w:t xml:space="preserve"> </w:t>
      </w:r>
      <w:r w:rsidR="001B7867" w:rsidRPr="004557FA">
        <w:rPr>
          <w:rFonts w:ascii="Tahoma" w:hAnsi="Tahoma" w:cs="Tahoma"/>
          <w:i/>
        </w:rPr>
        <w:t>student</w:t>
      </w:r>
      <w:r w:rsidR="00885500">
        <w:rPr>
          <w:rFonts w:ascii="Tahoma" w:hAnsi="Tahoma" w:cs="Tahoma"/>
          <w:i/>
        </w:rPr>
        <w:t>s</w:t>
      </w:r>
      <w:r w:rsidR="00E14320" w:rsidRPr="004557FA">
        <w:rPr>
          <w:rFonts w:ascii="Tahoma" w:hAnsi="Tahoma" w:cs="Tahoma"/>
          <w:i/>
        </w:rPr>
        <w:t xml:space="preserve"> progress onto FDs for a multitude of reasons. </w:t>
      </w:r>
      <w:r w:rsidR="00B53B70" w:rsidRPr="004557FA">
        <w:rPr>
          <w:rFonts w:ascii="Tahoma" w:hAnsi="Tahoma" w:cs="Tahoma"/>
          <w:i/>
        </w:rPr>
        <w:t>A series of</w:t>
      </w:r>
      <w:r w:rsidR="00A8181C" w:rsidRPr="004557FA">
        <w:rPr>
          <w:rFonts w:ascii="Tahoma" w:hAnsi="Tahoma" w:cs="Tahoma"/>
          <w:i/>
        </w:rPr>
        <w:t xml:space="preserve"> </w:t>
      </w:r>
      <w:r w:rsidR="00BD70A3" w:rsidRPr="004557FA">
        <w:rPr>
          <w:rFonts w:ascii="Tahoma" w:hAnsi="Tahoma" w:cs="Tahoma"/>
          <w:i/>
        </w:rPr>
        <w:t xml:space="preserve">recommendations and </w:t>
      </w:r>
      <w:r w:rsidR="002D554C" w:rsidRPr="004557FA">
        <w:rPr>
          <w:rFonts w:ascii="Tahoma" w:hAnsi="Tahoma" w:cs="Tahoma"/>
          <w:i/>
        </w:rPr>
        <w:t xml:space="preserve">guidelines </w:t>
      </w:r>
      <w:r w:rsidR="00B53B70" w:rsidRPr="004557FA">
        <w:rPr>
          <w:rFonts w:ascii="Tahoma" w:hAnsi="Tahoma" w:cs="Tahoma"/>
          <w:i/>
        </w:rPr>
        <w:t xml:space="preserve">have been </w:t>
      </w:r>
      <w:r w:rsidR="002D554C" w:rsidRPr="004557FA">
        <w:rPr>
          <w:rFonts w:ascii="Tahoma" w:hAnsi="Tahoma" w:cs="Tahoma"/>
          <w:i/>
        </w:rPr>
        <w:t>created</w:t>
      </w:r>
      <w:r w:rsidR="00407941" w:rsidRPr="004557FA">
        <w:rPr>
          <w:rFonts w:ascii="Tahoma" w:hAnsi="Tahoma" w:cs="Tahoma"/>
          <w:i/>
        </w:rPr>
        <w:t>,</w:t>
      </w:r>
      <w:r w:rsidR="00A8181C" w:rsidRPr="004557FA">
        <w:rPr>
          <w:rFonts w:ascii="Tahoma" w:hAnsi="Tahoma" w:cs="Tahoma"/>
          <w:i/>
        </w:rPr>
        <w:t xml:space="preserve"> </w:t>
      </w:r>
      <w:r w:rsidR="00D04288" w:rsidRPr="004557FA">
        <w:rPr>
          <w:rFonts w:ascii="Tahoma" w:hAnsi="Tahoma" w:cs="Tahoma"/>
          <w:i/>
        </w:rPr>
        <w:t>which</w:t>
      </w:r>
      <w:r w:rsidR="00BF44D6" w:rsidRPr="004557FA">
        <w:rPr>
          <w:rFonts w:ascii="Tahoma" w:hAnsi="Tahoma" w:cs="Tahoma"/>
          <w:i/>
        </w:rPr>
        <w:t xml:space="preserve"> enable </w:t>
      </w:r>
      <w:r w:rsidR="00A50BD3" w:rsidRPr="004557FA">
        <w:rPr>
          <w:rFonts w:ascii="Tahoma" w:hAnsi="Tahoma" w:cs="Tahoma"/>
          <w:i/>
        </w:rPr>
        <w:t>FE</w:t>
      </w:r>
      <w:r w:rsidR="00A8181C" w:rsidRPr="004557FA">
        <w:rPr>
          <w:rFonts w:ascii="Tahoma" w:hAnsi="Tahoma" w:cs="Tahoma"/>
          <w:i/>
        </w:rPr>
        <w:t xml:space="preserve"> </w:t>
      </w:r>
      <w:r w:rsidR="004E07A0" w:rsidRPr="004557FA">
        <w:rPr>
          <w:rFonts w:ascii="Tahoma" w:hAnsi="Tahoma" w:cs="Tahoma"/>
          <w:i/>
        </w:rPr>
        <w:t xml:space="preserve">organisations </w:t>
      </w:r>
      <w:r w:rsidR="00A50BD3" w:rsidRPr="004557FA">
        <w:rPr>
          <w:rFonts w:ascii="Tahoma" w:hAnsi="Tahoma" w:cs="Tahoma"/>
          <w:i/>
        </w:rPr>
        <w:t>to further support and improve</w:t>
      </w:r>
      <w:r w:rsidR="00BF44D6" w:rsidRPr="004557FA">
        <w:rPr>
          <w:rFonts w:ascii="Tahoma" w:hAnsi="Tahoma" w:cs="Tahoma"/>
          <w:i/>
        </w:rPr>
        <w:t xml:space="preserve"> the transitional process </w:t>
      </w:r>
      <w:r w:rsidR="00A50BD3" w:rsidRPr="004557FA">
        <w:rPr>
          <w:rFonts w:ascii="Tahoma" w:hAnsi="Tahoma" w:cs="Tahoma"/>
          <w:i/>
        </w:rPr>
        <w:t xml:space="preserve">for </w:t>
      </w:r>
      <w:r w:rsidR="00C40FD1" w:rsidRPr="004557FA">
        <w:rPr>
          <w:rFonts w:ascii="Tahoma" w:hAnsi="Tahoma" w:cs="Tahoma"/>
          <w:i/>
        </w:rPr>
        <w:t xml:space="preserve">HE </w:t>
      </w:r>
      <w:r w:rsidR="00BF44D6" w:rsidRPr="004557FA">
        <w:rPr>
          <w:rFonts w:ascii="Tahoma" w:hAnsi="Tahoma" w:cs="Tahoma"/>
          <w:i/>
        </w:rPr>
        <w:t>students</w:t>
      </w:r>
      <w:r w:rsidR="00463E18" w:rsidRPr="004557FA">
        <w:rPr>
          <w:rFonts w:ascii="Tahoma" w:hAnsi="Tahoma" w:cs="Tahoma"/>
          <w:i/>
        </w:rPr>
        <w:t xml:space="preserve">, and </w:t>
      </w:r>
      <w:r w:rsidR="006E04F7" w:rsidRPr="004557FA">
        <w:rPr>
          <w:rFonts w:ascii="Tahoma" w:hAnsi="Tahoma" w:cs="Tahoma"/>
          <w:i/>
        </w:rPr>
        <w:t>universities to better understand expectations and the needs of those students that transition to FD courses at partner organisations</w:t>
      </w:r>
      <w:r w:rsidR="00407941" w:rsidRPr="004557FA">
        <w:rPr>
          <w:rFonts w:ascii="Tahoma" w:hAnsi="Tahoma" w:cs="Tahoma"/>
          <w:i/>
        </w:rPr>
        <w:t>.</w:t>
      </w:r>
    </w:p>
    <w:p w:rsidR="00EF5EEB" w:rsidRPr="00687CDC" w:rsidRDefault="00EF5EEB" w:rsidP="0000178A">
      <w:pPr>
        <w:spacing w:line="240" w:lineRule="auto"/>
        <w:jc w:val="both"/>
        <w:rPr>
          <w:rFonts w:ascii="Tahoma" w:hAnsi="Tahoma" w:cs="Tahoma"/>
        </w:rPr>
      </w:pPr>
    </w:p>
    <w:p w:rsidR="00A8012F" w:rsidRDefault="003E5394" w:rsidP="00A8012F">
      <w:pPr>
        <w:spacing w:line="240" w:lineRule="auto"/>
        <w:rPr>
          <w:rFonts w:ascii="Tahoma" w:hAnsi="Tahoma" w:cs="Tahoma"/>
        </w:rPr>
      </w:pPr>
      <w:r w:rsidRPr="00687CDC">
        <w:rPr>
          <w:rFonts w:ascii="Tahoma" w:hAnsi="Tahoma" w:cs="Tahoma"/>
          <w:b/>
        </w:rPr>
        <w:t>Key words:</w:t>
      </w:r>
      <w:r w:rsidRPr="00687CDC">
        <w:rPr>
          <w:rFonts w:ascii="Tahoma" w:hAnsi="Tahoma" w:cs="Tahoma"/>
        </w:rPr>
        <w:t xml:space="preserve"> Higher Education, Further Education, Transition, Foundation Degrees</w:t>
      </w:r>
      <w:r>
        <w:rPr>
          <w:rFonts w:ascii="Tahoma" w:hAnsi="Tahoma" w:cs="Tahoma"/>
        </w:rPr>
        <w:t>, Retention, BTEC.</w:t>
      </w:r>
    </w:p>
    <w:p w:rsidR="00A8012F" w:rsidRDefault="00A8012F" w:rsidP="00A8012F">
      <w:pPr>
        <w:spacing w:line="240" w:lineRule="auto"/>
        <w:rPr>
          <w:rFonts w:ascii="Tahoma" w:hAnsi="Tahoma" w:cs="Tahoma"/>
        </w:rPr>
      </w:pPr>
    </w:p>
    <w:p w:rsidR="00A8012F" w:rsidRDefault="00A8012F" w:rsidP="00A8012F">
      <w:pPr>
        <w:spacing w:line="240" w:lineRule="auto"/>
        <w:rPr>
          <w:rFonts w:ascii="Tahoma" w:hAnsi="Tahoma" w:cs="Tahoma"/>
        </w:rPr>
      </w:pPr>
    </w:p>
    <w:p w:rsidR="00A8012F" w:rsidRDefault="00A8012F" w:rsidP="00A8012F">
      <w:pPr>
        <w:spacing w:line="240" w:lineRule="auto"/>
        <w:rPr>
          <w:rFonts w:ascii="Tahoma" w:hAnsi="Tahoma" w:cs="Tahoma"/>
        </w:rPr>
      </w:pPr>
    </w:p>
    <w:p w:rsidR="00A8012F" w:rsidRDefault="00A8012F" w:rsidP="00A8012F">
      <w:pPr>
        <w:spacing w:line="240" w:lineRule="auto"/>
        <w:rPr>
          <w:rFonts w:ascii="Tahoma" w:hAnsi="Tahoma" w:cs="Tahoma"/>
        </w:rPr>
      </w:pPr>
    </w:p>
    <w:p w:rsidR="00A8012F" w:rsidRDefault="00A8012F" w:rsidP="00A8012F">
      <w:pPr>
        <w:spacing w:line="240" w:lineRule="auto"/>
        <w:rPr>
          <w:rFonts w:ascii="Tahoma" w:hAnsi="Tahoma" w:cs="Tahoma"/>
        </w:rPr>
      </w:pPr>
    </w:p>
    <w:p w:rsidR="00A8012F" w:rsidRDefault="00A8012F" w:rsidP="00A8012F">
      <w:pPr>
        <w:spacing w:line="240" w:lineRule="auto"/>
        <w:rPr>
          <w:rFonts w:ascii="Tahoma" w:hAnsi="Tahoma" w:cs="Tahoma"/>
        </w:rPr>
      </w:pPr>
    </w:p>
    <w:p w:rsidR="00A8012F" w:rsidRDefault="00A8012F" w:rsidP="00A8012F">
      <w:pPr>
        <w:spacing w:line="240" w:lineRule="auto"/>
        <w:rPr>
          <w:rFonts w:ascii="Tahoma" w:hAnsi="Tahoma" w:cs="Tahoma"/>
        </w:rPr>
      </w:pPr>
    </w:p>
    <w:p w:rsidR="00A60826" w:rsidRPr="004557FA" w:rsidRDefault="004557FA" w:rsidP="00A8012F">
      <w:pPr>
        <w:spacing w:line="240" w:lineRule="auto"/>
        <w:rPr>
          <w:rFonts w:ascii="Tahoma" w:hAnsi="Tahoma" w:cs="Tahoma"/>
          <w:b/>
          <w:sz w:val="24"/>
          <w:szCs w:val="24"/>
        </w:rPr>
      </w:pPr>
      <w:r w:rsidRPr="004557FA">
        <w:rPr>
          <w:rFonts w:ascii="Tahoma" w:hAnsi="Tahoma" w:cs="Tahoma"/>
          <w:b/>
          <w:sz w:val="24"/>
          <w:szCs w:val="24"/>
        </w:rPr>
        <w:lastRenderedPageBreak/>
        <w:t>Introduction</w:t>
      </w:r>
    </w:p>
    <w:p w:rsidR="000D40BF" w:rsidRPr="00687CDC" w:rsidRDefault="000D40BF" w:rsidP="00F452EC">
      <w:pPr>
        <w:spacing w:line="360" w:lineRule="auto"/>
        <w:rPr>
          <w:rFonts w:ascii="Tahoma" w:hAnsi="Tahoma" w:cs="Tahoma"/>
        </w:rPr>
      </w:pPr>
      <w:r w:rsidRPr="00687CDC">
        <w:rPr>
          <w:rFonts w:ascii="Tahoma" w:hAnsi="Tahoma" w:cs="Tahoma"/>
        </w:rPr>
        <w:t xml:space="preserve">Undergraduate courses, other than first degrees are seemingly more popular in the </w:t>
      </w:r>
      <w:r w:rsidR="00600425">
        <w:rPr>
          <w:rFonts w:ascii="Tahoma" w:hAnsi="Tahoma" w:cs="Tahoma"/>
        </w:rPr>
        <w:t xml:space="preserve">United Kingdom (U.K.) </w:t>
      </w:r>
      <w:r w:rsidRPr="00687CDC">
        <w:rPr>
          <w:rFonts w:ascii="Tahoma" w:hAnsi="Tahoma" w:cs="Tahoma"/>
        </w:rPr>
        <w:t>than ever before,</w:t>
      </w:r>
      <w:r w:rsidR="00A8181C">
        <w:rPr>
          <w:rFonts w:ascii="Tahoma" w:hAnsi="Tahoma" w:cs="Tahoma"/>
        </w:rPr>
        <w:t xml:space="preserve"> </w:t>
      </w:r>
      <w:r w:rsidR="00A04A87">
        <w:rPr>
          <w:rFonts w:ascii="Tahoma" w:hAnsi="Tahoma" w:cs="Tahoma"/>
        </w:rPr>
        <w:t>in</w:t>
      </w:r>
      <w:r w:rsidR="00A04A87" w:rsidRPr="00687CDC">
        <w:rPr>
          <w:rFonts w:ascii="Tahoma" w:hAnsi="Tahoma" w:cs="Tahoma"/>
        </w:rPr>
        <w:t xml:space="preserve"> fact</w:t>
      </w:r>
      <w:r w:rsidRPr="00687CDC">
        <w:rPr>
          <w:rFonts w:ascii="Tahoma" w:hAnsi="Tahoma" w:cs="Tahoma"/>
        </w:rPr>
        <w:t xml:space="preserve"> as of March 2017 there were 241 Further Education colleges (FECs) delivering Higher Education (HE) qualifications (HEFCE, 2017). </w:t>
      </w:r>
      <w:r w:rsidR="00B57212" w:rsidRPr="00687CDC">
        <w:rPr>
          <w:rFonts w:ascii="Tahoma" w:hAnsi="Tahoma" w:cs="Tahoma"/>
        </w:rPr>
        <w:t>Foundation degrees</w:t>
      </w:r>
      <w:r w:rsidR="00600425">
        <w:rPr>
          <w:rFonts w:ascii="Tahoma" w:hAnsi="Tahoma" w:cs="Tahoma"/>
        </w:rPr>
        <w:t xml:space="preserve"> (FDs)</w:t>
      </w:r>
      <w:r w:rsidR="00B57212" w:rsidRPr="00687CDC">
        <w:rPr>
          <w:rFonts w:ascii="Tahoma" w:hAnsi="Tahoma" w:cs="Tahoma"/>
        </w:rPr>
        <w:t xml:space="preserve"> in particular</w:t>
      </w:r>
      <w:r w:rsidR="00A8181C">
        <w:rPr>
          <w:rFonts w:ascii="Tahoma" w:hAnsi="Tahoma" w:cs="Tahoma"/>
        </w:rPr>
        <w:t xml:space="preserve"> </w:t>
      </w:r>
      <w:r w:rsidR="00B57212" w:rsidRPr="00687CDC">
        <w:rPr>
          <w:rFonts w:ascii="Tahoma" w:hAnsi="Tahoma" w:cs="Tahoma"/>
        </w:rPr>
        <w:t xml:space="preserve">are a </w:t>
      </w:r>
      <w:r w:rsidR="00CF5219" w:rsidRPr="00687CDC">
        <w:rPr>
          <w:rFonts w:ascii="Tahoma" w:hAnsi="Tahoma" w:cs="Tahoma"/>
        </w:rPr>
        <w:t xml:space="preserve">popular choice </w:t>
      </w:r>
      <w:r w:rsidR="005A3E40" w:rsidRPr="00687CDC">
        <w:rPr>
          <w:rFonts w:ascii="Tahoma" w:hAnsi="Tahoma" w:cs="Tahoma"/>
        </w:rPr>
        <w:t xml:space="preserve">amongst </w:t>
      </w:r>
      <w:r w:rsidR="00CF5219" w:rsidRPr="00687CDC">
        <w:rPr>
          <w:rFonts w:ascii="Tahoma" w:hAnsi="Tahoma" w:cs="Tahoma"/>
        </w:rPr>
        <w:t xml:space="preserve">those </w:t>
      </w:r>
      <w:r w:rsidR="00B91F9B" w:rsidRPr="00687CDC">
        <w:rPr>
          <w:rFonts w:ascii="Tahoma" w:hAnsi="Tahoma" w:cs="Tahoma"/>
        </w:rPr>
        <w:t xml:space="preserve">entering HE </w:t>
      </w:r>
      <w:r w:rsidR="00CF5219" w:rsidRPr="00687CDC">
        <w:rPr>
          <w:rFonts w:ascii="Tahoma" w:hAnsi="Tahoma" w:cs="Tahoma"/>
        </w:rPr>
        <w:t xml:space="preserve">from non-traditional </w:t>
      </w:r>
      <w:r w:rsidR="00CF5219" w:rsidRPr="0095503D">
        <w:rPr>
          <w:rFonts w:ascii="Tahoma" w:hAnsi="Tahoma" w:cs="Tahoma"/>
        </w:rPr>
        <w:t>backgrounds</w:t>
      </w:r>
      <w:r w:rsidR="00B91F9B" w:rsidRPr="0095503D">
        <w:rPr>
          <w:rFonts w:ascii="Tahoma" w:hAnsi="Tahoma" w:cs="Tahoma"/>
        </w:rPr>
        <w:t xml:space="preserve"> (</w:t>
      </w:r>
      <w:r w:rsidR="00954E71" w:rsidRPr="0095503D">
        <w:rPr>
          <w:rFonts w:ascii="Tahoma" w:hAnsi="Tahoma" w:cs="Tahoma"/>
        </w:rPr>
        <w:t>HEFCE, 20</w:t>
      </w:r>
      <w:r w:rsidR="00185E0A" w:rsidRPr="0095503D">
        <w:rPr>
          <w:rFonts w:ascii="Tahoma" w:hAnsi="Tahoma" w:cs="Tahoma"/>
        </w:rPr>
        <w:t>07</w:t>
      </w:r>
      <w:r w:rsidR="00B91F9B" w:rsidRPr="0095503D">
        <w:rPr>
          <w:rFonts w:ascii="Tahoma" w:hAnsi="Tahoma" w:cs="Tahoma"/>
        </w:rPr>
        <w:t>)</w:t>
      </w:r>
      <w:r w:rsidR="00CF5219" w:rsidRPr="0095503D">
        <w:rPr>
          <w:rFonts w:ascii="Tahoma" w:hAnsi="Tahoma" w:cs="Tahoma"/>
        </w:rPr>
        <w:t>.</w:t>
      </w:r>
      <w:r w:rsidR="00600425">
        <w:rPr>
          <w:rFonts w:ascii="Tahoma" w:hAnsi="Tahoma" w:cs="Tahoma"/>
        </w:rPr>
        <w:t xml:space="preserve"> </w:t>
      </w:r>
      <w:r w:rsidR="00824DCD">
        <w:rPr>
          <w:rFonts w:ascii="Tahoma" w:hAnsi="Tahoma" w:cs="Tahoma"/>
        </w:rPr>
        <w:t>I</w:t>
      </w:r>
      <w:r w:rsidR="00652E55" w:rsidRPr="00687CDC">
        <w:rPr>
          <w:rFonts w:ascii="Tahoma" w:hAnsi="Tahoma" w:cs="Tahoma"/>
        </w:rPr>
        <w:t xml:space="preserve">n 2015-16, </w:t>
      </w:r>
      <w:r w:rsidR="00F066CA">
        <w:rPr>
          <w:rFonts w:ascii="Tahoma" w:hAnsi="Tahoma" w:cs="Tahoma"/>
        </w:rPr>
        <w:t xml:space="preserve">FE </w:t>
      </w:r>
      <w:r w:rsidR="002D41A5">
        <w:rPr>
          <w:rFonts w:ascii="Tahoma" w:hAnsi="Tahoma" w:cs="Tahoma"/>
        </w:rPr>
        <w:t>organisations</w:t>
      </w:r>
      <w:r w:rsidR="00652E55" w:rsidRPr="00687CDC">
        <w:rPr>
          <w:rFonts w:ascii="Tahoma" w:hAnsi="Tahoma" w:cs="Tahoma"/>
        </w:rPr>
        <w:t xml:space="preserve"> reported that 160,915 students were registered, or were expected to register, on sub-degree level HE programmes, which is an increase of 3,750 from 2011-12 </w:t>
      </w:r>
      <w:r w:rsidR="00652E55" w:rsidRPr="0004250F">
        <w:rPr>
          <w:rFonts w:ascii="Tahoma" w:hAnsi="Tahoma" w:cs="Tahoma"/>
        </w:rPr>
        <w:t>(Universities U.K., 2017).</w:t>
      </w:r>
    </w:p>
    <w:p w:rsidR="002C774B" w:rsidRPr="00687CDC" w:rsidRDefault="00600425" w:rsidP="00F452EC">
      <w:pPr>
        <w:spacing w:line="360" w:lineRule="auto"/>
        <w:rPr>
          <w:rFonts w:ascii="Tahoma" w:hAnsi="Tahoma" w:cs="Tahoma"/>
        </w:rPr>
      </w:pPr>
      <w:r>
        <w:rPr>
          <w:rFonts w:ascii="Tahoma" w:hAnsi="Tahoma" w:cs="Tahoma"/>
        </w:rPr>
        <w:t>FDs</w:t>
      </w:r>
      <w:r w:rsidR="000D40BF" w:rsidRPr="00687CDC">
        <w:rPr>
          <w:rFonts w:ascii="Tahoma" w:hAnsi="Tahoma" w:cs="Tahoma"/>
        </w:rPr>
        <w:t xml:space="preserve"> </w:t>
      </w:r>
      <w:r w:rsidR="00AA6ACA" w:rsidRPr="00687CDC">
        <w:rPr>
          <w:rFonts w:ascii="Tahoma" w:hAnsi="Tahoma" w:cs="Tahoma"/>
        </w:rPr>
        <w:t xml:space="preserve">specifically, </w:t>
      </w:r>
      <w:r w:rsidR="00B21F2C" w:rsidRPr="00687CDC">
        <w:rPr>
          <w:rFonts w:ascii="Tahoma" w:hAnsi="Tahoma" w:cs="Tahoma"/>
        </w:rPr>
        <w:t>were introduced in 2001 as specialist, vocationally focused qualifications</w:t>
      </w:r>
      <w:r w:rsidR="0079575A" w:rsidRPr="00687CDC">
        <w:rPr>
          <w:rFonts w:ascii="Tahoma" w:hAnsi="Tahoma" w:cs="Tahoma"/>
        </w:rPr>
        <w:t>,</w:t>
      </w:r>
      <w:r w:rsidR="00A8181C">
        <w:rPr>
          <w:rFonts w:ascii="Tahoma" w:hAnsi="Tahoma" w:cs="Tahoma"/>
        </w:rPr>
        <w:t xml:space="preserve"> </w:t>
      </w:r>
      <w:r w:rsidR="0079575A" w:rsidRPr="00687CDC">
        <w:rPr>
          <w:rFonts w:ascii="Tahoma" w:hAnsi="Tahoma" w:cs="Tahoma"/>
        </w:rPr>
        <w:t xml:space="preserve">which had </w:t>
      </w:r>
      <w:r w:rsidR="00B21F2C" w:rsidRPr="00687CDC">
        <w:rPr>
          <w:rFonts w:ascii="Tahoma" w:hAnsi="Tahoma" w:cs="Tahoma"/>
        </w:rPr>
        <w:t>stronger links to employers and more work-based provision than the existing associate professional and higher technical Higher National Diplomas and Certificates (HND/Cs) (</w:t>
      </w:r>
      <w:r w:rsidR="000D40BF" w:rsidRPr="00701937">
        <w:rPr>
          <w:rFonts w:ascii="Tahoma" w:hAnsi="Tahoma" w:cs="Tahoma"/>
        </w:rPr>
        <w:t>Edmond</w:t>
      </w:r>
      <w:r w:rsidR="00701937" w:rsidRPr="00701937">
        <w:rPr>
          <w:rFonts w:ascii="Tahoma" w:hAnsi="Tahoma" w:cs="Tahoma"/>
        </w:rPr>
        <w:t>,</w:t>
      </w:r>
      <w:r w:rsidR="00A8181C">
        <w:rPr>
          <w:rFonts w:ascii="Tahoma" w:hAnsi="Tahoma" w:cs="Tahoma"/>
        </w:rPr>
        <w:t xml:space="preserve"> </w:t>
      </w:r>
      <w:r w:rsidR="00701937" w:rsidRPr="00701937">
        <w:rPr>
          <w:rFonts w:ascii="Tahoma" w:hAnsi="Tahoma" w:cs="Tahoma"/>
        </w:rPr>
        <w:t xml:space="preserve">Hillier </w:t>
      </w:r>
      <w:r w:rsidR="00C45783">
        <w:rPr>
          <w:rFonts w:ascii="Tahoma" w:hAnsi="Tahoma" w:cs="Tahoma"/>
        </w:rPr>
        <w:t>&amp;</w:t>
      </w:r>
      <w:r w:rsidR="00701937" w:rsidRPr="00701937">
        <w:rPr>
          <w:rFonts w:ascii="Tahoma" w:hAnsi="Tahoma" w:cs="Tahoma"/>
        </w:rPr>
        <w:t xml:space="preserve"> Price</w:t>
      </w:r>
      <w:r w:rsidR="000D40BF" w:rsidRPr="00701937">
        <w:rPr>
          <w:rFonts w:ascii="Tahoma" w:hAnsi="Tahoma" w:cs="Tahoma"/>
        </w:rPr>
        <w:t>, 200</w:t>
      </w:r>
      <w:r w:rsidR="00701937" w:rsidRPr="00701937">
        <w:rPr>
          <w:rFonts w:ascii="Tahoma" w:hAnsi="Tahoma" w:cs="Tahoma"/>
        </w:rPr>
        <w:t>7</w:t>
      </w:r>
      <w:r w:rsidR="00EE43CF" w:rsidRPr="00701937">
        <w:rPr>
          <w:rFonts w:ascii="Tahoma" w:hAnsi="Tahoma" w:cs="Tahoma"/>
        </w:rPr>
        <w:t>;</w:t>
      </w:r>
      <w:r w:rsidR="00EE43CF" w:rsidRPr="00687CDC">
        <w:rPr>
          <w:rFonts w:ascii="Tahoma" w:hAnsi="Tahoma" w:cs="Tahoma"/>
        </w:rPr>
        <w:t xml:space="preserve"> Pike, 2008</w:t>
      </w:r>
      <w:r w:rsidR="00B21F2C" w:rsidRPr="00687CDC">
        <w:rPr>
          <w:rFonts w:ascii="Tahoma" w:hAnsi="Tahoma" w:cs="Tahoma"/>
        </w:rPr>
        <w:t xml:space="preserve">). </w:t>
      </w:r>
      <w:r w:rsidR="00EC7775" w:rsidRPr="00687CDC">
        <w:rPr>
          <w:rFonts w:ascii="Tahoma" w:hAnsi="Tahoma" w:cs="Tahoma"/>
        </w:rPr>
        <w:t xml:space="preserve">Whilst </w:t>
      </w:r>
      <w:r>
        <w:rPr>
          <w:rFonts w:ascii="Tahoma" w:hAnsi="Tahoma" w:cs="Tahoma"/>
        </w:rPr>
        <w:t>HE</w:t>
      </w:r>
      <w:r w:rsidR="00B21F2C" w:rsidRPr="00687CDC">
        <w:rPr>
          <w:rFonts w:ascii="Tahoma" w:hAnsi="Tahoma" w:cs="Tahoma"/>
        </w:rPr>
        <w:t xml:space="preserve"> institutions (HEIs)</w:t>
      </w:r>
      <w:r w:rsidR="000D40BF" w:rsidRPr="00687CDC">
        <w:rPr>
          <w:rFonts w:ascii="Tahoma" w:hAnsi="Tahoma" w:cs="Tahoma"/>
        </w:rPr>
        <w:t xml:space="preserve"> often</w:t>
      </w:r>
      <w:r w:rsidR="00992BFA" w:rsidRPr="00687CDC">
        <w:rPr>
          <w:rFonts w:ascii="Tahoma" w:hAnsi="Tahoma" w:cs="Tahoma"/>
        </w:rPr>
        <w:t xml:space="preserve"> validate FDs</w:t>
      </w:r>
      <w:r w:rsidR="00B21F2C" w:rsidRPr="00687CDC">
        <w:rPr>
          <w:rFonts w:ascii="Tahoma" w:hAnsi="Tahoma" w:cs="Tahoma"/>
        </w:rPr>
        <w:t xml:space="preserve">, the expansion </w:t>
      </w:r>
      <w:r w:rsidR="00EC7775" w:rsidRPr="00687CDC">
        <w:rPr>
          <w:rFonts w:ascii="Tahoma" w:hAnsi="Tahoma" w:cs="Tahoma"/>
        </w:rPr>
        <w:t xml:space="preserve">and delivery </w:t>
      </w:r>
      <w:r w:rsidR="00B21F2C" w:rsidRPr="00687CDC">
        <w:rPr>
          <w:rFonts w:ascii="Tahoma" w:hAnsi="Tahoma" w:cs="Tahoma"/>
        </w:rPr>
        <w:t xml:space="preserve">of FD provision has largely been provided by the English </w:t>
      </w:r>
      <w:r w:rsidR="00AB00E0" w:rsidRPr="00687CDC">
        <w:rPr>
          <w:rFonts w:ascii="Tahoma" w:hAnsi="Tahoma" w:cs="Tahoma"/>
        </w:rPr>
        <w:t>FE</w:t>
      </w:r>
      <w:r w:rsidR="00B21F2C" w:rsidRPr="00687CDC">
        <w:rPr>
          <w:rFonts w:ascii="Tahoma" w:hAnsi="Tahoma" w:cs="Tahoma"/>
        </w:rPr>
        <w:t xml:space="preserve"> sector (HEFC</w:t>
      </w:r>
      <w:r w:rsidR="000D40BF" w:rsidRPr="00687CDC">
        <w:rPr>
          <w:rFonts w:ascii="Tahoma" w:hAnsi="Tahoma" w:cs="Tahoma"/>
        </w:rPr>
        <w:t>E, 2007</w:t>
      </w:r>
      <w:r w:rsidR="00B21F2C" w:rsidRPr="00687CDC">
        <w:rPr>
          <w:rFonts w:ascii="Tahoma" w:hAnsi="Tahoma" w:cs="Tahoma"/>
        </w:rPr>
        <w:t>).</w:t>
      </w:r>
      <w:r>
        <w:rPr>
          <w:rFonts w:ascii="Tahoma" w:hAnsi="Tahoma" w:cs="Tahoma"/>
        </w:rPr>
        <w:t xml:space="preserve"> </w:t>
      </w:r>
      <w:r w:rsidR="007332C5" w:rsidRPr="00687CDC">
        <w:rPr>
          <w:rFonts w:ascii="Tahoma" w:hAnsi="Tahoma" w:cs="Tahoma"/>
        </w:rPr>
        <w:t xml:space="preserve">In fact, </w:t>
      </w:r>
      <w:r w:rsidR="000D40BF" w:rsidRPr="00687CDC">
        <w:rPr>
          <w:rFonts w:ascii="Tahoma" w:hAnsi="Tahoma" w:cs="Tahoma"/>
        </w:rPr>
        <w:t>75% of the FD entrants</w:t>
      </w:r>
      <w:r w:rsidR="00EE0DA2">
        <w:rPr>
          <w:rFonts w:ascii="Tahoma" w:hAnsi="Tahoma" w:cs="Tahoma"/>
        </w:rPr>
        <w:t xml:space="preserve"> in the U.K.</w:t>
      </w:r>
      <w:r w:rsidR="000D40BF" w:rsidRPr="00687CDC">
        <w:rPr>
          <w:rFonts w:ascii="Tahoma" w:hAnsi="Tahoma" w:cs="Tahoma"/>
        </w:rPr>
        <w:t xml:space="preserve"> are enrolled on programmes delivered at FECs, 19% are on programmes delivered at post-1992 HEIs</w:t>
      </w:r>
      <w:r w:rsidR="00964430">
        <w:rPr>
          <w:rFonts w:ascii="Tahoma" w:hAnsi="Tahoma" w:cs="Tahoma"/>
        </w:rPr>
        <w:t>,</w:t>
      </w:r>
      <w:r>
        <w:rPr>
          <w:rFonts w:ascii="Tahoma" w:hAnsi="Tahoma" w:cs="Tahoma"/>
        </w:rPr>
        <w:t xml:space="preserve"> </w:t>
      </w:r>
      <w:r w:rsidR="00964430">
        <w:rPr>
          <w:rFonts w:ascii="Tahoma" w:hAnsi="Tahoma" w:cs="Tahoma"/>
        </w:rPr>
        <w:t xml:space="preserve">and </w:t>
      </w:r>
      <w:r w:rsidR="000D40BF" w:rsidRPr="00687CDC">
        <w:rPr>
          <w:rFonts w:ascii="Tahoma" w:hAnsi="Tahoma" w:cs="Tahoma"/>
        </w:rPr>
        <w:t>pre-1992 HEIs account for</w:t>
      </w:r>
      <w:r w:rsidR="00893DAE">
        <w:rPr>
          <w:rFonts w:ascii="Tahoma" w:hAnsi="Tahoma" w:cs="Tahoma"/>
        </w:rPr>
        <w:t xml:space="preserve"> only</w:t>
      </w:r>
      <w:r w:rsidR="000D40BF" w:rsidRPr="00687CDC">
        <w:rPr>
          <w:rFonts w:ascii="Tahoma" w:hAnsi="Tahoma" w:cs="Tahoma"/>
        </w:rPr>
        <w:t xml:space="preserve"> 7% of entrants (</w:t>
      </w:r>
      <w:r w:rsidR="0004250F">
        <w:rPr>
          <w:rFonts w:ascii="Tahoma" w:hAnsi="Tahoma" w:cs="Tahoma"/>
        </w:rPr>
        <w:t>Universities U.K.</w:t>
      </w:r>
      <w:r w:rsidR="000D40BF" w:rsidRPr="00687CDC">
        <w:rPr>
          <w:rFonts w:ascii="Tahoma" w:hAnsi="Tahoma" w:cs="Tahoma"/>
        </w:rPr>
        <w:t>, 2017).</w:t>
      </w:r>
    </w:p>
    <w:p w:rsidR="000D5840" w:rsidRDefault="005B6941" w:rsidP="00F452EC">
      <w:pPr>
        <w:spacing w:line="360" w:lineRule="auto"/>
        <w:rPr>
          <w:rFonts w:ascii="Tahoma" w:hAnsi="Tahoma" w:cs="Tahoma"/>
        </w:rPr>
      </w:pPr>
      <w:r w:rsidRPr="00687CDC">
        <w:rPr>
          <w:rFonts w:ascii="Tahoma" w:hAnsi="Tahoma" w:cs="Tahoma"/>
        </w:rPr>
        <w:t>T</w:t>
      </w:r>
      <w:r w:rsidR="000D40BF" w:rsidRPr="00687CDC">
        <w:rPr>
          <w:rFonts w:ascii="Tahoma" w:hAnsi="Tahoma" w:cs="Tahoma"/>
        </w:rPr>
        <w:t xml:space="preserve">he FD study </w:t>
      </w:r>
      <w:r w:rsidR="001515AC">
        <w:rPr>
          <w:rFonts w:ascii="Tahoma" w:hAnsi="Tahoma" w:cs="Tahoma"/>
        </w:rPr>
        <w:t xml:space="preserve">pathway </w:t>
      </w:r>
      <w:r w:rsidRPr="00687CDC">
        <w:rPr>
          <w:rFonts w:ascii="Tahoma" w:hAnsi="Tahoma" w:cs="Tahoma"/>
        </w:rPr>
        <w:t xml:space="preserve">tends to </w:t>
      </w:r>
      <w:r w:rsidR="000D40BF" w:rsidRPr="00687CDC">
        <w:rPr>
          <w:rFonts w:ascii="Tahoma" w:hAnsi="Tahoma" w:cs="Tahoma"/>
        </w:rPr>
        <w:t>attract students from non-traditional backgrounds, with less than one-third of students progressing from the traditional A-</w:t>
      </w:r>
      <w:r w:rsidR="00184B9D">
        <w:rPr>
          <w:rFonts w:ascii="Tahoma" w:hAnsi="Tahoma" w:cs="Tahoma"/>
        </w:rPr>
        <w:t>L</w:t>
      </w:r>
      <w:r w:rsidR="000D40BF" w:rsidRPr="00687CDC">
        <w:rPr>
          <w:rFonts w:ascii="Tahoma" w:hAnsi="Tahoma" w:cs="Tahoma"/>
        </w:rPr>
        <w:t>evel route to a FD (</w:t>
      </w:r>
      <w:r w:rsidR="000D40BF" w:rsidRPr="002529FF">
        <w:rPr>
          <w:rFonts w:ascii="Tahoma" w:hAnsi="Tahoma" w:cs="Tahoma"/>
        </w:rPr>
        <w:t>Craig, 2009; Simm</w:t>
      </w:r>
      <w:r w:rsidR="00A8181C">
        <w:rPr>
          <w:rFonts w:ascii="Tahoma" w:hAnsi="Tahoma" w:cs="Tahoma"/>
        </w:rPr>
        <w:t xml:space="preserve"> </w:t>
      </w:r>
      <w:r w:rsidR="000D40BF" w:rsidRPr="002529FF">
        <w:rPr>
          <w:rFonts w:ascii="Tahoma" w:hAnsi="Tahoma" w:cs="Tahoma"/>
          <w:i/>
        </w:rPr>
        <w:t>et al</w:t>
      </w:r>
      <w:r w:rsidR="000D40BF" w:rsidRPr="002529FF">
        <w:rPr>
          <w:rFonts w:ascii="Tahoma" w:hAnsi="Tahoma" w:cs="Tahoma"/>
        </w:rPr>
        <w:t>., 2015</w:t>
      </w:r>
      <w:r w:rsidR="000D40BF" w:rsidRPr="00687CDC">
        <w:rPr>
          <w:rFonts w:ascii="Tahoma" w:hAnsi="Tahoma" w:cs="Tahoma"/>
        </w:rPr>
        <w:t>). Hoelscher et al. (2008) believes that these</w:t>
      </w:r>
      <w:r w:rsidR="00A8181C">
        <w:rPr>
          <w:rFonts w:ascii="Tahoma" w:hAnsi="Tahoma" w:cs="Tahoma"/>
        </w:rPr>
        <w:t xml:space="preserve"> </w:t>
      </w:r>
      <w:r w:rsidR="000D40BF" w:rsidRPr="00687CDC">
        <w:rPr>
          <w:rFonts w:ascii="Tahoma" w:hAnsi="Tahoma" w:cs="Tahoma"/>
        </w:rPr>
        <w:t>students</w:t>
      </w:r>
      <w:r w:rsidR="0012269B">
        <w:rPr>
          <w:rFonts w:ascii="Tahoma" w:hAnsi="Tahoma" w:cs="Tahoma"/>
        </w:rPr>
        <w:t>,</w:t>
      </w:r>
      <w:r w:rsidR="000D40BF" w:rsidRPr="00687CDC">
        <w:rPr>
          <w:rFonts w:ascii="Tahoma" w:hAnsi="Tahoma" w:cs="Tahoma"/>
        </w:rPr>
        <w:t xml:space="preserve"> who perhaps did</w:t>
      </w:r>
      <w:r w:rsidR="007C4E0B">
        <w:rPr>
          <w:rFonts w:ascii="Tahoma" w:hAnsi="Tahoma" w:cs="Tahoma"/>
        </w:rPr>
        <w:t xml:space="preserve"> </w:t>
      </w:r>
      <w:r w:rsidR="000D40BF" w:rsidRPr="00687CDC">
        <w:rPr>
          <w:rFonts w:ascii="Tahoma" w:hAnsi="Tahoma" w:cs="Tahoma"/>
        </w:rPr>
        <w:t>n</w:t>
      </w:r>
      <w:r w:rsidR="007C4E0B">
        <w:rPr>
          <w:rFonts w:ascii="Tahoma" w:hAnsi="Tahoma" w:cs="Tahoma"/>
        </w:rPr>
        <w:t>o</w:t>
      </w:r>
      <w:r w:rsidR="000D40BF" w:rsidRPr="00687CDC">
        <w:rPr>
          <w:rFonts w:ascii="Tahoma" w:hAnsi="Tahoma" w:cs="Tahoma"/>
        </w:rPr>
        <w:t>t have access to HE in the past</w:t>
      </w:r>
      <w:r w:rsidR="005C5AC4">
        <w:rPr>
          <w:rFonts w:ascii="Tahoma" w:hAnsi="Tahoma" w:cs="Tahoma"/>
        </w:rPr>
        <w:t xml:space="preserve">, </w:t>
      </w:r>
      <w:r w:rsidR="000D40BF" w:rsidRPr="00687CDC">
        <w:rPr>
          <w:rFonts w:ascii="Tahoma" w:hAnsi="Tahoma" w:cs="Tahoma"/>
        </w:rPr>
        <w:t>now regularly progress from these non-traditional backgrounds, often from popular Level 3 vocational courses</w:t>
      </w:r>
      <w:r w:rsidR="00DC33A5" w:rsidRPr="00687CDC">
        <w:rPr>
          <w:rFonts w:ascii="Tahoma" w:hAnsi="Tahoma" w:cs="Tahoma"/>
        </w:rPr>
        <w:t>,</w:t>
      </w:r>
      <w:r w:rsidR="000D40BF" w:rsidRPr="00687CDC">
        <w:rPr>
          <w:rFonts w:ascii="Tahoma" w:hAnsi="Tahoma" w:cs="Tahoma"/>
        </w:rPr>
        <w:t xml:space="preserve"> such as Pearson</w:t>
      </w:r>
      <w:r w:rsidR="00600425">
        <w:rPr>
          <w:rFonts w:ascii="Tahoma" w:hAnsi="Tahoma" w:cs="Tahoma"/>
        </w:rPr>
        <w:t>’s</w:t>
      </w:r>
      <w:r w:rsidR="000D40BF" w:rsidRPr="00687CDC">
        <w:rPr>
          <w:rFonts w:ascii="Tahoma" w:hAnsi="Tahoma" w:cs="Tahoma"/>
        </w:rPr>
        <w:t xml:space="preserve"> </w:t>
      </w:r>
      <w:r w:rsidR="00A33AFD" w:rsidRPr="00687CDC">
        <w:rPr>
          <w:rFonts w:ascii="Tahoma" w:hAnsi="Tahoma" w:cs="Tahoma"/>
        </w:rPr>
        <w:t>Business &amp; Technology Education Council (</w:t>
      </w:r>
      <w:r w:rsidR="000D40BF" w:rsidRPr="00687CDC">
        <w:rPr>
          <w:rFonts w:ascii="Tahoma" w:hAnsi="Tahoma" w:cs="Tahoma"/>
        </w:rPr>
        <w:t>BTEC</w:t>
      </w:r>
      <w:r w:rsidR="00A33AFD" w:rsidRPr="00687CDC">
        <w:rPr>
          <w:rFonts w:ascii="Tahoma" w:hAnsi="Tahoma" w:cs="Tahoma"/>
        </w:rPr>
        <w:t>)</w:t>
      </w:r>
      <w:r w:rsidR="000D40BF" w:rsidRPr="00687CDC">
        <w:rPr>
          <w:rFonts w:ascii="Tahoma" w:hAnsi="Tahoma" w:cs="Tahoma"/>
        </w:rPr>
        <w:t xml:space="preserve"> programmes and National Vocational Qualifications (NVQs), amongst others.</w:t>
      </w:r>
    </w:p>
    <w:p w:rsidR="009F7B36" w:rsidRPr="00687CDC" w:rsidRDefault="009F7B36" w:rsidP="0003368E">
      <w:pPr>
        <w:spacing w:line="360" w:lineRule="auto"/>
        <w:jc w:val="both"/>
        <w:rPr>
          <w:rFonts w:ascii="Tahoma" w:hAnsi="Tahoma" w:cs="Tahoma"/>
        </w:rPr>
      </w:pPr>
    </w:p>
    <w:p w:rsidR="009F7B36" w:rsidRPr="00687CDC" w:rsidRDefault="009F7B36" w:rsidP="00DA5F61">
      <w:pPr>
        <w:spacing w:after="0" w:line="240" w:lineRule="auto"/>
        <w:ind w:left="851" w:right="804"/>
        <w:jc w:val="both"/>
        <w:rPr>
          <w:rFonts w:ascii="Tahoma" w:hAnsi="Tahoma" w:cs="Tahoma"/>
        </w:rPr>
      </w:pPr>
      <w:r w:rsidRPr="00687CDC">
        <w:rPr>
          <w:rFonts w:ascii="Tahoma" w:hAnsi="Tahoma" w:cs="Tahoma"/>
        </w:rPr>
        <w:t>“This increase [in students f</w:t>
      </w:r>
      <w:r w:rsidR="009F3187">
        <w:rPr>
          <w:rFonts w:ascii="Tahoma" w:hAnsi="Tahoma" w:cs="Tahoma"/>
        </w:rPr>
        <w:t>ro</w:t>
      </w:r>
      <w:r w:rsidRPr="00687CDC">
        <w:rPr>
          <w:rFonts w:ascii="Tahoma" w:hAnsi="Tahoma" w:cs="Tahoma"/>
        </w:rPr>
        <w:t>m non-traditional backgrounds] can partly be attributed to the growing availability of Level 3 vocationally oriented qualifications aimed at 16-year-olds. Such qualifications are increasingly marketed as providing a means for progressing into HE, so constituting an important component of attempts to widen participation.”</w:t>
      </w:r>
    </w:p>
    <w:p w:rsidR="009F7B36" w:rsidRPr="00687CDC" w:rsidRDefault="009F7B36" w:rsidP="000D5840">
      <w:pPr>
        <w:spacing w:line="360" w:lineRule="auto"/>
        <w:ind w:left="567" w:right="804"/>
        <w:jc w:val="right"/>
        <w:rPr>
          <w:rFonts w:ascii="Tahoma" w:hAnsi="Tahoma" w:cs="Tahoma"/>
        </w:rPr>
      </w:pPr>
      <w:r w:rsidRPr="00687CDC">
        <w:rPr>
          <w:rFonts w:ascii="Tahoma" w:hAnsi="Tahoma" w:cs="Tahoma"/>
        </w:rPr>
        <w:t>(Hoelscher</w:t>
      </w:r>
      <w:r w:rsidRPr="00687CDC">
        <w:rPr>
          <w:rFonts w:ascii="Tahoma" w:hAnsi="Tahoma" w:cs="Tahoma"/>
          <w:i/>
        </w:rPr>
        <w:t>et al</w:t>
      </w:r>
      <w:r w:rsidRPr="00687CDC">
        <w:rPr>
          <w:rFonts w:ascii="Tahoma" w:hAnsi="Tahoma" w:cs="Tahoma"/>
        </w:rPr>
        <w:t>., 2008)</w:t>
      </w:r>
    </w:p>
    <w:p w:rsidR="0032551B" w:rsidRPr="00687CDC" w:rsidRDefault="000D40BF" w:rsidP="00F452EC">
      <w:pPr>
        <w:spacing w:before="240" w:line="360" w:lineRule="auto"/>
        <w:rPr>
          <w:rFonts w:ascii="Tahoma" w:hAnsi="Tahoma" w:cs="Tahoma"/>
        </w:rPr>
      </w:pPr>
      <w:r w:rsidRPr="00687CDC">
        <w:rPr>
          <w:rFonts w:ascii="Tahoma" w:hAnsi="Tahoma" w:cs="Tahoma"/>
        </w:rPr>
        <w:lastRenderedPageBreak/>
        <w:t xml:space="preserve">Hatt and Baxter (2003) </w:t>
      </w:r>
      <w:r w:rsidR="00A30B44">
        <w:rPr>
          <w:rFonts w:ascii="Tahoma" w:hAnsi="Tahoma" w:cs="Tahoma"/>
        </w:rPr>
        <w:t xml:space="preserve">assert </w:t>
      </w:r>
      <w:r w:rsidRPr="00687CDC">
        <w:rPr>
          <w:rFonts w:ascii="Tahoma" w:hAnsi="Tahoma" w:cs="Tahoma"/>
        </w:rPr>
        <w:t>that students entering HE with vocationally-orientated qualifications</w:t>
      </w:r>
      <w:r w:rsidR="000253D8" w:rsidRPr="00687CDC">
        <w:rPr>
          <w:rFonts w:ascii="Tahoma" w:hAnsi="Tahoma" w:cs="Tahoma"/>
        </w:rPr>
        <w:t xml:space="preserve"> will have</w:t>
      </w:r>
      <w:r w:rsidR="008A3C17" w:rsidRPr="00687CDC">
        <w:rPr>
          <w:rFonts w:ascii="Tahoma" w:hAnsi="Tahoma" w:cs="Tahoma"/>
        </w:rPr>
        <w:t xml:space="preserve"> experience of</w:t>
      </w:r>
      <w:r w:rsidRPr="00687CDC">
        <w:rPr>
          <w:rFonts w:ascii="Tahoma" w:hAnsi="Tahoma" w:cs="Tahoma"/>
        </w:rPr>
        <w:t xml:space="preserve"> their assessment</w:t>
      </w:r>
      <w:r w:rsidR="008A3C17" w:rsidRPr="00687CDC">
        <w:rPr>
          <w:rFonts w:ascii="Tahoma" w:hAnsi="Tahoma" w:cs="Tahoma"/>
        </w:rPr>
        <w:t>s</w:t>
      </w:r>
      <w:r w:rsidR="00747F52">
        <w:rPr>
          <w:rFonts w:ascii="Tahoma" w:hAnsi="Tahoma" w:cs="Tahoma"/>
        </w:rPr>
        <w:t xml:space="preserve"> </w:t>
      </w:r>
      <w:r w:rsidR="008A3C17" w:rsidRPr="00687CDC">
        <w:rPr>
          <w:rFonts w:ascii="Tahoma" w:hAnsi="Tahoma" w:cs="Tahoma"/>
        </w:rPr>
        <w:t xml:space="preserve">being </w:t>
      </w:r>
      <w:r w:rsidRPr="00687CDC">
        <w:rPr>
          <w:rFonts w:ascii="Tahoma" w:hAnsi="Tahoma" w:cs="Tahoma"/>
        </w:rPr>
        <w:t xml:space="preserve">centred around tasks with a more practical/occupational focus, and </w:t>
      </w:r>
      <w:r w:rsidR="008A3C17" w:rsidRPr="00687CDC">
        <w:rPr>
          <w:rFonts w:ascii="Tahoma" w:hAnsi="Tahoma" w:cs="Tahoma"/>
        </w:rPr>
        <w:t xml:space="preserve">as a result </w:t>
      </w:r>
      <w:r w:rsidRPr="00687CDC">
        <w:rPr>
          <w:rFonts w:ascii="Tahoma" w:hAnsi="Tahoma" w:cs="Tahoma"/>
        </w:rPr>
        <w:t xml:space="preserve">the skills, expectations and experience that these </w:t>
      </w:r>
      <w:r w:rsidR="008A3C17" w:rsidRPr="00687CDC">
        <w:rPr>
          <w:rFonts w:ascii="Tahoma" w:hAnsi="Tahoma" w:cs="Tahoma"/>
        </w:rPr>
        <w:t xml:space="preserve">non-traditional </w:t>
      </w:r>
      <w:r w:rsidRPr="00687CDC">
        <w:rPr>
          <w:rFonts w:ascii="Tahoma" w:hAnsi="Tahoma" w:cs="Tahoma"/>
        </w:rPr>
        <w:t xml:space="preserve">students bring to HE will differ significantly from those of the </w:t>
      </w:r>
      <w:r w:rsidR="00615A7E">
        <w:rPr>
          <w:rFonts w:ascii="Tahoma" w:hAnsi="Tahoma" w:cs="Tahoma"/>
        </w:rPr>
        <w:t>‘</w:t>
      </w:r>
      <w:r w:rsidRPr="00687CDC">
        <w:rPr>
          <w:rFonts w:ascii="Tahoma" w:hAnsi="Tahoma" w:cs="Tahoma"/>
        </w:rPr>
        <w:t>traditional</w:t>
      </w:r>
      <w:r w:rsidR="00615A7E">
        <w:rPr>
          <w:rFonts w:ascii="Tahoma" w:hAnsi="Tahoma" w:cs="Tahoma"/>
        </w:rPr>
        <w:t>’</w:t>
      </w:r>
      <w:r w:rsidRPr="00687CDC">
        <w:rPr>
          <w:rFonts w:ascii="Tahoma" w:hAnsi="Tahoma" w:cs="Tahoma"/>
        </w:rPr>
        <w:t xml:space="preserve"> A-Level entrants (</w:t>
      </w:r>
      <w:r w:rsidR="004F4E25">
        <w:rPr>
          <w:rFonts w:ascii="Tahoma" w:hAnsi="Tahoma" w:cs="Tahoma"/>
        </w:rPr>
        <w:t>Gill</w:t>
      </w:r>
      <w:r w:rsidRPr="00687CDC">
        <w:rPr>
          <w:rFonts w:ascii="Tahoma" w:hAnsi="Tahoma" w:cs="Tahoma"/>
        </w:rPr>
        <w:t>, 2017).</w:t>
      </w:r>
      <w:r w:rsidR="00600425">
        <w:rPr>
          <w:rFonts w:ascii="Tahoma" w:hAnsi="Tahoma" w:cs="Tahoma"/>
        </w:rPr>
        <w:t xml:space="preserve"> </w:t>
      </w:r>
      <w:r w:rsidR="00B42812" w:rsidRPr="00687CDC">
        <w:rPr>
          <w:rFonts w:ascii="Tahoma" w:hAnsi="Tahoma" w:cs="Tahoma"/>
        </w:rPr>
        <w:t>Therefore</w:t>
      </w:r>
      <w:r w:rsidR="00B21F2C" w:rsidRPr="00687CDC">
        <w:rPr>
          <w:rFonts w:ascii="Tahoma" w:hAnsi="Tahoma" w:cs="Tahoma"/>
        </w:rPr>
        <w:t xml:space="preserve">, it is natural to surmise that popular FD </w:t>
      </w:r>
      <w:r w:rsidR="00B878AC" w:rsidRPr="00687CDC">
        <w:rPr>
          <w:rFonts w:ascii="Tahoma" w:hAnsi="Tahoma" w:cs="Tahoma"/>
        </w:rPr>
        <w:t>courses</w:t>
      </w:r>
      <w:r w:rsidR="00B21F2C" w:rsidRPr="00687CDC">
        <w:rPr>
          <w:rFonts w:ascii="Tahoma" w:hAnsi="Tahoma" w:cs="Tahoma"/>
        </w:rPr>
        <w:t>, such as sport</w:t>
      </w:r>
      <w:r w:rsidR="0008349A">
        <w:rPr>
          <w:rFonts w:ascii="Tahoma" w:hAnsi="Tahoma" w:cs="Tahoma"/>
        </w:rPr>
        <w:t xml:space="preserve"> and exercise</w:t>
      </w:r>
      <w:r w:rsidR="00B21F2C" w:rsidRPr="00687CDC">
        <w:rPr>
          <w:rFonts w:ascii="Tahoma" w:hAnsi="Tahoma" w:cs="Tahoma"/>
        </w:rPr>
        <w:t xml:space="preserve"> related subjects, will recruit students from FECs and </w:t>
      </w:r>
      <w:r w:rsidR="009003E9" w:rsidRPr="00687CDC">
        <w:rPr>
          <w:rFonts w:ascii="Tahoma" w:hAnsi="Tahoma" w:cs="Tahoma"/>
        </w:rPr>
        <w:t>non-traditional backgrounds</w:t>
      </w:r>
      <w:r w:rsidR="00B21F2C" w:rsidRPr="00687CDC">
        <w:rPr>
          <w:rFonts w:ascii="Tahoma" w:hAnsi="Tahoma" w:cs="Tahoma"/>
        </w:rPr>
        <w:t xml:space="preserve">, such as Pearson BTEC courses. </w:t>
      </w:r>
      <w:r w:rsidR="00B21F2C" w:rsidRPr="00086AEC">
        <w:rPr>
          <w:rFonts w:ascii="Tahoma" w:hAnsi="Tahoma" w:cs="Tahoma"/>
        </w:rPr>
        <w:t>Pearson (2017)</w:t>
      </w:r>
      <w:r w:rsidR="00B21F2C" w:rsidRPr="00687CDC">
        <w:rPr>
          <w:rFonts w:ascii="Tahoma" w:hAnsi="Tahoma" w:cs="Tahoma"/>
        </w:rPr>
        <w:t xml:space="preserve"> state</w:t>
      </w:r>
      <w:r w:rsidR="00B445FB" w:rsidRPr="00687CDC">
        <w:rPr>
          <w:rFonts w:ascii="Tahoma" w:hAnsi="Tahoma" w:cs="Tahoma"/>
        </w:rPr>
        <w:t>s</w:t>
      </w:r>
      <w:r w:rsidR="00B21F2C" w:rsidRPr="00687CDC">
        <w:rPr>
          <w:rFonts w:ascii="Tahoma" w:hAnsi="Tahoma" w:cs="Tahoma"/>
        </w:rPr>
        <w:t xml:space="preserve"> that 61% of students who complete their </w:t>
      </w:r>
      <w:r w:rsidR="007D3E4D" w:rsidRPr="00687CDC">
        <w:rPr>
          <w:rFonts w:ascii="Tahoma" w:hAnsi="Tahoma" w:cs="Tahoma"/>
        </w:rPr>
        <w:t>2-year</w:t>
      </w:r>
      <w:r w:rsidR="00B21F2C" w:rsidRPr="00687CDC">
        <w:rPr>
          <w:rFonts w:ascii="Tahoma" w:hAnsi="Tahoma" w:cs="Tahoma"/>
        </w:rPr>
        <w:t xml:space="preserve"> BTEC extended diploma </w:t>
      </w:r>
      <w:r w:rsidR="00600425">
        <w:rPr>
          <w:rFonts w:ascii="Tahoma" w:hAnsi="Tahoma" w:cs="Tahoma"/>
        </w:rPr>
        <w:t>course progress</w:t>
      </w:r>
      <w:r w:rsidR="00B21F2C" w:rsidRPr="00687CDC">
        <w:rPr>
          <w:rFonts w:ascii="Tahoma" w:hAnsi="Tahoma" w:cs="Tahoma"/>
        </w:rPr>
        <w:t xml:space="preserve"> </w:t>
      </w:r>
      <w:r w:rsidR="00600425">
        <w:rPr>
          <w:rFonts w:ascii="Tahoma" w:hAnsi="Tahoma" w:cs="Tahoma"/>
        </w:rPr>
        <w:t xml:space="preserve">on </w:t>
      </w:r>
      <w:r w:rsidR="00B21F2C" w:rsidRPr="00687CDC">
        <w:rPr>
          <w:rFonts w:ascii="Tahoma" w:hAnsi="Tahoma" w:cs="Tahoma"/>
        </w:rPr>
        <w:t xml:space="preserve">to </w:t>
      </w:r>
      <w:r w:rsidR="007D3E4D" w:rsidRPr="00687CDC">
        <w:rPr>
          <w:rFonts w:ascii="Tahoma" w:hAnsi="Tahoma" w:cs="Tahoma"/>
        </w:rPr>
        <w:t>pursue</w:t>
      </w:r>
      <w:r w:rsidR="00B21F2C" w:rsidRPr="00687CDC">
        <w:rPr>
          <w:rFonts w:ascii="Tahoma" w:hAnsi="Tahoma" w:cs="Tahoma"/>
        </w:rPr>
        <w:t xml:space="preserve"> a higher degree in a sport</w:t>
      </w:r>
      <w:r w:rsidR="00415F87">
        <w:rPr>
          <w:rFonts w:ascii="Tahoma" w:hAnsi="Tahoma" w:cs="Tahoma"/>
        </w:rPr>
        <w:t xml:space="preserve"> and exercise</w:t>
      </w:r>
      <w:r w:rsidR="00B21F2C" w:rsidRPr="00687CDC">
        <w:rPr>
          <w:rFonts w:ascii="Tahoma" w:hAnsi="Tahoma" w:cs="Tahoma"/>
        </w:rPr>
        <w:t xml:space="preserve"> related discipline, with a large percentage of these </w:t>
      </w:r>
      <w:r w:rsidR="00600425">
        <w:rPr>
          <w:rFonts w:ascii="Tahoma" w:hAnsi="Tahoma" w:cs="Tahoma"/>
        </w:rPr>
        <w:t xml:space="preserve">students </w:t>
      </w:r>
      <w:r w:rsidR="00B21F2C" w:rsidRPr="00687CDC">
        <w:rPr>
          <w:rFonts w:ascii="Tahoma" w:hAnsi="Tahoma" w:cs="Tahoma"/>
        </w:rPr>
        <w:t>progressing to FDs.</w:t>
      </w:r>
    </w:p>
    <w:p w:rsidR="0074442E" w:rsidRPr="00687CDC" w:rsidRDefault="00FA07F4" w:rsidP="00F452EC">
      <w:pPr>
        <w:spacing w:before="240" w:line="360" w:lineRule="auto"/>
        <w:rPr>
          <w:rFonts w:ascii="Tahoma" w:hAnsi="Tahoma" w:cs="Tahoma"/>
        </w:rPr>
      </w:pPr>
      <w:r>
        <w:rPr>
          <w:rFonts w:ascii="Tahoma" w:hAnsi="Tahoma" w:cs="Tahoma"/>
        </w:rPr>
        <w:t>V</w:t>
      </w:r>
      <w:r w:rsidR="009D54E6" w:rsidRPr="00687CDC">
        <w:rPr>
          <w:rFonts w:ascii="Tahoma" w:hAnsi="Tahoma" w:cs="Tahoma"/>
        </w:rPr>
        <w:t>ocationally educated</w:t>
      </w:r>
      <w:r w:rsidR="0086085F" w:rsidRPr="00687CDC">
        <w:rPr>
          <w:rFonts w:ascii="Tahoma" w:hAnsi="Tahoma" w:cs="Tahoma"/>
        </w:rPr>
        <w:t xml:space="preserve"> students perceiv</w:t>
      </w:r>
      <w:r>
        <w:rPr>
          <w:rFonts w:ascii="Tahoma" w:hAnsi="Tahoma" w:cs="Tahoma"/>
        </w:rPr>
        <w:t>e that they will encounter specific</w:t>
      </w:r>
      <w:r w:rsidR="00A8181C">
        <w:rPr>
          <w:rFonts w:ascii="Tahoma" w:hAnsi="Tahoma" w:cs="Tahoma"/>
        </w:rPr>
        <w:t xml:space="preserve"> </w:t>
      </w:r>
      <w:r w:rsidR="00F74424" w:rsidRPr="00687CDC">
        <w:rPr>
          <w:rFonts w:ascii="Tahoma" w:hAnsi="Tahoma" w:cs="Tahoma"/>
        </w:rPr>
        <w:t xml:space="preserve">issues </w:t>
      </w:r>
      <w:r>
        <w:rPr>
          <w:rFonts w:ascii="Tahoma" w:hAnsi="Tahoma" w:cs="Tahoma"/>
        </w:rPr>
        <w:t xml:space="preserve">when </w:t>
      </w:r>
      <w:r w:rsidR="00F74424" w:rsidRPr="00687CDC">
        <w:rPr>
          <w:rFonts w:ascii="Tahoma" w:hAnsi="Tahoma" w:cs="Tahoma"/>
        </w:rPr>
        <w:t>transitioning into academic education</w:t>
      </w:r>
      <w:r w:rsidR="00120BCB">
        <w:rPr>
          <w:rFonts w:ascii="Tahoma" w:hAnsi="Tahoma" w:cs="Tahoma"/>
        </w:rPr>
        <w:t xml:space="preserve"> (</w:t>
      </w:r>
      <w:r w:rsidR="004F4E25">
        <w:rPr>
          <w:rFonts w:ascii="Tahoma" w:hAnsi="Tahoma" w:cs="Tahoma"/>
        </w:rPr>
        <w:t>Gill</w:t>
      </w:r>
      <w:r w:rsidR="00120BCB">
        <w:rPr>
          <w:rFonts w:ascii="Tahoma" w:hAnsi="Tahoma" w:cs="Tahoma"/>
        </w:rPr>
        <w:t>, 2018)</w:t>
      </w:r>
      <w:r w:rsidR="00054C04">
        <w:rPr>
          <w:rFonts w:ascii="Tahoma" w:hAnsi="Tahoma" w:cs="Tahoma"/>
        </w:rPr>
        <w:t xml:space="preserve"> and t</w:t>
      </w:r>
      <w:r w:rsidR="00FF171A" w:rsidRPr="00687CDC">
        <w:rPr>
          <w:rFonts w:ascii="Tahoma" w:hAnsi="Tahoma" w:cs="Tahoma"/>
        </w:rPr>
        <w:t xml:space="preserve">here </w:t>
      </w:r>
      <w:r w:rsidR="00120BCB">
        <w:rPr>
          <w:rFonts w:ascii="Tahoma" w:hAnsi="Tahoma" w:cs="Tahoma"/>
        </w:rPr>
        <w:t>appears to be</w:t>
      </w:r>
      <w:r w:rsidR="00FF171A" w:rsidRPr="00687CDC">
        <w:rPr>
          <w:rFonts w:ascii="Tahoma" w:hAnsi="Tahoma" w:cs="Tahoma"/>
        </w:rPr>
        <w:t xml:space="preserve"> a diverse expectation amongst students </w:t>
      </w:r>
      <w:r w:rsidR="000C2DE6" w:rsidRPr="00687CDC">
        <w:rPr>
          <w:rFonts w:ascii="Tahoma" w:hAnsi="Tahoma" w:cs="Tahoma"/>
        </w:rPr>
        <w:t xml:space="preserve">of the </w:t>
      </w:r>
      <w:r w:rsidR="00904C80">
        <w:rPr>
          <w:rFonts w:ascii="Tahoma" w:hAnsi="Tahoma" w:cs="Tahoma"/>
        </w:rPr>
        <w:t xml:space="preserve">type of </w:t>
      </w:r>
      <w:r w:rsidR="000C2DE6" w:rsidRPr="00687CDC">
        <w:rPr>
          <w:rFonts w:ascii="Tahoma" w:hAnsi="Tahoma" w:cs="Tahoma"/>
        </w:rPr>
        <w:t xml:space="preserve">experiences that academic study </w:t>
      </w:r>
      <w:r w:rsidR="00904C80">
        <w:rPr>
          <w:rFonts w:ascii="Tahoma" w:hAnsi="Tahoma" w:cs="Tahoma"/>
        </w:rPr>
        <w:t xml:space="preserve">will </w:t>
      </w:r>
      <w:r w:rsidR="000C2DE6" w:rsidRPr="00687CDC">
        <w:rPr>
          <w:rFonts w:ascii="Tahoma" w:hAnsi="Tahoma" w:cs="Tahoma"/>
        </w:rPr>
        <w:t>provide</w:t>
      </w:r>
      <w:r w:rsidR="00073BDB" w:rsidRPr="00687CDC">
        <w:rPr>
          <w:rFonts w:ascii="Tahoma" w:hAnsi="Tahoma" w:cs="Tahoma"/>
        </w:rPr>
        <w:t>, despite being positive about the transition</w:t>
      </w:r>
      <w:r w:rsidR="00904C80">
        <w:rPr>
          <w:rFonts w:ascii="Tahoma" w:hAnsi="Tahoma" w:cs="Tahoma"/>
        </w:rPr>
        <w:t xml:space="preserve"> to HE</w:t>
      </w:r>
      <w:r w:rsidR="00073BDB" w:rsidRPr="00687CDC">
        <w:rPr>
          <w:rFonts w:ascii="Tahoma" w:hAnsi="Tahoma" w:cs="Tahoma"/>
        </w:rPr>
        <w:t>.</w:t>
      </w:r>
      <w:r w:rsidR="00A8181C">
        <w:rPr>
          <w:rFonts w:ascii="Tahoma" w:hAnsi="Tahoma" w:cs="Tahoma"/>
        </w:rPr>
        <w:t xml:space="preserve"> </w:t>
      </w:r>
      <w:r w:rsidR="00DD2545" w:rsidRPr="00687CDC">
        <w:rPr>
          <w:rFonts w:ascii="Tahoma" w:hAnsi="Tahoma" w:cs="Tahoma"/>
        </w:rPr>
        <w:t xml:space="preserve">Consequently, </w:t>
      </w:r>
      <w:r w:rsidR="00872AC7" w:rsidRPr="00687CDC">
        <w:rPr>
          <w:rFonts w:ascii="Tahoma" w:hAnsi="Tahoma" w:cs="Tahoma"/>
        </w:rPr>
        <w:t>it cannot</w:t>
      </w:r>
      <w:r w:rsidR="00DD2545" w:rsidRPr="00687CDC">
        <w:rPr>
          <w:rFonts w:ascii="Tahoma" w:hAnsi="Tahoma" w:cs="Tahoma"/>
        </w:rPr>
        <w:t xml:space="preserve"> just </w:t>
      </w:r>
      <w:r w:rsidR="00872AC7" w:rsidRPr="00687CDC">
        <w:rPr>
          <w:rFonts w:ascii="Tahoma" w:hAnsi="Tahoma" w:cs="Tahoma"/>
        </w:rPr>
        <w:t xml:space="preserve">be </w:t>
      </w:r>
      <w:r w:rsidR="00DD2545" w:rsidRPr="00687CDC">
        <w:rPr>
          <w:rFonts w:ascii="Tahoma" w:hAnsi="Tahoma" w:cs="Tahoma"/>
        </w:rPr>
        <w:t>assume</w:t>
      </w:r>
      <w:r w:rsidR="00872AC7" w:rsidRPr="00687CDC">
        <w:rPr>
          <w:rFonts w:ascii="Tahoma" w:hAnsi="Tahoma" w:cs="Tahoma"/>
        </w:rPr>
        <w:t>d</w:t>
      </w:r>
      <w:r w:rsidR="00DD2545" w:rsidRPr="00687CDC">
        <w:rPr>
          <w:rFonts w:ascii="Tahoma" w:hAnsi="Tahoma" w:cs="Tahoma"/>
        </w:rPr>
        <w:t xml:space="preserve"> that students progressing from </w:t>
      </w:r>
      <w:r w:rsidR="0008012A" w:rsidRPr="00687CDC">
        <w:rPr>
          <w:rFonts w:ascii="Tahoma" w:hAnsi="Tahoma" w:cs="Tahoma"/>
        </w:rPr>
        <w:t xml:space="preserve">popular </w:t>
      </w:r>
      <w:r w:rsidR="00DD2545" w:rsidRPr="00687CDC">
        <w:rPr>
          <w:rFonts w:ascii="Tahoma" w:hAnsi="Tahoma" w:cs="Tahoma"/>
        </w:rPr>
        <w:t>vocational BTEC courses</w:t>
      </w:r>
      <w:r w:rsidR="00054C04">
        <w:rPr>
          <w:rFonts w:ascii="Tahoma" w:hAnsi="Tahoma" w:cs="Tahoma"/>
        </w:rPr>
        <w:t xml:space="preserve"> </w:t>
      </w:r>
      <w:r w:rsidR="00590C22" w:rsidRPr="00687CDC">
        <w:rPr>
          <w:rFonts w:ascii="Tahoma" w:hAnsi="Tahoma" w:cs="Tahoma"/>
        </w:rPr>
        <w:t xml:space="preserve">to more academically focused FD courses </w:t>
      </w:r>
      <w:r w:rsidR="00975221" w:rsidRPr="00687CDC">
        <w:rPr>
          <w:rFonts w:ascii="Tahoma" w:hAnsi="Tahoma" w:cs="Tahoma"/>
        </w:rPr>
        <w:t xml:space="preserve">will </w:t>
      </w:r>
      <w:r w:rsidR="00054C04">
        <w:rPr>
          <w:rFonts w:ascii="Tahoma" w:hAnsi="Tahoma" w:cs="Tahoma"/>
        </w:rPr>
        <w:t xml:space="preserve">have a similar </w:t>
      </w:r>
      <w:r w:rsidR="00975221" w:rsidRPr="00687CDC">
        <w:rPr>
          <w:rFonts w:ascii="Tahoma" w:hAnsi="Tahoma" w:cs="Tahoma"/>
        </w:rPr>
        <w:t xml:space="preserve">transition </w:t>
      </w:r>
      <w:r w:rsidR="00054C04">
        <w:rPr>
          <w:rFonts w:ascii="Tahoma" w:hAnsi="Tahoma" w:cs="Tahoma"/>
        </w:rPr>
        <w:t xml:space="preserve">experience to </w:t>
      </w:r>
      <w:r w:rsidR="00975221" w:rsidRPr="00687CDC">
        <w:rPr>
          <w:rFonts w:ascii="Tahoma" w:hAnsi="Tahoma" w:cs="Tahoma"/>
        </w:rPr>
        <w:t>other student</w:t>
      </w:r>
      <w:r w:rsidR="0008012A" w:rsidRPr="00687CDC">
        <w:rPr>
          <w:rFonts w:ascii="Tahoma" w:hAnsi="Tahoma" w:cs="Tahoma"/>
        </w:rPr>
        <w:t xml:space="preserve"> cohorts</w:t>
      </w:r>
      <w:r w:rsidR="000220D0" w:rsidRPr="00687CDC">
        <w:rPr>
          <w:rFonts w:ascii="Tahoma" w:hAnsi="Tahoma" w:cs="Tahoma"/>
        </w:rPr>
        <w:t xml:space="preserve">, such as those from more traditional </w:t>
      </w:r>
      <w:r w:rsidR="00AE1311" w:rsidRPr="00687CDC">
        <w:rPr>
          <w:rFonts w:ascii="Tahoma" w:hAnsi="Tahoma" w:cs="Tahoma"/>
        </w:rPr>
        <w:t>backgrounds, for example A-Level entrants</w:t>
      </w:r>
      <w:r w:rsidR="006A1E91" w:rsidRPr="00687CDC">
        <w:rPr>
          <w:rFonts w:ascii="Tahoma" w:hAnsi="Tahoma" w:cs="Tahoma"/>
        </w:rPr>
        <w:t xml:space="preserve"> (Hatt </w:t>
      </w:r>
      <w:r w:rsidR="00C45783">
        <w:rPr>
          <w:rFonts w:ascii="Tahoma" w:hAnsi="Tahoma" w:cs="Tahoma"/>
        </w:rPr>
        <w:t>&amp;</w:t>
      </w:r>
      <w:r w:rsidR="006A1E91" w:rsidRPr="00687CDC">
        <w:rPr>
          <w:rFonts w:ascii="Tahoma" w:hAnsi="Tahoma" w:cs="Tahoma"/>
        </w:rPr>
        <w:t xml:space="preserve"> Baxter, 2003)</w:t>
      </w:r>
      <w:r w:rsidR="00AE1311" w:rsidRPr="00687CDC">
        <w:rPr>
          <w:rFonts w:ascii="Tahoma" w:hAnsi="Tahoma" w:cs="Tahoma"/>
        </w:rPr>
        <w:t>.</w:t>
      </w:r>
      <w:r w:rsidR="00054C04">
        <w:rPr>
          <w:rFonts w:ascii="Tahoma" w:hAnsi="Tahoma" w:cs="Tahoma"/>
        </w:rPr>
        <w:t xml:space="preserve"> </w:t>
      </w:r>
      <w:r w:rsidR="000160DC" w:rsidRPr="00687CDC">
        <w:rPr>
          <w:rFonts w:ascii="Tahoma" w:hAnsi="Tahoma" w:cs="Tahoma"/>
        </w:rPr>
        <w:t xml:space="preserve">With more students </w:t>
      </w:r>
      <w:r w:rsidR="00991095">
        <w:rPr>
          <w:rFonts w:ascii="Tahoma" w:hAnsi="Tahoma" w:cs="Tahoma"/>
        </w:rPr>
        <w:t xml:space="preserve">entering HE </w:t>
      </w:r>
      <w:r w:rsidR="000160DC" w:rsidRPr="00687CDC">
        <w:rPr>
          <w:rFonts w:ascii="Tahoma" w:hAnsi="Tahoma" w:cs="Tahoma"/>
        </w:rPr>
        <w:t xml:space="preserve">from typically </w:t>
      </w:r>
      <w:r w:rsidR="006A1E91" w:rsidRPr="00687CDC">
        <w:rPr>
          <w:rFonts w:ascii="Tahoma" w:hAnsi="Tahoma" w:cs="Tahoma"/>
        </w:rPr>
        <w:t xml:space="preserve">non-traditional </w:t>
      </w:r>
      <w:r w:rsidR="000160DC" w:rsidRPr="00687CDC">
        <w:rPr>
          <w:rFonts w:ascii="Tahoma" w:hAnsi="Tahoma" w:cs="Tahoma"/>
        </w:rPr>
        <w:t xml:space="preserve">backgrounds </w:t>
      </w:r>
      <w:r w:rsidR="00E672AD" w:rsidRPr="00687CDC">
        <w:rPr>
          <w:rFonts w:ascii="Tahoma" w:hAnsi="Tahoma" w:cs="Tahoma"/>
        </w:rPr>
        <w:t>(Craig, 2009; Simm</w:t>
      </w:r>
      <w:r w:rsidR="00A8181C">
        <w:rPr>
          <w:rFonts w:ascii="Tahoma" w:hAnsi="Tahoma" w:cs="Tahoma"/>
        </w:rPr>
        <w:t xml:space="preserve"> </w:t>
      </w:r>
      <w:r w:rsidR="00E672AD" w:rsidRPr="00687CDC">
        <w:rPr>
          <w:rFonts w:ascii="Tahoma" w:hAnsi="Tahoma" w:cs="Tahoma"/>
          <w:i/>
        </w:rPr>
        <w:t>et al</w:t>
      </w:r>
      <w:r w:rsidR="00E672AD" w:rsidRPr="00687CDC">
        <w:rPr>
          <w:rFonts w:ascii="Tahoma" w:hAnsi="Tahoma" w:cs="Tahoma"/>
        </w:rPr>
        <w:t xml:space="preserve">., 2015), </w:t>
      </w:r>
      <w:r w:rsidR="0024534A" w:rsidRPr="00687CDC">
        <w:rPr>
          <w:rFonts w:ascii="Tahoma" w:hAnsi="Tahoma" w:cs="Tahoma"/>
        </w:rPr>
        <w:t xml:space="preserve">it is important that we </w:t>
      </w:r>
      <w:r w:rsidR="00326944" w:rsidRPr="00687CDC">
        <w:rPr>
          <w:rFonts w:ascii="Tahoma" w:hAnsi="Tahoma" w:cs="Tahoma"/>
        </w:rPr>
        <w:t xml:space="preserve">explore and </w:t>
      </w:r>
      <w:r w:rsidR="006828F3" w:rsidRPr="00687CDC">
        <w:rPr>
          <w:rFonts w:ascii="Tahoma" w:hAnsi="Tahoma" w:cs="Tahoma"/>
        </w:rPr>
        <w:t>understand th</w:t>
      </w:r>
      <w:r w:rsidR="00B503D8" w:rsidRPr="00687CDC">
        <w:rPr>
          <w:rFonts w:ascii="Tahoma" w:hAnsi="Tahoma" w:cs="Tahoma"/>
        </w:rPr>
        <w:t>is</w:t>
      </w:r>
      <w:r w:rsidR="00A8181C">
        <w:rPr>
          <w:rFonts w:ascii="Tahoma" w:hAnsi="Tahoma" w:cs="Tahoma"/>
        </w:rPr>
        <w:t xml:space="preserve"> </w:t>
      </w:r>
      <w:r w:rsidR="00191BA5" w:rsidRPr="00687CDC">
        <w:rPr>
          <w:rFonts w:ascii="Tahoma" w:hAnsi="Tahoma" w:cs="Tahoma"/>
        </w:rPr>
        <w:t>student</w:t>
      </w:r>
      <w:r w:rsidR="00B503D8" w:rsidRPr="00687CDC">
        <w:rPr>
          <w:rFonts w:ascii="Tahoma" w:hAnsi="Tahoma" w:cs="Tahoma"/>
        </w:rPr>
        <w:t xml:space="preserve"> cohort</w:t>
      </w:r>
      <w:r w:rsidR="00A8181C">
        <w:rPr>
          <w:rFonts w:ascii="Tahoma" w:hAnsi="Tahoma" w:cs="Tahoma"/>
        </w:rPr>
        <w:t xml:space="preserve"> </w:t>
      </w:r>
      <w:r w:rsidR="00435C51">
        <w:rPr>
          <w:rFonts w:ascii="Tahoma" w:hAnsi="Tahoma" w:cs="Tahoma"/>
        </w:rPr>
        <w:t>to better support the</w:t>
      </w:r>
      <w:r w:rsidR="00DB1DB7">
        <w:rPr>
          <w:rFonts w:ascii="Tahoma" w:hAnsi="Tahoma" w:cs="Tahoma"/>
        </w:rPr>
        <w:t xml:space="preserve"> student body</w:t>
      </w:r>
      <w:r w:rsidR="00435C51">
        <w:rPr>
          <w:rFonts w:ascii="Tahoma" w:hAnsi="Tahoma" w:cs="Tahoma"/>
        </w:rPr>
        <w:t xml:space="preserve"> in their transition.</w:t>
      </w:r>
    </w:p>
    <w:p w:rsidR="00B21F2C" w:rsidRDefault="001B41E9" w:rsidP="00F452EC">
      <w:pPr>
        <w:spacing w:line="360" w:lineRule="auto"/>
        <w:rPr>
          <w:rFonts w:ascii="Tahoma" w:hAnsi="Tahoma" w:cs="Tahoma"/>
        </w:rPr>
      </w:pPr>
      <w:r w:rsidRPr="0073654A">
        <w:rPr>
          <w:rFonts w:ascii="Tahoma" w:hAnsi="Tahoma" w:cs="Tahoma"/>
        </w:rPr>
        <w:t>T</w:t>
      </w:r>
      <w:r w:rsidR="00B21F2C" w:rsidRPr="0073654A">
        <w:rPr>
          <w:rFonts w:ascii="Tahoma" w:hAnsi="Tahoma" w:cs="Tahoma"/>
        </w:rPr>
        <w:t xml:space="preserve">he aim of this research is to explore BTEC Level 3 </w:t>
      </w:r>
      <w:r w:rsidR="00FC58E4" w:rsidRPr="0073654A">
        <w:rPr>
          <w:rFonts w:ascii="Tahoma" w:hAnsi="Tahoma" w:cs="Tahoma"/>
        </w:rPr>
        <w:t>sport</w:t>
      </w:r>
      <w:r w:rsidR="00415F87" w:rsidRPr="0073654A">
        <w:rPr>
          <w:rFonts w:ascii="Tahoma" w:hAnsi="Tahoma" w:cs="Tahoma"/>
        </w:rPr>
        <w:t xml:space="preserve"> and exercise</w:t>
      </w:r>
      <w:r w:rsidR="00FC58E4" w:rsidRPr="0073654A">
        <w:rPr>
          <w:rFonts w:ascii="Tahoma" w:hAnsi="Tahoma" w:cs="Tahoma"/>
        </w:rPr>
        <w:t xml:space="preserve"> </w:t>
      </w:r>
      <w:r w:rsidR="001E2310" w:rsidRPr="0073654A">
        <w:rPr>
          <w:rFonts w:ascii="Tahoma" w:hAnsi="Tahoma" w:cs="Tahoma"/>
        </w:rPr>
        <w:t>students’</w:t>
      </w:r>
      <w:r w:rsidR="00B21F2C" w:rsidRPr="00687CDC">
        <w:rPr>
          <w:rFonts w:ascii="Tahoma" w:hAnsi="Tahoma" w:cs="Tahoma"/>
        </w:rPr>
        <w:t xml:space="preserve"> thoughts, feelings and perceptions on their forthcoming transition to </w:t>
      </w:r>
      <w:r w:rsidR="00735E5B" w:rsidRPr="00687CDC">
        <w:rPr>
          <w:rFonts w:ascii="Tahoma" w:hAnsi="Tahoma" w:cs="Tahoma"/>
        </w:rPr>
        <w:t>HE</w:t>
      </w:r>
      <w:r w:rsidR="000B0AFC" w:rsidRPr="00687CDC">
        <w:rPr>
          <w:rFonts w:ascii="Tahoma" w:hAnsi="Tahoma" w:cs="Tahoma"/>
        </w:rPr>
        <w:t>,</w:t>
      </w:r>
      <w:r w:rsidR="00A8181C">
        <w:rPr>
          <w:rFonts w:ascii="Tahoma" w:hAnsi="Tahoma" w:cs="Tahoma"/>
        </w:rPr>
        <w:t xml:space="preserve"> </w:t>
      </w:r>
      <w:r w:rsidR="000B0AFC" w:rsidRPr="00687CDC">
        <w:rPr>
          <w:rFonts w:ascii="Tahoma" w:hAnsi="Tahoma" w:cs="Tahoma"/>
        </w:rPr>
        <w:t>undertaking</w:t>
      </w:r>
      <w:r w:rsidR="00B21F2C" w:rsidRPr="00687CDC">
        <w:rPr>
          <w:rFonts w:ascii="Tahoma" w:hAnsi="Tahoma" w:cs="Tahoma"/>
        </w:rPr>
        <w:t xml:space="preserve"> a FD</w:t>
      </w:r>
      <w:r w:rsidR="001A5859" w:rsidRPr="00687CDC">
        <w:rPr>
          <w:rFonts w:ascii="Tahoma" w:hAnsi="Tahoma" w:cs="Tahoma"/>
        </w:rPr>
        <w:t xml:space="preserve"> course</w:t>
      </w:r>
      <w:r w:rsidR="00B21F2C" w:rsidRPr="00687CDC">
        <w:rPr>
          <w:rFonts w:ascii="Tahoma" w:hAnsi="Tahoma" w:cs="Tahoma"/>
        </w:rPr>
        <w:t xml:space="preserve"> in a F</w:t>
      </w:r>
      <w:r w:rsidR="001A5859" w:rsidRPr="00687CDC">
        <w:rPr>
          <w:rFonts w:ascii="Tahoma" w:hAnsi="Tahoma" w:cs="Tahoma"/>
        </w:rPr>
        <w:t>EC</w:t>
      </w:r>
      <w:r w:rsidR="00B21F2C" w:rsidRPr="00687CDC">
        <w:rPr>
          <w:rFonts w:ascii="Tahoma" w:hAnsi="Tahoma" w:cs="Tahoma"/>
        </w:rPr>
        <w:t xml:space="preserve">. It is anticipated that the findings will highlight </w:t>
      </w:r>
      <w:r w:rsidR="00054C04" w:rsidRPr="00687CDC">
        <w:rPr>
          <w:rFonts w:ascii="Tahoma" w:hAnsi="Tahoma" w:cs="Tahoma"/>
        </w:rPr>
        <w:t>students’</w:t>
      </w:r>
      <w:r w:rsidR="00A8181C">
        <w:rPr>
          <w:rFonts w:ascii="Tahoma" w:hAnsi="Tahoma" w:cs="Tahoma"/>
        </w:rPr>
        <w:t xml:space="preserve"> </w:t>
      </w:r>
      <w:r w:rsidR="00944DFA">
        <w:rPr>
          <w:rFonts w:ascii="Tahoma" w:hAnsi="Tahoma" w:cs="Tahoma"/>
        </w:rPr>
        <w:t xml:space="preserve">reasons for choosing to study </w:t>
      </w:r>
      <w:r w:rsidR="000F539A">
        <w:rPr>
          <w:rFonts w:ascii="Tahoma" w:hAnsi="Tahoma" w:cs="Tahoma"/>
        </w:rPr>
        <w:t xml:space="preserve">HE </w:t>
      </w:r>
      <w:r w:rsidR="00944DFA">
        <w:rPr>
          <w:rFonts w:ascii="Tahoma" w:hAnsi="Tahoma" w:cs="Tahoma"/>
        </w:rPr>
        <w:t>in a FE</w:t>
      </w:r>
      <w:r w:rsidR="000F539A">
        <w:rPr>
          <w:rFonts w:ascii="Tahoma" w:hAnsi="Tahoma" w:cs="Tahoma"/>
        </w:rPr>
        <w:t xml:space="preserve"> </w:t>
      </w:r>
      <w:r w:rsidR="00054C04">
        <w:rPr>
          <w:rFonts w:ascii="Tahoma" w:hAnsi="Tahoma" w:cs="Tahoma"/>
        </w:rPr>
        <w:t>setting</w:t>
      </w:r>
      <w:r w:rsidR="000F539A">
        <w:rPr>
          <w:rFonts w:ascii="Tahoma" w:hAnsi="Tahoma" w:cs="Tahoma"/>
        </w:rPr>
        <w:t xml:space="preserve">, </w:t>
      </w:r>
      <w:r w:rsidR="00576E97">
        <w:rPr>
          <w:rFonts w:ascii="Tahoma" w:hAnsi="Tahoma" w:cs="Tahoma"/>
        </w:rPr>
        <w:t xml:space="preserve">students </w:t>
      </w:r>
      <w:r w:rsidR="00B21F2C" w:rsidRPr="00687CDC">
        <w:rPr>
          <w:rFonts w:ascii="Tahoma" w:hAnsi="Tahoma" w:cs="Tahoma"/>
        </w:rPr>
        <w:t>expectations</w:t>
      </w:r>
      <w:r w:rsidR="002A50D8" w:rsidRPr="00687CDC">
        <w:rPr>
          <w:rFonts w:ascii="Tahoma" w:hAnsi="Tahoma" w:cs="Tahoma"/>
        </w:rPr>
        <w:t xml:space="preserve"> of FD </w:t>
      </w:r>
      <w:r w:rsidR="00E00709" w:rsidRPr="00687CDC">
        <w:rPr>
          <w:rFonts w:ascii="Tahoma" w:hAnsi="Tahoma" w:cs="Tahoma"/>
        </w:rPr>
        <w:t>courses</w:t>
      </w:r>
      <w:r w:rsidR="000F539A">
        <w:rPr>
          <w:rFonts w:ascii="Tahoma" w:hAnsi="Tahoma" w:cs="Tahoma"/>
        </w:rPr>
        <w:t>,</w:t>
      </w:r>
      <w:r w:rsidR="00A8181C">
        <w:rPr>
          <w:rFonts w:ascii="Tahoma" w:hAnsi="Tahoma" w:cs="Tahoma"/>
        </w:rPr>
        <w:t xml:space="preserve"> </w:t>
      </w:r>
      <w:r w:rsidR="00B21F2C" w:rsidRPr="00687CDC">
        <w:rPr>
          <w:rFonts w:ascii="Tahoma" w:hAnsi="Tahoma" w:cs="Tahoma"/>
        </w:rPr>
        <w:t xml:space="preserve">and </w:t>
      </w:r>
      <w:r w:rsidR="00582E04">
        <w:rPr>
          <w:rFonts w:ascii="Tahoma" w:hAnsi="Tahoma" w:cs="Tahoma"/>
        </w:rPr>
        <w:t xml:space="preserve">the </w:t>
      </w:r>
      <w:r w:rsidR="00B21F2C" w:rsidRPr="00687CDC">
        <w:rPr>
          <w:rFonts w:ascii="Tahoma" w:hAnsi="Tahoma" w:cs="Tahoma"/>
        </w:rPr>
        <w:t xml:space="preserve">key barriers </w:t>
      </w:r>
      <w:r w:rsidR="00582E04">
        <w:rPr>
          <w:rFonts w:ascii="Tahoma" w:hAnsi="Tahoma" w:cs="Tahoma"/>
        </w:rPr>
        <w:t>faced by this specific student body</w:t>
      </w:r>
      <w:r w:rsidR="00B21F2C" w:rsidRPr="00687CDC">
        <w:rPr>
          <w:rFonts w:ascii="Tahoma" w:hAnsi="Tahoma" w:cs="Tahoma"/>
        </w:rPr>
        <w:t xml:space="preserve">. </w:t>
      </w:r>
      <w:r w:rsidR="00CA1686">
        <w:rPr>
          <w:rFonts w:ascii="Tahoma" w:hAnsi="Tahoma" w:cs="Tahoma"/>
        </w:rPr>
        <w:t xml:space="preserve">The </w:t>
      </w:r>
      <w:r w:rsidR="000E0B9C" w:rsidRPr="00687CDC">
        <w:rPr>
          <w:rFonts w:ascii="Tahoma" w:hAnsi="Tahoma" w:cs="Tahoma"/>
        </w:rPr>
        <w:t>insight will</w:t>
      </w:r>
      <w:r w:rsidR="00B77C4B" w:rsidRPr="00687CDC">
        <w:rPr>
          <w:rFonts w:ascii="Tahoma" w:hAnsi="Tahoma" w:cs="Tahoma"/>
        </w:rPr>
        <w:t xml:space="preserve"> allow g</w:t>
      </w:r>
      <w:r w:rsidR="00B21F2C" w:rsidRPr="00687CDC">
        <w:rPr>
          <w:rFonts w:ascii="Tahoma" w:hAnsi="Tahoma" w:cs="Tahoma"/>
        </w:rPr>
        <w:t xml:space="preserve">uidelines and </w:t>
      </w:r>
      <w:r w:rsidR="00E00709" w:rsidRPr="00687CDC">
        <w:rPr>
          <w:rFonts w:ascii="Tahoma" w:hAnsi="Tahoma" w:cs="Tahoma"/>
        </w:rPr>
        <w:t>recommendations</w:t>
      </w:r>
      <w:r w:rsidR="00A8181C">
        <w:rPr>
          <w:rFonts w:ascii="Tahoma" w:hAnsi="Tahoma" w:cs="Tahoma"/>
        </w:rPr>
        <w:t xml:space="preserve"> </w:t>
      </w:r>
      <w:r w:rsidR="00B77C4B" w:rsidRPr="00687CDC">
        <w:rPr>
          <w:rFonts w:ascii="Tahoma" w:hAnsi="Tahoma" w:cs="Tahoma"/>
        </w:rPr>
        <w:t xml:space="preserve">to </w:t>
      </w:r>
      <w:r w:rsidR="00B21F2C" w:rsidRPr="00687CDC">
        <w:rPr>
          <w:rFonts w:ascii="Tahoma" w:hAnsi="Tahoma" w:cs="Tahoma"/>
        </w:rPr>
        <w:t xml:space="preserve">be </w:t>
      </w:r>
      <w:r w:rsidR="006A6ABB" w:rsidRPr="00687CDC">
        <w:rPr>
          <w:rFonts w:ascii="Tahoma" w:hAnsi="Tahoma" w:cs="Tahoma"/>
        </w:rPr>
        <w:t xml:space="preserve">formed </w:t>
      </w:r>
      <w:r w:rsidR="00B21F2C" w:rsidRPr="00687CDC">
        <w:rPr>
          <w:rFonts w:ascii="Tahoma" w:hAnsi="Tahoma" w:cs="Tahoma"/>
        </w:rPr>
        <w:t xml:space="preserve">on supporting and improving the transitional process for students </w:t>
      </w:r>
      <w:r w:rsidR="00466673">
        <w:rPr>
          <w:rFonts w:ascii="Tahoma" w:hAnsi="Tahoma" w:cs="Tahoma"/>
        </w:rPr>
        <w:t>progressing</w:t>
      </w:r>
      <w:r w:rsidR="00B21F2C" w:rsidRPr="00687CDC">
        <w:rPr>
          <w:rFonts w:ascii="Tahoma" w:hAnsi="Tahoma" w:cs="Tahoma"/>
        </w:rPr>
        <w:t xml:space="preserve"> from </w:t>
      </w:r>
      <w:r w:rsidR="00CA1686">
        <w:rPr>
          <w:rFonts w:ascii="Tahoma" w:hAnsi="Tahoma" w:cs="Tahoma"/>
        </w:rPr>
        <w:t xml:space="preserve">a vocational BTEC background </w:t>
      </w:r>
      <w:r w:rsidR="00B21F2C" w:rsidRPr="00687CDC">
        <w:rPr>
          <w:rFonts w:ascii="Tahoma" w:hAnsi="Tahoma" w:cs="Tahoma"/>
        </w:rPr>
        <w:t xml:space="preserve">to study </w:t>
      </w:r>
      <w:r w:rsidR="00CA1686">
        <w:rPr>
          <w:rFonts w:ascii="Tahoma" w:hAnsi="Tahoma" w:cs="Tahoma"/>
        </w:rPr>
        <w:t>in</w:t>
      </w:r>
      <w:r w:rsidR="00B21F2C" w:rsidRPr="00687CDC">
        <w:rPr>
          <w:rFonts w:ascii="Tahoma" w:hAnsi="Tahoma" w:cs="Tahoma"/>
        </w:rPr>
        <w:t xml:space="preserve"> HE. The findings can serve as a guide for FECs to be</w:t>
      </w:r>
      <w:r w:rsidR="00696DFF" w:rsidRPr="00687CDC">
        <w:rPr>
          <w:rFonts w:ascii="Tahoma" w:hAnsi="Tahoma" w:cs="Tahoma"/>
        </w:rPr>
        <w:t>t</w:t>
      </w:r>
      <w:r w:rsidR="00B21F2C" w:rsidRPr="00687CDC">
        <w:rPr>
          <w:rFonts w:ascii="Tahoma" w:hAnsi="Tahoma" w:cs="Tahoma"/>
        </w:rPr>
        <w:t>ter support students progressing to FD</w:t>
      </w:r>
      <w:r w:rsidR="00EB7378" w:rsidRPr="00687CDC">
        <w:rPr>
          <w:rFonts w:ascii="Tahoma" w:hAnsi="Tahoma" w:cs="Tahoma"/>
        </w:rPr>
        <w:t xml:space="preserve"> courses</w:t>
      </w:r>
      <w:r w:rsidR="005A6713" w:rsidRPr="00687CDC">
        <w:rPr>
          <w:rFonts w:ascii="Tahoma" w:hAnsi="Tahoma" w:cs="Tahoma"/>
        </w:rPr>
        <w:t xml:space="preserve"> at their institution</w:t>
      </w:r>
      <w:r w:rsidR="00DB47AC">
        <w:rPr>
          <w:rFonts w:ascii="Tahoma" w:hAnsi="Tahoma" w:cs="Tahoma"/>
        </w:rPr>
        <w:t>s</w:t>
      </w:r>
      <w:r w:rsidR="00411C31" w:rsidRPr="00687CDC">
        <w:rPr>
          <w:rFonts w:ascii="Tahoma" w:hAnsi="Tahoma" w:cs="Tahoma"/>
        </w:rPr>
        <w:t xml:space="preserve">, hopefully reducing attrition, </w:t>
      </w:r>
      <w:r w:rsidR="0073654A">
        <w:rPr>
          <w:rFonts w:ascii="Tahoma" w:hAnsi="Tahoma" w:cs="Tahoma"/>
        </w:rPr>
        <w:t>and</w:t>
      </w:r>
      <w:r w:rsidR="00A8181C">
        <w:rPr>
          <w:rFonts w:ascii="Tahoma" w:hAnsi="Tahoma" w:cs="Tahoma"/>
        </w:rPr>
        <w:t xml:space="preserve"> </w:t>
      </w:r>
      <w:r w:rsidR="00411C31" w:rsidRPr="00687CDC">
        <w:rPr>
          <w:rFonts w:ascii="Tahoma" w:hAnsi="Tahoma" w:cs="Tahoma"/>
        </w:rPr>
        <w:t>improving retention</w:t>
      </w:r>
      <w:r w:rsidR="00A25843" w:rsidRPr="00687CDC">
        <w:rPr>
          <w:rFonts w:ascii="Tahoma" w:hAnsi="Tahoma" w:cs="Tahoma"/>
        </w:rPr>
        <w:t xml:space="preserve"> and </w:t>
      </w:r>
      <w:r w:rsidR="00CD472F" w:rsidRPr="00687CDC">
        <w:rPr>
          <w:rFonts w:ascii="Tahoma" w:hAnsi="Tahoma" w:cs="Tahoma"/>
        </w:rPr>
        <w:t xml:space="preserve">overall </w:t>
      </w:r>
      <w:r w:rsidR="00A25843" w:rsidRPr="00687CDC">
        <w:rPr>
          <w:rFonts w:ascii="Tahoma" w:hAnsi="Tahoma" w:cs="Tahoma"/>
        </w:rPr>
        <w:t>student satisfaction of future cohorts</w:t>
      </w:r>
      <w:r w:rsidR="00B21F2C" w:rsidRPr="00687CDC">
        <w:rPr>
          <w:rFonts w:ascii="Tahoma" w:hAnsi="Tahoma" w:cs="Tahoma"/>
        </w:rPr>
        <w:t xml:space="preserve">. Furthermore, the guidelines and recommendations will enable </w:t>
      </w:r>
      <w:r w:rsidR="00E41236" w:rsidRPr="00687CDC">
        <w:rPr>
          <w:rFonts w:ascii="Tahoma" w:hAnsi="Tahoma" w:cs="Tahoma"/>
        </w:rPr>
        <w:t xml:space="preserve">universities, </w:t>
      </w:r>
      <w:r w:rsidR="00D95961" w:rsidRPr="00687CDC">
        <w:rPr>
          <w:rFonts w:ascii="Tahoma" w:hAnsi="Tahoma" w:cs="Tahoma"/>
        </w:rPr>
        <w:t xml:space="preserve">and specifically </w:t>
      </w:r>
      <w:r w:rsidR="00C643BA" w:rsidRPr="00687CDC">
        <w:rPr>
          <w:rFonts w:ascii="Tahoma" w:hAnsi="Tahoma" w:cs="Tahoma"/>
        </w:rPr>
        <w:t xml:space="preserve">sport and exercise related departments, to </w:t>
      </w:r>
      <w:r w:rsidR="00B21F2C" w:rsidRPr="00687CDC">
        <w:rPr>
          <w:rFonts w:ascii="Tahoma" w:hAnsi="Tahoma" w:cs="Tahoma"/>
        </w:rPr>
        <w:t xml:space="preserve">better understand </w:t>
      </w:r>
      <w:r w:rsidR="002439A1" w:rsidRPr="00687CDC">
        <w:rPr>
          <w:rFonts w:ascii="Tahoma" w:hAnsi="Tahoma" w:cs="Tahoma"/>
        </w:rPr>
        <w:t xml:space="preserve">expectations and </w:t>
      </w:r>
      <w:r w:rsidR="0089250C" w:rsidRPr="00687CDC">
        <w:rPr>
          <w:rFonts w:ascii="Tahoma" w:hAnsi="Tahoma" w:cs="Tahoma"/>
        </w:rPr>
        <w:t xml:space="preserve">the </w:t>
      </w:r>
      <w:r w:rsidR="002439A1" w:rsidRPr="00687CDC">
        <w:rPr>
          <w:rFonts w:ascii="Tahoma" w:hAnsi="Tahoma" w:cs="Tahoma"/>
        </w:rPr>
        <w:t>needs</w:t>
      </w:r>
      <w:r w:rsidR="00A8181C">
        <w:rPr>
          <w:rFonts w:ascii="Tahoma" w:hAnsi="Tahoma" w:cs="Tahoma"/>
        </w:rPr>
        <w:t xml:space="preserve"> </w:t>
      </w:r>
      <w:r w:rsidR="00CD67B6" w:rsidRPr="00687CDC">
        <w:rPr>
          <w:rFonts w:ascii="Tahoma" w:hAnsi="Tahoma" w:cs="Tahoma"/>
        </w:rPr>
        <w:lastRenderedPageBreak/>
        <w:t xml:space="preserve">of those students </w:t>
      </w:r>
      <w:r w:rsidR="000747F0" w:rsidRPr="00687CDC">
        <w:rPr>
          <w:rFonts w:ascii="Tahoma" w:hAnsi="Tahoma" w:cs="Tahoma"/>
        </w:rPr>
        <w:t xml:space="preserve">that </w:t>
      </w:r>
      <w:r w:rsidR="009B130E" w:rsidRPr="00687CDC">
        <w:rPr>
          <w:rFonts w:ascii="Tahoma" w:hAnsi="Tahoma" w:cs="Tahoma"/>
        </w:rPr>
        <w:t xml:space="preserve">transition </w:t>
      </w:r>
      <w:r w:rsidR="000747F0" w:rsidRPr="00687CDC">
        <w:rPr>
          <w:rFonts w:ascii="Tahoma" w:hAnsi="Tahoma" w:cs="Tahoma"/>
        </w:rPr>
        <w:t xml:space="preserve">onto FD courses </w:t>
      </w:r>
      <w:r w:rsidR="00B21F2C" w:rsidRPr="00687CDC">
        <w:rPr>
          <w:rFonts w:ascii="Tahoma" w:hAnsi="Tahoma" w:cs="Tahoma"/>
        </w:rPr>
        <w:t>at partner organisations</w:t>
      </w:r>
      <w:r w:rsidR="00FA744C">
        <w:rPr>
          <w:rFonts w:ascii="Tahoma" w:hAnsi="Tahoma" w:cs="Tahoma"/>
        </w:rPr>
        <w:t>.</w:t>
      </w:r>
      <w:r w:rsidR="00A8181C">
        <w:rPr>
          <w:rFonts w:ascii="Tahoma" w:hAnsi="Tahoma" w:cs="Tahoma"/>
        </w:rPr>
        <w:t xml:space="preserve"> </w:t>
      </w:r>
      <w:r w:rsidR="002F7176" w:rsidRPr="00687CDC">
        <w:rPr>
          <w:rFonts w:ascii="Tahoma" w:hAnsi="Tahoma" w:cs="Tahoma"/>
        </w:rPr>
        <w:t>Similar to</w:t>
      </w:r>
      <w:r w:rsidR="00A8181C">
        <w:rPr>
          <w:rFonts w:ascii="Tahoma" w:hAnsi="Tahoma" w:cs="Tahoma"/>
        </w:rPr>
        <w:t xml:space="preserve"> </w:t>
      </w:r>
      <w:r w:rsidR="004F4E25">
        <w:rPr>
          <w:rFonts w:ascii="Tahoma" w:hAnsi="Tahoma" w:cs="Tahoma"/>
        </w:rPr>
        <w:t>Gill</w:t>
      </w:r>
      <w:r w:rsidR="002F7176" w:rsidRPr="00687CDC">
        <w:rPr>
          <w:rFonts w:ascii="Tahoma" w:hAnsi="Tahoma" w:cs="Tahoma"/>
        </w:rPr>
        <w:t xml:space="preserve"> (2017</w:t>
      </w:r>
      <w:r w:rsidR="00697D78" w:rsidRPr="00687CDC">
        <w:rPr>
          <w:rFonts w:ascii="Tahoma" w:hAnsi="Tahoma" w:cs="Tahoma"/>
        </w:rPr>
        <w:t>; 2018</w:t>
      </w:r>
      <w:r w:rsidR="002F7176" w:rsidRPr="00687CDC">
        <w:rPr>
          <w:rFonts w:ascii="Tahoma" w:hAnsi="Tahoma" w:cs="Tahoma"/>
        </w:rPr>
        <w:t xml:space="preserve">) and Pike and Harrison (2011), it is hoped that the results will not only have internal generalisability to other </w:t>
      </w:r>
      <w:r w:rsidR="00575221" w:rsidRPr="00687CDC">
        <w:rPr>
          <w:rFonts w:ascii="Tahoma" w:hAnsi="Tahoma" w:cs="Tahoma"/>
        </w:rPr>
        <w:t>subject areas</w:t>
      </w:r>
      <w:r w:rsidR="002F7176" w:rsidRPr="00687CDC">
        <w:rPr>
          <w:rFonts w:ascii="Tahoma" w:hAnsi="Tahoma" w:cs="Tahoma"/>
        </w:rPr>
        <w:t xml:space="preserve">, but also external generalisability across other </w:t>
      </w:r>
      <w:r w:rsidR="00F30DC9" w:rsidRPr="00687CDC">
        <w:rPr>
          <w:rFonts w:ascii="Tahoma" w:hAnsi="Tahoma" w:cs="Tahoma"/>
        </w:rPr>
        <w:t>educational sectors</w:t>
      </w:r>
      <w:r w:rsidR="002F7176" w:rsidRPr="00687CDC">
        <w:rPr>
          <w:rFonts w:ascii="Tahoma" w:hAnsi="Tahoma" w:cs="Tahoma"/>
        </w:rPr>
        <w:t>.</w:t>
      </w:r>
    </w:p>
    <w:p w:rsidR="00415F87" w:rsidRDefault="00415F87" w:rsidP="00F452EC">
      <w:pPr>
        <w:spacing w:before="240" w:line="360" w:lineRule="auto"/>
        <w:rPr>
          <w:rFonts w:ascii="Tahoma" w:hAnsi="Tahoma" w:cs="Tahoma"/>
          <w:b/>
          <w:sz w:val="24"/>
          <w:szCs w:val="24"/>
        </w:rPr>
      </w:pPr>
    </w:p>
    <w:p w:rsidR="00296E30" w:rsidRPr="000818F0" w:rsidRDefault="000818F0" w:rsidP="00F452EC">
      <w:pPr>
        <w:spacing w:before="240" w:line="360" w:lineRule="auto"/>
        <w:rPr>
          <w:rFonts w:ascii="Tahoma" w:hAnsi="Tahoma" w:cs="Tahoma"/>
          <w:b/>
          <w:sz w:val="24"/>
          <w:szCs w:val="24"/>
        </w:rPr>
      </w:pPr>
      <w:r>
        <w:rPr>
          <w:rFonts w:ascii="Tahoma" w:hAnsi="Tahoma" w:cs="Tahoma"/>
          <w:b/>
          <w:sz w:val="24"/>
          <w:szCs w:val="24"/>
        </w:rPr>
        <w:t>Further Context</w:t>
      </w:r>
    </w:p>
    <w:p w:rsidR="00534562" w:rsidRDefault="002D551C" w:rsidP="00F452EC">
      <w:pPr>
        <w:pStyle w:val="Default"/>
        <w:spacing w:before="240" w:line="360" w:lineRule="auto"/>
        <w:rPr>
          <w:sz w:val="22"/>
          <w:szCs w:val="22"/>
        </w:rPr>
      </w:pPr>
      <w:r w:rsidRPr="00687CDC">
        <w:rPr>
          <w:sz w:val="22"/>
          <w:szCs w:val="22"/>
        </w:rPr>
        <w:t xml:space="preserve">There has been great emphasis within U.K. educational policy on widening access and improving participation in HE, while providing graduates with relevant employability skills </w:t>
      </w:r>
      <w:r w:rsidRPr="00FB2ADB">
        <w:rPr>
          <w:sz w:val="22"/>
          <w:szCs w:val="22"/>
        </w:rPr>
        <w:t xml:space="preserve">(Goodship </w:t>
      </w:r>
      <w:r w:rsidR="00C45783">
        <w:rPr>
          <w:sz w:val="22"/>
          <w:szCs w:val="22"/>
        </w:rPr>
        <w:t>&amp;</w:t>
      </w:r>
      <w:r w:rsidRPr="00FB2ADB">
        <w:rPr>
          <w:sz w:val="22"/>
          <w:szCs w:val="22"/>
        </w:rPr>
        <w:t xml:space="preserve"> Jacks, 2007). </w:t>
      </w:r>
      <w:r w:rsidR="00054C04">
        <w:rPr>
          <w:sz w:val="22"/>
          <w:szCs w:val="22"/>
        </w:rPr>
        <w:t xml:space="preserve">FDs </w:t>
      </w:r>
      <w:r w:rsidRPr="00FB2ADB">
        <w:rPr>
          <w:sz w:val="22"/>
          <w:szCs w:val="22"/>
        </w:rPr>
        <w:t>attempt to widen the access of HE to include a more diverse</w:t>
      </w:r>
      <w:r w:rsidRPr="00687CDC">
        <w:rPr>
          <w:sz w:val="22"/>
          <w:szCs w:val="22"/>
        </w:rPr>
        <w:t xml:space="preserve"> student group that increasingly includes individuals from lower socio-cultural backgrounds, mature students, people in full-time employment and those with limited scope for geographical </w:t>
      </w:r>
      <w:r w:rsidRPr="00C14576">
        <w:rPr>
          <w:sz w:val="22"/>
          <w:szCs w:val="22"/>
        </w:rPr>
        <w:t xml:space="preserve">mobility (Herrera, Brown </w:t>
      </w:r>
      <w:r w:rsidR="00C45783">
        <w:rPr>
          <w:sz w:val="22"/>
          <w:szCs w:val="22"/>
        </w:rPr>
        <w:t>&amp;</w:t>
      </w:r>
      <w:r w:rsidRPr="00C14576">
        <w:rPr>
          <w:sz w:val="22"/>
          <w:szCs w:val="22"/>
        </w:rPr>
        <w:t xml:space="preserve"> Portlock, 2015). </w:t>
      </w:r>
      <w:r w:rsidR="006A4627">
        <w:rPr>
          <w:sz w:val="22"/>
          <w:szCs w:val="22"/>
        </w:rPr>
        <w:t>To make HE</w:t>
      </w:r>
      <w:r w:rsidRPr="00C14576">
        <w:rPr>
          <w:sz w:val="22"/>
          <w:szCs w:val="22"/>
        </w:rPr>
        <w:t xml:space="preserve"> more accessible to</w:t>
      </w:r>
      <w:r w:rsidRPr="00687CDC">
        <w:rPr>
          <w:sz w:val="22"/>
          <w:szCs w:val="22"/>
        </w:rPr>
        <w:t xml:space="preserve"> these non-traditional demographics</w:t>
      </w:r>
      <w:r w:rsidR="006B265B">
        <w:rPr>
          <w:sz w:val="22"/>
          <w:szCs w:val="22"/>
        </w:rPr>
        <w:t>,</w:t>
      </w:r>
      <w:r w:rsidRPr="00687CDC">
        <w:rPr>
          <w:sz w:val="22"/>
          <w:szCs w:val="22"/>
        </w:rPr>
        <w:t xml:space="preserve"> and </w:t>
      </w:r>
      <w:r w:rsidR="006B265B">
        <w:rPr>
          <w:sz w:val="22"/>
          <w:szCs w:val="22"/>
        </w:rPr>
        <w:t xml:space="preserve">promote </w:t>
      </w:r>
      <w:r w:rsidRPr="00687CDC">
        <w:rPr>
          <w:sz w:val="22"/>
          <w:szCs w:val="22"/>
        </w:rPr>
        <w:t xml:space="preserve">the employer led ethos of FDs, ‘The Dearing Report’ recommended that future growth in sub-degree provision should be delivered by FECs, </w:t>
      </w:r>
      <w:r w:rsidR="006B265B">
        <w:rPr>
          <w:sz w:val="22"/>
          <w:szCs w:val="22"/>
        </w:rPr>
        <w:t xml:space="preserve">thus </w:t>
      </w:r>
      <w:r w:rsidRPr="00687CDC">
        <w:rPr>
          <w:sz w:val="22"/>
          <w:szCs w:val="22"/>
        </w:rPr>
        <w:t>provid</w:t>
      </w:r>
      <w:r w:rsidR="006B265B">
        <w:rPr>
          <w:sz w:val="22"/>
          <w:szCs w:val="22"/>
        </w:rPr>
        <w:t>ing</w:t>
      </w:r>
      <w:r w:rsidR="00A8181C">
        <w:rPr>
          <w:sz w:val="22"/>
          <w:szCs w:val="22"/>
        </w:rPr>
        <w:t xml:space="preserve"> </w:t>
      </w:r>
      <w:r w:rsidRPr="00CF4398">
        <w:rPr>
          <w:sz w:val="22"/>
          <w:szCs w:val="22"/>
        </w:rPr>
        <w:t xml:space="preserve">the appropriate platform for the delivery of HE in a FE </w:t>
      </w:r>
      <w:r w:rsidR="00BB1F8C">
        <w:rPr>
          <w:sz w:val="22"/>
          <w:szCs w:val="22"/>
        </w:rPr>
        <w:t>setting</w:t>
      </w:r>
      <w:r w:rsidRPr="00CF4398">
        <w:rPr>
          <w:sz w:val="22"/>
          <w:szCs w:val="22"/>
        </w:rPr>
        <w:t xml:space="preserve"> (Huntington, 2009);</w:t>
      </w:r>
      <w:r w:rsidR="00415F87">
        <w:rPr>
          <w:sz w:val="22"/>
          <w:szCs w:val="22"/>
        </w:rPr>
        <w:t xml:space="preserve"> </w:t>
      </w:r>
      <w:r w:rsidR="00435E93" w:rsidRPr="00687CDC">
        <w:rPr>
          <w:sz w:val="22"/>
          <w:szCs w:val="22"/>
        </w:rPr>
        <w:t xml:space="preserve">for note </w:t>
      </w:r>
      <w:r w:rsidRPr="00687CDC">
        <w:rPr>
          <w:sz w:val="22"/>
          <w:szCs w:val="22"/>
        </w:rPr>
        <w:t xml:space="preserve">HE delivered in FE is termed by some as Further Higher Education </w:t>
      </w:r>
      <w:r w:rsidRPr="009F63AC">
        <w:rPr>
          <w:sz w:val="22"/>
          <w:szCs w:val="22"/>
        </w:rPr>
        <w:t>(</w:t>
      </w:r>
      <w:r w:rsidR="009F63AC" w:rsidRPr="009F63AC">
        <w:rPr>
          <w:sz w:val="22"/>
          <w:szCs w:val="22"/>
        </w:rPr>
        <w:t>DfES, 2004</w:t>
      </w:r>
      <w:r w:rsidRPr="009F63AC">
        <w:rPr>
          <w:sz w:val="22"/>
          <w:szCs w:val="22"/>
        </w:rPr>
        <w:t>)</w:t>
      </w:r>
      <w:r w:rsidRPr="00687CDC">
        <w:rPr>
          <w:sz w:val="22"/>
          <w:szCs w:val="22"/>
        </w:rPr>
        <w:t>.</w:t>
      </w:r>
      <w:r w:rsidR="00415F87">
        <w:rPr>
          <w:sz w:val="22"/>
          <w:szCs w:val="22"/>
        </w:rPr>
        <w:t xml:space="preserve"> </w:t>
      </w:r>
      <w:r w:rsidR="005E0BD8">
        <w:rPr>
          <w:sz w:val="22"/>
          <w:szCs w:val="22"/>
        </w:rPr>
        <w:t xml:space="preserve">FDs </w:t>
      </w:r>
      <w:r w:rsidR="00C77563">
        <w:rPr>
          <w:sz w:val="22"/>
          <w:szCs w:val="22"/>
        </w:rPr>
        <w:t xml:space="preserve">can </w:t>
      </w:r>
      <w:r w:rsidRPr="00687CDC">
        <w:rPr>
          <w:sz w:val="22"/>
          <w:szCs w:val="22"/>
        </w:rPr>
        <w:t xml:space="preserve">provide a progression route to honours degrees </w:t>
      </w:r>
      <w:r w:rsidRPr="00265F17">
        <w:rPr>
          <w:sz w:val="22"/>
          <w:szCs w:val="22"/>
        </w:rPr>
        <w:t>(DfEE, 2000)</w:t>
      </w:r>
      <w:r w:rsidR="00256DDC" w:rsidRPr="00265F17">
        <w:rPr>
          <w:sz w:val="22"/>
          <w:szCs w:val="22"/>
        </w:rPr>
        <w:t>,</w:t>
      </w:r>
      <w:r w:rsidR="00256DDC" w:rsidRPr="00687CDC">
        <w:rPr>
          <w:sz w:val="22"/>
          <w:szCs w:val="22"/>
        </w:rPr>
        <w:t xml:space="preserve"> which is deemed a</w:t>
      </w:r>
      <w:r w:rsidR="00D82140" w:rsidRPr="00687CDC">
        <w:rPr>
          <w:sz w:val="22"/>
          <w:szCs w:val="22"/>
        </w:rPr>
        <w:t xml:space="preserve"> useful mechanism </w:t>
      </w:r>
      <w:r w:rsidR="00C77563">
        <w:rPr>
          <w:sz w:val="22"/>
          <w:szCs w:val="22"/>
        </w:rPr>
        <w:t xml:space="preserve">in </w:t>
      </w:r>
      <w:r w:rsidR="004F17A6">
        <w:rPr>
          <w:sz w:val="22"/>
          <w:szCs w:val="22"/>
        </w:rPr>
        <w:t xml:space="preserve">enabling </w:t>
      </w:r>
      <w:r w:rsidR="0025218E" w:rsidRPr="00687CDC">
        <w:rPr>
          <w:sz w:val="22"/>
          <w:szCs w:val="22"/>
        </w:rPr>
        <w:t>s</w:t>
      </w:r>
      <w:r w:rsidRPr="00687CDC">
        <w:rPr>
          <w:sz w:val="22"/>
          <w:szCs w:val="22"/>
        </w:rPr>
        <w:t xml:space="preserve">tudents </w:t>
      </w:r>
      <w:r w:rsidR="0025218E" w:rsidRPr="00687CDC">
        <w:rPr>
          <w:sz w:val="22"/>
          <w:szCs w:val="22"/>
        </w:rPr>
        <w:t xml:space="preserve">to </w:t>
      </w:r>
      <w:r w:rsidRPr="00687CDC">
        <w:rPr>
          <w:sz w:val="22"/>
          <w:szCs w:val="22"/>
        </w:rPr>
        <w:t>top-up their FD and gain a</w:t>
      </w:r>
      <w:r w:rsidR="004F17A6">
        <w:rPr>
          <w:sz w:val="22"/>
          <w:szCs w:val="22"/>
        </w:rPr>
        <w:t xml:space="preserve"> full</w:t>
      </w:r>
      <w:r w:rsidRPr="00687CDC">
        <w:rPr>
          <w:sz w:val="22"/>
          <w:szCs w:val="22"/>
        </w:rPr>
        <w:t xml:space="preserve"> honours degree</w:t>
      </w:r>
      <w:r w:rsidR="0025218E" w:rsidRPr="00687CDC">
        <w:rPr>
          <w:sz w:val="22"/>
          <w:szCs w:val="22"/>
        </w:rPr>
        <w:t>,</w:t>
      </w:r>
      <w:r w:rsidRPr="00687CDC">
        <w:rPr>
          <w:sz w:val="22"/>
          <w:szCs w:val="22"/>
        </w:rPr>
        <w:t xml:space="preserve"> with a further period of study</w:t>
      </w:r>
      <w:r w:rsidR="0025218E" w:rsidRPr="00687CDC">
        <w:rPr>
          <w:sz w:val="22"/>
          <w:szCs w:val="22"/>
        </w:rPr>
        <w:t xml:space="preserve"> which is</w:t>
      </w:r>
      <w:r w:rsidRPr="00687CDC">
        <w:rPr>
          <w:sz w:val="22"/>
          <w:szCs w:val="22"/>
        </w:rPr>
        <w:t xml:space="preserve"> usually equivalent to </w:t>
      </w:r>
      <w:r w:rsidR="00CC51F8" w:rsidRPr="00687CDC">
        <w:rPr>
          <w:sz w:val="22"/>
          <w:szCs w:val="22"/>
        </w:rPr>
        <w:t>one-year</w:t>
      </w:r>
      <w:r w:rsidRPr="00687CDC">
        <w:rPr>
          <w:sz w:val="22"/>
          <w:szCs w:val="22"/>
        </w:rPr>
        <w:t xml:space="preserve"> (full-time)</w:t>
      </w:r>
      <w:r w:rsidR="002F3EC1" w:rsidRPr="00687CDC">
        <w:rPr>
          <w:sz w:val="22"/>
          <w:szCs w:val="22"/>
        </w:rPr>
        <w:t xml:space="preserve"> at a</w:t>
      </w:r>
      <w:r w:rsidR="0062676A">
        <w:rPr>
          <w:sz w:val="22"/>
          <w:szCs w:val="22"/>
        </w:rPr>
        <w:t>n</w:t>
      </w:r>
      <w:r w:rsidR="002F3EC1" w:rsidRPr="00687CDC">
        <w:rPr>
          <w:sz w:val="22"/>
          <w:szCs w:val="22"/>
        </w:rPr>
        <w:t xml:space="preserve"> HEI/FEC</w:t>
      </w:r>
      <w:r w:rsidR="00A8181C">
        <w:rPr>
          <w:sz w:val="22"/>
          <w:szCs w:val="22"/>
        </w:rPr>
        <w:t xml:space="preserve"> </w:t>
      </w:r>
      <w:r w:rsidRPr="00BF736A">
        <w:rPr>
          <w:sz w:val="22"/>
          <w:szCs w:val="22"/>
        </w:rPr>
        <w:t>(Greenbank, 2008)</w:t>
      </w:r>
      <w:r w:rsidR="002F3EC1" w:rsidRPr="00BF736A">
        <w:rPr>
          <w:sz w:val="22"/>
          <w:szCs w:val="22"/>
        </w:rPr>
        <w:t>;</w:t>
      </w:r>
      <w:r w:rsidR="00435466" w:rsidRPr="00687CDC">
        <w:rPr>
          <w:sz w:val="22"/>
          <w:szCs w:val="22"/>
        </w:rPr>
        <w:t xml:space="preserve"> these students are often termed ‘direct-entrants’</w:t>
      </w:r>
      <w:r w:rsidRPr="00687CDC">
        <w:rPr>
          <w:sz w:val="22"/>
          <w:szCs w:val="22"/>
        </w:rPr>
        <w:t>.</w:t>
      </w:r>
    </w:p>
    <w:p w:rsidR="00E61942" w:rsidRDefault="00534562" w:rsidP="00F452EC">
      <w:pPr>
        <w:pStyle w:val="Default"/>
        <w:spacing w:before="240" w:line="360" w:lineRule="auto"/>
        <w:rPr>
          <w:sz w:val="22"/>
          <w:szCs w:val="22"/>
        </w:rPr>
      </w:pPr>
      <w:r>
        <w:rPr>
          <w:sz w:val="22"/>
          <w:szCs w:val="22"/>
        </w:rPr>
        <w:t>S</w:t>
      </w:r>
      <w:r w:rsidR="00F22EC3" w:rsidRPr="00687CDC">
        <w:rPr>
          <w:sz w:val="22"/>
          <w:szCs w:val="22"/>
        </w:rPr>
        <w:t xml:space="preserve">tudent transition </w:t>
      </w:r>
      <w:r w:rsidR="00A732B3" w:rsidRPr="00687CDC">
        <w:rPr>
          <w:sz w:val="22"/>
          <w:szCs w:val="22"/>
        </w:rPr>
        <w:t xml:space="preserve">to </w:t>
      </w:r>
      <w:r w:rsidR="00300FF8" w:rsidRPr="00687CDC">
        <w:rPr>
          <w:sz w:val="22"/>
          <w:szCs w:val="22"/>
        </w:rPr>
        <w:t>HE</w:t>
      </w:r>
      <w:r w:rsidR="00A732B3" w:rsidRPr="00687CDC">
        <w:rPr>
          <w:sz w:val="22"/>
          <w:szCs w:val="22"/>
        </w:rPr>
        <w:t xml:space="preserve"> courses delivered in </w:t>
      </w:r>
      <w:r w:rsidR="005C5AA2">
        <w:rPr>
          <w:sz w:val="22"/>
          <w:szCs w:val="22"/>
        </w:rPr>
        <w:t xml:space="preserve">a </w:t>
      </w:r>
      <w:r w:rsidR="007C4361" w:rsidRPr="00687CDC">
        <w:rPr>
          <w:sz w:val="22"/>
          <w:szCs w:val="22"/>
        </w:rPr>
        <w:t xml:space="preserve">FE </w:t>
      </w:r>
      <w:r w:rsidR="00BB1F8C">
        <w:rPr>
          <w:sz w:val="22"/>
          <w:szCs w:val="22"/>
        </w:rPr>
        <w:t>setting</w:t>
      </w:r>
      <w:r w:rsidR="005C5AA2">
        <w:rPr>
          <w:sz w:val="22"/>
          <w:szCs w:val="22"/>
        </w:rPr>
        <w:t xml:space="preserve"> </w:t>
      </w:r>
      <w:r w:rsidR="002D551C" w:rsidRPr="00687CDC">
        <w:rPr>
          <w:sz w:val="22"/>
          <w:szCs w:val="22"/>
        </w:rPr>
        <w:t>is something that occurs on a large-scale</w:t>
      </w:r>
      <w:r w:rsidR="008E3917">
        <w:rPr>
          <w:sz w:val="22"/>
          <w:szCs w:val="22"/>
        </w:rPr>
        <w:t xml:space="preserve">, evidenced by the fact that </w:t>
      </w:r>
      <w:r w:rsidR="008E3917" w:rsidRPr="00687CDC">
        <w:rPr>
          <w:sz w:val="22"/>
          <w:szCs w:val="22"/>
        </w:rPr>
        <w:t>as of March 2017 there were 241 FECs delivering HE qualifications (HEFCE, 2017)</w:t>
      </w:r>
      <w:r w:rsidR="00D74E24" w:rsidRPr="00687CDC">
        <w:rPr>
          <w:sz w:val="22"/>
          <w:szCs w:val="22"/>
        </w:rPr>
        <w:t>.</w:t>
      </w:r>
      <w:r w:rsidR="00054C04">
        <w:rPr>
          <w:sz w:val="22"/>
          <w:szCs w:val="22"/>
        </w:rPr>
        <w:t xml:space="preserve"> </w:t>
      </w:r>
      <w:r w:rsidR="00D74E24" w:rsidRPr="00687CDC">
        <w:rPr>
          <w:sz w:val="22"/>
          <w:szCs w:val="22"/>
        </w:rPr>
        <w:t>H</w:t>
      </w:r>
      <w:r w:rsidR="002D551C" w:rsidRPr="00687CDC">
        <w:rPr>
          <w:sz w:val="22"/>
          <w:szCs w:val="22"/>
        </w:rPr>
        <w:t>owever,</w:t>
      </w:r>
      <w:r w:rsidR="00A8181C">
        <w:rPr>
          <w:sz w:val="22"/>
          <w:szCs w:val="22"/>
        </w:rPr>
        <w:t xml:space="preserve"> </w:t>
      </w:r>
      <w:r w:rsidR="00D74E24" w:rsidRPr="00687CDC">
        <w:rPr>
          <w:sz w:val="22"/>
          <w:szCs w:val="22"/>
        </w:rPr>
        <w:t>i</w:t>
      </w:r>
      <w:r w:rsidR="00F44218" w:rsidRPr="00687CDC">
        <w:rPr>
          <w:sz w:val="22"/>
          <w:szCs w:val="22"/>
        </w:rPr>
        <w:t>t</w:t>
      </w:r>
      <w:r w:rsidR="00D74E24" w:rsidRPr="00687CDC">
        <w:rPr>
          <w:sz w:val="22"/>
          <w:szCs w:val="22"/>
        </w:rPr>
        <w:t xml:space="preserve"> appears that </w:t>
      </w:r>
      <w:r w:rsidR="002D551C" w:rsidRPr="00687CDC">
        <w:rPr>
          <w:sz w:val="22"/>
          <w:szCs w:val="22"/>
        </w:rPr>
        <w:t xml:space="preserve">the field is under-conceptualised </w:t>
      </w:r>
      <w:r w:rsidR="00EF4DAD">
        <w:rPr>
          <w:sz w:val="22"/>
          <w:szCs w:val="22"/>
        </w:rPr>
        <w:t xml:space="preserve">from a research perspective </w:t>
      </w:r>
      <w:r w:rsidR="002D551C" w:rsidRPr="00687CDC">
        <w:rPr>
          <w:sz w:val="22"/>
          <w:szCs w:val="22"/>
        </w:rPr>
        <w:t xml:space="preserve">and </w:t>
      </w:r>
      <w:r w:rsidR="007D7017">
        <w:rPr>
          <w:sz w:val="22"/>
          <w:szCs w:val="22"/>
        </w:rPr>
        <w:t xml:space="preserve">the research that exists </w:t>
      </w:r>
      <w:r w:rsidR="002D551C" w:rsidRPr="00687CDC">
        <w:rPr>
          <w:sz w:val="22"/>
          <w:szCs w:val="22"/>
        </w:rPr>
        <w:t>is largely small-scale</w:t>
      </w:r>
      <w:r w:rsidR="00947629" w:rsidRPr="00687CDC">
        <w:rPr>
          <w:sz w:val="22"/>
          <w:szCs w:val="22"/>
        </w:rPr>
        <w:t>, lacking comprehension</w:t>
      </w:r>
      <w:r w:rsidR="002D551C" w:rsidRPr="00687CDC">
        <w:rPr>
          <w:sz w:val="22"/>
          <w:szCs w:val="22"/>
        </w:rPr>
        <w:t xml:space="preserve"> (Briggs </w:t>
      </w:r>
      <w:r w:rsidR="002D551C" w:rsidRPr="00537963">
        <w:rPr>
          <w:i/>
          <w:sz w:val="22"/>
          <w:szCs w:val="22"/>
        </w:rPr>
        <w:t>et al.</w:t>
      </w:r>
      <w:r w:rsidR="002D551C" w:rsidRPr="00687CDC">
        <w:rPr>
          <w:sz w:val="22"/>
          <w:szCs w:val="22"/>
        </w:rPr>
        <w:t xml:space="preserve">, 2012). </w:t>
      </w:r>
      <w:r w:rsidR="00F2565C" w:rsidRPr="00687CDC">
        <w:rPr>
          <w:sz w:val="22"/>
          <w:szCs w:val="22"/>
        </w:rPr>
        <w:t>Penketh and Goddard (2008) support this viewpoint, stating that r</w:t>
      </w:r>
      <w:r w:rsidR="00F2565C" w:rsidRPr="00687CDC">
        <w:rPr>
          <w:color w:val="292425"/>
          <w:sz w:val="22"/>
          <w:szCs w:val="22"/>
        </w:rPr>
        <w:t xml:space="preserve">esearch focusing on the transition of specific demographics </w:t>
      </w:r>
      <w:r w:rsidR="00054C04">
        <w:rPr>
          <w:color w:val="292425"/>
          <w:sz w:val="22"/>
          <w:szCs w:val="22"/>
        </w:rPr>
        <w:t xml:space="preserve">to </w:t>
      </w:r>
      <w:r w:rsidR="00F2565C" w:rsidRPr="00687CDC">
        <w:rPr>
          <w:color w:val="292425"/>
          <w:sz w:val="22"/>
          <w:szCs w:val="22"/>
        </w:rPr>
        <w:t>HE is relatively small.</w:t>
      </w:r>
      <w:r w:rsidR="00A8181C">
        <w:rPr>
          <w:color w:val="292425"/>
          <w:sz w:val="22"/>
          <w:szCs w:val="22"/>
        </w:rPr>
        <w:t xml:space="preserve"> </w:t>
      </w:r>
      <w:r w:rsidR="00855181" w:rsidRPr="00687CDC">
        <w:rPr>
          <w:sz w:val="22"/>
          <w:szCs w:val="22"/>
        </w:rPr>
        <w:t xml:space="preserve">The research conducted around the progression of students from </w:t>
      </w:r>
      <w:r w:rsidR="00622C04">
        <w:rPr>
          <w:sz w:val="22"/>
          <w:szCs w:val="22"/>
        </w:rPr>
        <w:t>FE</w:t>
      </w:r>
      <w:r w:rsidR="00855181" w:rsidRPr="00687CDC">
        <w:rPr>
          <w:sz w:val="22"/>
          <w:szCs w:val="22"/>
        </w:rPr>
        <w:t xml:space="preserve"> courses </w:t>
      </w:r>
      <w:r w:rsidR="006C59F9">
        <w:rPr>
          <w:sz w:val="22"/>
          <w:szCs w:val="22"/>
        </w:rPr>
        <w:t xml:space="preserve">to HE </w:t>
      </w:r>
      <w:r w:rsidR="00F41D2D">
        <w:rPr>
          <w:sz w:val="22"/>
          <w:szCs w:val="22"/>
        </w:rPr>
        <w:t xml:space="preserve">amounts to </w:t>
      </w:r>
      <w:r w:rsidR="003A7DD3" w:rsidRPr="00687CDC">
        <w:rPr>
          <w:sz w:val="22"/>
          <w:szCs w:val="22"/>
        </w:rPr>
        <w:t xml:space="preserve">only a </w:t>
      </w:r>
      <w:r w:rsidR="00C275C1" w:rsidRPr="00687CDC">
        <w:rPr>
          <w:sz w:val="22"/>
          <w:szCs w:val="22"/>
        </w:rPr>
        <w:t xml:space="preserve">handful </w:t>
      </w:r>
      <w:r w:rsidR="00855181" w:rsidRPr="00687CDC">
        <w:rPr>
          <w:sz w:val="22"/>
          <w:szCs w:val="22"/>
        </w:rPr>
        <w:t xml:space="preserve">of relevant articles exploring </w:t>
      </w:r>
      <w:r w:rsidR="00121309" w:rsidRPr="00687CDC">
        <w:rPr>
          <w:sz w:val="22"/>
          <w:szCs w:val="22"/>
        </w:rPr>
        <w:t xml:space="preserve">the </w:t>
      </w:r>
      <w:r w:rsidR="00855181" w:rsidRPr="00687CDC">
        <w:rPr>
          <w:sz w:val="22"/>
          <w:szCs w:val="22"/>
        </w:rPr>
        <w:t>pathway</w:t>
      </w:r>
      <w:r w:rsidR="005F1F96">
        <w:rPr>
          <w:sz w:val="22"/>
          <w:szCs w:val="22"/>
        </w:rPr>
        <w:t>,</w:t>
      </w:r>
      <w:r w:rsidR="00A8181C">
        <w:rPr>
          <w:sz w:val="22"/>
          <w:szCs w:val="22"/>
        </w:rPr>
        <w:t xml:space="preserve"> </w:t>
      </w:r>
      <w:r w:rsidR="00466EDD">
        <w:rPr>
          <w:sz w:val="22"/>
          <w:szCs w:val="22"/>
        </w:rPr>
        <w:t xml:space="preserve">and none </w:t>
      </w:r>
      <w:r w:rsidR="00855181" w:rsidRPr="00687CDC">
        <w:rPr>
          <w:sz w:val="22"/>
          <w:szCs w:val="22"/>
        </w:rPr>
        <w:t>from a conceptualised subject specific standpoint</w:t>
      </w:r>
      <w:r w:rsidR="006E20BF">
        <w:rPr>
          <w:sz w:val="22"/>
          <w:szCs w:val="22"/>
        </w:rPr>
        <w:t>,</w:t>
      </w:r>
      <w:r w:rsidR="00722974" w:rsidRPr="00687CDC">
        <w:rPr>
          <w:sz w:val="22"/>
          <w:szCs w:val="22"/>
        </w:rPr>
        <w:t xml:space="preserve"> such as this research</w:t>
      </w:r>
      <w:r w:rsidR="00855181" w:rsidRPr="00687CDC">
        <w:rPr>
          <w:sz w:val="22"/>
          <w:szCs w:val="22"/>
        </w:rPr>
        <w:t>.</w:t>
      </w:r>
    </w:p>
    <w:p w:rsidR="00B67A88" w:rsidRPr="00687CDC" w:rsidRDefault="00F04A32" w:rsidP="00F452EC">
      <w:pPr>
        <w:pStyle w:val="Default"/>
        <w:spacing w:before="240" w:line="360" w:lineRule="auto"/>
        <w:rPr>
          <w:sz w:val="22"/>
          <w:szCs w:val="22"/>
        </w:rPr>
      </w:pPr>
      <w:r w:rsidRPr="00687CDC">
        <w:rPr>
          <w:sz w:val="22"/>
          <w:szCs w:val="22"/>
        </w:rPr>
        <w:t>Of the n</w:t>
      </w:r>
      <w:r w:rsidR="002D551C" w:rsidRPr="00687CDC">
        <w:rPr>
          <w:sz w:val="22"/>
          <w:szCs w:val="22"/>
        </w:rPr>
        <w:t xml:space="preserve">oteworthy </w:t>
      </w:r>
      <w:r w:rsidR="00D2768A" w:rsidRPr="00687CDC">
        <w:rPr>
          <w:sz w:val="22"/>
          <w:szCs w:val="22"/>
        </w:rPr>
        <w:t>research</w:t>
      </w:r>
      <w:r w:rsidR="0028200D" w:rsidRPr="00687CDC">
        <w:rPr>
          <w:sz w:val="22"/>
          <w:szCs w:val="22"/>
        </w:rPr>
        <w:t>,</w:t>
      </w:r>
      <w:r w:rsidR="00A8181C">
        <w:rPr>
          <w:sz w:val="22"/>
          <w:szCs w:val="22"/>
        </w:rPr>
        <w:t xml:space="preserve"> </w:t>
      </w:r>
      <w:r w:rsidR="00E33EA8">
        <w:rPr>
          <w:sz w:val="22"/>
          <w:szCs w:val="22"/>
        </w:rPr>
        <w:t xml:space="preserve">the focus is predominantly </w:t>
      </w:r>
      <w:r w:rsidR="002F38F7" w:rsidRPr="00687CDC">
        <w:rPr>
          <w:sz w:val="22"/>
          <w:szCs w:val="22"/>
        </w:rPr>
        <w:t xml:space="preserve">upon </w:t>
      </w:r>
      <w:r w:rsidR="00230C99">
        <w:rPr>
          <w:sz w:val="22"/>
          <w:szCs w:val="22"/>
        </w:rPr>
        <w:t xml:space="preserve">the transition of </w:t>
      </w:r>
      <w:r w:rsidR="002F38F7" w:rsidRPr="00687CDC">
        <w:rPr>
          <w:sz w:val="22"/>
          <w:szCs w:val="22"/>
        </w:rPr>
        <w:t>direct</w:t>
      </w:r>
      <w:r w:rsidR="00544C4A">
        <w:rPr>
          <w:sz w:val="22"/>
          <w:szCs w:val="22"/>
        </w:rPr>
        <w:t>-</w:t>
      </w:r>
      <w:r w:rsidR="002F38F7" w:rsidRPr="00687CDC">
        <w:rPr>
          <w:sz w:val="22"/>
          <w:szCs w:val="22"/>
        </w:rPr>
        <w:t>entrants</w:t>
      </w:r>
      <w:r w:rsidR="00230C99">
        <w:rPr>
          <w:sz w:val="22"/>
          <w:szCs w:val="22"/>
        </w:rPr>
        <w:t xml:space="preserve"> to a</w:t>
      </w:r>
      <w:r w:rsidR="0062676A">
        <w:rPr>
          <w:sz w:val="22"/>
          <w:szCs w:val="22"/>
        </w:rPr>
        <w:t>n</w:t>
      </w:r>
      <w:r w:rsidR="00230C99">
        <w:rPr>
          <w:sz w:val="22"/>
          <w:szCs w:val="22"/>
        </w:rPr>
        <w:t xml:space="preserve"> HEI</w:t>
      </w:r>
      <w:r w:rsidR="002F38F7" w:rsidRPr="00687CDC">
        <w:rPr>
          <w:sz w:val="22"/>
          <w:szCs w:val="22"/>
        </w:rPr>
        <w:t xml:space="preserve">. </w:t>
      </w:r>
      <w:r w:rsidR="002D551C" w:rsidRPr="00976A43">
        <w:rPr>
          <w:sz w:val="22"/>
          <w:szCs w:val="22"/>
        </w:rPr>
        <w:t>Bogdan and Elliott</w:t>
      </w:r>
      <w:r w:rsidR="00E33EA8" w:rsidRPr="00976A43">
        <w:rPr>
          <w:sz w:val="22"/>
          <w:szCs w:val="22"/>
        </w:rPr>
        <w:t>’s</w:t>
      </w:r>
      <w:r w:rsidR="002D551C" w:rsidRPr="00976A43">
        <w:rPr>
          <w:sz w:val="22"/>
          <w:szCs w:val="22"/>
        </w:rPr>
        <w:t xml:space="preserve"> (2015)</w:t>
      </w:r>
      <w:r w:rsidR="007E05F9" w:rsidRPr="00976A43">
        <w:rPr>
          <w:sz w:val="22"/>
          <w:szCs w:val="22"/>
        </w:rPr>
        <w:t xml:space="preserve"> research into </w:t>
      </w:r>
      <w:r w:rsidR="00945538" w:rsidRPr="00976A43">
        <w:rPr>
          <w:sz w:val="22"/>
          <w:szCs w:val="22"/>
        </w:rPr>
        <w:t>direct</w:t>
      </w:r>
      <w:r w:rsidR="00544C4A" w:rsidRPr="00976A43">
        <w:rPr>
          <w:sz w:val="22"/>
          <w:szCs w:val="22"/>
        </w:rPr>
        <w:t>-</w:t>
      </w:r>
      <w:r w:rsidR="00E33EA8" w:rsidRPr="00976A43">
        <w:rPr>
          <w:sz w:val="22"/>
          <w:szCs w:val="22"/>
        </w:rPr>
        <w:t>entrants</w:t>
      </w:r>
      <w:r w:rsidR="007E05F9" w:rsidRPr="00976A43">
        <w:rPr>
          <w:sz w:val="22"/>
          <w:szCs w:val="22"/>
        </w:rPr>
        <w:t xml:space="preserve"> transition</w:t>
      </w:r>
      <w:r w:rsidR="00945538" w:rsidRPr="00976A43">
        <w:rPr>
          <w:sz w:val="22"/>
          <w:szCs w:val="22"/>
        </w:rPr>
        <w:t xml:space="preserve"> to a final year degree top-up course</w:t>
      </w:r>
      <w:r w:rsidR="00A8181C" w:rsidRPr="00976A43">
        <w:rPr>
          <w:sz w:val="22"/>
          <w:szCs w:val="22"/>
        </w:rPr>
        <w:t xml:space="preserve"> </w:t>
      </w:r>
      <w:r w:rsidR="008B1622" w:rsidRPr="00976A43">
        <w:rPr>
          <w:sz w:val="22"/>
          <w:szCs w:val="22"/>
        </w:rPr>
        <w:t xml:space="preserve">highlighted </w:t>
      </w:r>
      <w:r w:rsidR="005667BB" w:rsidRPr="00976A43">
        <w:rPr>
          <w:sz w:val="22"/>
          <w:szCs w:val="22"/>
        </w:rPr>
        <w:t xml:space="preserve">that students who </w:t>
      </w:r>
      <w:r w:rsidR="00C216FE" w:rsidRPr="00976A43">
        <w:rPr>
          <w:sz w:val="22"/>
          <w:szCs w:val="22"/>
        </w:rPr>
        <w:t>use a</w:t>
      </w:r>
      <w:r w:rsidR="0062676A">
        <w:rPr>
          <w:sz w:val="22"/>
          <w:szCs w:val="22"/>
        </w:rPr>
        <w:t>n</w:t>
      </w:r>
      <w:r w:rsidR="00C216FE" w:rsidRPr="00976A43">
        <w:rPr>
          <w:sz w:val="22"/>
          <w:szCs w:val="22"/>
        </w:rPr>
        <w:t xml:space="preserve"> HEI </w:t>
      </w:r>
      <w:r w:rsidR="00EF4630" w:rsidRPr="00976A43">
        <w:rPr>
          <w:sz w:val="22"/>
          <w:szCs w:val="22"/>
        </w:rPr>
        <w:t xml:space="preserve">to achieve their full honours degree </w:t>
      </w:r>
      <w:r w:rsidR="0050281B" w:rsidRPr="00976A43">
        <w:rPr>
          <w:sz w:val="22"/>
          <w:szCs w:val="22"/>
        </w:rPr>
        <w:t>show greater engagement with their course and subject discipline</w:t>
      </w:r>
      <w:r w:rsidR="00B75C2E" w:rsidRPr="00976A43">
        <w:rPr>
          <w:sz w:val="22"/>
          <w:szCs w:val="22"/>
        </w:rPr>
        <w:t xml:space="preserve"> than other students</w:t>
      </w:r>
      <w:r w:rsidR="0050281B" w:rsidRPr="00976A43">
        <w:rPr>
          <w:sz w:val="22"/>
          <w:szCs w:val="22"/>
        </w:rPr>
        <w:t>.</w:t>
      </w:r>
      <w:r w:rsidR="00A8181C" w:rsidRPr="00976A43">
        <w:rPr>
          <w:sz w:val="22"/>
          <w:szCs w:val="22"/>
        </w:rPr>
        <w:t xml:space="preserve"> </w:t>
      </w:r>
      <w:r w:rsidR="00E82383" w:rsidRPr="00976A43">
        <w:rPr>
          <w:sz w:val="22"/>
          <w:szCs w:val="22"/>
        </w:rPr>
        <w:t>That said,</w:t>
      </w:r>
      <w:r w:rsidR="00A8181C" w:rsidRPr="00976A43">
        <w:rPr>
          <w:sz w:val="22"/>
          <w:szCs w:val="22"/>
        </w:rPr>
        <w:t xml:space="preserve"> </w:t>
      </w:r>
      <w:r w:rsidR="0062676A">
        <w:rPr>
          <w:sz w:val="22"/>
          <w:szCs w:val="22"/>
        </w:rPr>
        <w:t xml:space="preserve">the findings of </w:t>
      </w:r>
      <w:r w:rsidR="00C97AE2" w:rsidRPr="00976A43">
        <w:rPr>
          <w:sz w:val="22"/>
          <w:szCs w:val="22"/>
        </w:rPr>
        <w:t>Simm et al. (2011)</w:t>
      </w:r>
      <w:r w:rsidR="00BB1F8C" w:rsidRPr="00976A43">
        <w:rPr>
          <w:sz w:val="22"/>
          <w:szCs w:val="22"/>
        </w:rPr>
        <w:t xml:space="preserve"> </w:t>
      </w:r>
      <w:r w:rsidR="00E82383" w:rsidRPr="00976A43">
        <w:rPr>
          <w:sz w:val="22"/>
          <w:szCs w:val="22"/>
        </w:rPr>
        <w:t>alluded</w:t>
      </w:r>
      <w:r w:rsidR="00E959A7" w:rsidRPr="00976A43">
        <w:rPr>
          <w:sz w:val="22"/>
          <w:szCs w:val="22"/>
        </w:rPr>
        <w:t xml:space="preserve"> that </w:t>
      </w:r>
      <w:r w:rsidR="00872421" w:rsidRPr="00976A43">
        <w:rPr>
          <w:sz w:val="22"/>
          <w:szCs w:val="22"/>
        </w:rPr>
        <w:t xml:space="preserve">FD </w:t>
      </w:r>
      <w:r w:rsidR="00E959A7" w:rsidRPr="00976A43">
        <w:rPr>
          <w:sz w:val="22"/>
          <w:szCs w:val="22"/>
        </w:rPr>
        <w:t>students who</w:t>
      </w:r>
      <w:r w:rsidR="00A8181C" w:rsidRPr="00976A43">
        <w:rPr>
          <w:sz w:val="22"/>
          <w:szCs w:val="22"/>
        </w:rPr>
        <w:t xml:space="preserve"> </w:t>
      </w:r>
      <w:r w:rsidR="00B75C2E" w:rsidRPr="00976A43">
        <w:rPr>
          <w:sz w:val="22"/>
          <w:szCs w:val="22"/>
        </w:rPr>
        <w:t xml:space="preserve">previously </w:t>
      </w:r>
      <w:r w:rsidR="000B2A2F" w:rsidRPr="00976A43">
        <w:rPr>
          <w:sz w:val="22"/>
          <w:szCs w:val="22"/>
        </w:rPr>
        <w:t>studied at a FEC</w:t>
      </w:r>
      <w:r w:rsidR="00DA70C1" w:rsidRPr="00976A43">
        <w:rPr>
          <w:sz w:val="22"/>
          <w:szCs w:val="22"/>
        </w:rPr>
        <w:t xml:space="preserve"> were less likely to be as successful</w:t>
      </w:r>
      <w:r w:rsidR="007D52E7" w:rsidRPr="00976A43">
        <w:rPr>
          <w:sz w:val="22"/>
          <w:szCs w:val="22"/>
        </w:rPr>
        <w:t>,</w:t>
      </w:r>
      <w:r w:rsidR="00A8181C" w:rsidRPr="00976A43">
        <w:rPr>
          <w:sz w:val="22"/>
          <w:szCs w:val="22"/>
        </w:rPr>
        <w:t xml:space="preserve"> </w:t>
      </w:r>
      <w:r w:rsidR="00CD41DF" w:rsidRPr="00976A43">
        <w:rPr>
          <w:sz w:val="22"/>
          <w:szCs w:val="22"/>
        </w:rPr>
        <w:t>when compared</w:t>
      </w:r>
      <w:r w:rsidR="00DA70C1" w:rsidRPr="00976A43">
        <w:rPr>
          <w:sz w:val="22"/>
          <w:szCs w:val="22"/>
        </w:rPr>
        <w:t xml:space="preserve"> those students that </w:t>
      </w:r>
      <w:r w:rsidR="002251FB" w:rsidRPr="00976A43">
        <w:rPr>
          <w:sz w:val="22"/>
          <w:szCs w:val="22"/>
        </w:rPr>
        <w:t xml:space="preserve">studied </w:t>
      </w:r>
      <w:r w:rsidR="005F2924" w:rsidRPr="00976A43">
        <w:rPr>
          <w:sz w:val="22"/>
          <w:szCs w:val="22"/>
        </w:rPr>
        <w:t xml:space="preserve">on a FD </w:t>
      </w:r>
      <w:r w:rsidR="00D827AC" w:rsidRPr="00976A43">
        <w:rPr>
          <w:sz w:val="22"/>
          <w:szCs w:val="22"/>
        </w:rPr>
        <w:t>at a</w:t>
      </w:r>
      <w:r w:rsidR="0062676A">
        <w:rPr>
          <w:sz w:val="22"/>
          <w:szCs w:val="22"/>
        </w:rPr>
        <w:t>n</w:t>
      </w:r>
      <w:r w:rsidR="00D827AC" w:rsidRPr="00976A43">
        <w:rPr>
          <w:sz w:val="22"/>
          <w:szCs w:val="22"/>
        </w:rPr>
        <w:t xml:space="preserve"> HEI</w:t>
      </w:r>
      <w:r w:rsidR="000C1C73" w:rsidRPr="00976A43">
        <w:rPr>
          <w:sz w:val="22"/>
          <w:szCs w:val="22"/>
        </w:rPr>
        <w:t>.</w:t>
      </w:r>
      <w:r w:rsidR="000C1C73" w:rsidRPr="00687CDC">
        <w:rPr>
          <w:sz w:val="22"/>
          <w:szCs w:val="22"/>
        </w:rPr>
        <w:t xml:space="preserve"> </w:t>
      </w:r>
      <w:r w:rsidR="00F4512F" w:rsidRPr="00687CDC">
        <w:rPr>
          <w:sz w:val="22"/>
          <w:szCs w:val="22"/>
        </w:rPr>
        <w:t>Pike and Harrison</w:t>
      </w:r>
      <w:r w:rsidR="00EF11E5">
        <w:rPr>
          <w:sz w:val="22"/>
          <w:szCs w:val="22"/>
        </w:rPr>
        <w:t>’s</w:t>
      </w:r>
      <w:r w:rsidR="00F4512F" w:rsidRPr="00687CDC">
        <w:rPr>
          <w:sz w:val="22"/>
          <w:szCs w:val="22"/>
        </w:rPr>
        <w:t xml:space="preserve"> (2011) </w:t>
      </w:r>
      <w:r w:rsidR="00EF11E5">
        <w:rPr>
          <w:sz w:val="22"/>
          <w:szCs w:val="22"/>
        </w:rPr>
        <w:t xml:space="preserve">research </w:t>
      </w:r>
      <w:r w:rsidR="00BD5A8F">
        <w:rPr>
          <w:sz w:val="22"/>
          <w:szCs w:val="22"/>
        </w:rPr>
        <w:t xml:space="preserve">states </w:t>
      </w:r>
      <w:r w:rsidR="00F4512F">
        <w:rPr>
          <w:sz w:val="22"/>
          <w:szCs w:val="22"/>
        </w:rPr>
        <w:t xml:space="preserve">that </w:t>
      </w:r>
      <w:r w:rsidR="00DC35D1">
        <w:rPr>
          <w:sz w:val="22"/>
          <w:szCs w:val="22"/>
        </w:rPr>
        <w:t>th</w:t>
      </w:r>
      <w:r w:rsidR="005668A8">
        <w:rPr>
          <w:sz w:val="22"/>
          <w:szCs w:val="22"/>
        </w:rPr>
        <w:t>is</w:t>
      </w:r>
      <w:r w:rsidR="00DC35D1">
        <w:rPr>
          <w:sz w:val="22"/>
          <w:szCs w:val="22"/>
        </w:rPr>
        <w:t xml:space="preserve"> direct-entrant pathway generates its own </w:t>
      </w:r>
      <w:r w:rsidR="00F4512F">
        <w:rPr>
          <w:sz w:val="22"/>
          <w:szCs w:val="22"/>
        </w:rPr>
        <w:t xml:space="preserve">specific </w:t>
      </w:r>
      <w:r w:rsidR="00F4512F" w:rsidRPr="00687CDC">
        <w:rPr>
          <w:sz w:val="22"/>
          <w:szCs w:val="22"/>
        </w:rPr>
        <w:t>anxiet</w:t>
      </w:r>
      <w:r w:rsidR="00F4512F">
        <w:rPr>
          <w:sz w:val="22"/>
          <w:szCs w:val="22"/>
        </w:rPr>
        <w:t>ies</w:t>
      </w:r>
      <w:r w:rsidR="00A8181C">
        <w:rPr>
          <w:sz w:val="22"/>
          <w:szCs w:val="22"/>
        </w:rPr>
        <w:t xml:space="preserve"> </w:t>
      </w:r>
      <w:r w:rsidR="00F127F3">
        <w:rPr>
          <w:sz w:val="22"/>
          <w:szCs w:val="22"/>
        </w:rPr>
        <w:t xml:space="preserve">for transitioning students </w:t>
      </w:r>
      <w:r w:rsidR="00F4512F" w:rsidRPr="00687CDC">
        <w:rPr>
          <w:sz w:val="22"/>
          <w:szCs w:val="22"/>
        </w:rPr>
        <w:t>and that interventions should be put in place to ensure a smoother and less anxious transition process</w:t>
      </w:r>
      <w:r w:rsidR="0003209C">
        <w:rPr>
          <w:sz w:val="22"/>
          <w:szCs w:val="22"/>
        </w:rPr>
        <w:t xml:space="preserve"> </w:t>
      </w:r>
      <w:r w:rsidR="0062676A">
        <w:rPr>
          <w:sz w:val="22"/>
          <w:szCs w:val="22"/>
        </w:rPr>
        <w:t>in</w:t>
      </w:r>
      <w:r w:rsidR="0003209C">
        <w:rPr>
          <w:sz w:val="22"/>
          <w:szCs w:val="22"/>
        </w:rPr>
        <w:t>to a</w:t>
      </w:r>
      <w:r w:rsidR="0062676A">
        <w:rPr>
          <w:sz w:val="22"/>
          <w:szCs w:val="22"/>
        </w:rPr>
        <w:t>n</w:t>
      </w:r>
      <w:r w:rsidR="0003209C">
        <w:rPr>
          <w:sz w:val="22"/>
          <w:szCs w:val="22"/>
        </w:rPr>
        <w:t xml:space="preserve"> HEI</w:t>
      </w:r>
      <w:r w:rsidR="00041EBB" w:rsidRPr="00687CDC">
        <w:rPr>
          <w:sz w:val="22"/>
          <w:szCs w:val="22"/>
        </w:rPr>
        <w:t>.</w:t>
      </w:r>
      <w:r w:rsidR="00A8181C">
        <w:rPr>
          <w:sz w:val="22"/>
          <w:szCs w:val="22"/>
        </w:rPr>
        <w:t xml:space="preserve"> </w:t>
      </w:r>
      <w:r w:rsidR="004F4E25">
        <w:rPr>
          <w:sz w:val="22"/>
          <w:szCs w:val="22"/>
        </w:rPr>
        <w:t>Gill</w:t>
      </w:r>
      <w:r w:rsidR="00BB1F8C">
        <w:rPr>
          <w:sz w:val="22"/>
          <w:szCs w:val="22"/>
        </w:rPr>
        <w:t>’s</w:t>
      </w:r>
      <w:r w:rsidR="00B67A88" w:rsidRPr="00687CDC">
        <w:rPr>
          <w:sz w:val="22"/>
          <w:szCs w:val="22"/>
        </w:rPr>
        <w:t xml:space="preserve"> (2017</w:t>
      </w:r>
      <w:r w:rsidR="001462A8" w:rsidRPr="00687CDC">
        <w:rPr>
          <w:sz w:val="22"/>
          <w:szCs w:val="22"/>
        </w:rPr>
        <w:t>)</w:t>
      </w:r>
      <w:r w:rsidR="00A8181C">
        <w:rPr>
          <w:sz w:val="22"/>
          <w:szCs w:val="22"/>
        </w:rPr>
        <w:t xml:space="preserve"> </w:t>
      </w:r>
      <w:r w:rsidR="00ED77D6">
        <w:rPr>
          <w:sz w:val="22"/>
          <w:szCs w:val="22"/>
        </w:rPr>
        <w:t>research into</w:t>
      </w:r>
      <w:r w:rsidR="00306F78" w:rsidRPr="00687CDC">
        <w:rPr>
          <w:sz w:val="22"/>
          <w:szCs w:val="22"/>
        </w:rPr>
        <w:t xml:space="preserve"> the </w:t>
      </w:r>
      <w:r w:rsidR="001B6811" w:rsidRPr="00687CDC">
        <w:rPr>
          <w:sz w:val="22"/>
          <w:szCs w:val="22"/>
        </w:rPr>
        <w:t xml:space="preserve">retrospective </w:t>
      </w:r>
      <w:r w:rsidR="00306F78" w:rsidRPr="00687CDC">
        <w:rPr>
          <w:sz w:val="22"/>
          <w:szCs w:val="22"/>
        </w:rPr>
        <w:t xml:space="preserve">transitional experiences of </w:t>
      </w:r>
      <w:r w:rsidR="00314295">
        <w:rPr>
          <w:sz w:val="22"/>
          <w:szCs w:val="22"/>
        </w:rPr>
        <w:t xml:space="preserve">university </w:t>
      </w:r>
      <w:r w:rsidR="0053451F" w:rsidRPr="00687CDC">
        <w:rPr>
          <w:sz w:val="22"/>
          <w:szCs w:val="22"/>
        </w:rPr>
        <w:t xml:space="preserve">students </w:t>
      </w:r>
      <w:r w:rsidR="00BD5A8F">
        <w:rPr>
          <w:sz w:val="22"/>
          <w:szCs w:val="22"/>
        </w:rPr>
        <w:t xml:space="preserve">who </w:t>
      </w:r>
      <w:r w:rsidR="0053451F" w:rsidRPr="00687CDC">
        <w:rPr>
          <w:sz w:val="22"/>
          <w:szCs w:val="22"/>
        </w:rPr>
        <w:t>had progressed from a FEC</w:t>
      </w:r>
      <w:r w:rsidR="00771E17">
        <w:rPr>
          <w:sz w:val="22"/>
          <w:szCs w:val="22"/>
        </w:rPr>
        <w:t>,</w:t>
      </w:r>
      <w:r w:rsidR="00A8181C">
        <w:rPr>
          <w:sz w:val="22"/>
          <w:szCs w:val="22"/>
        </w:rPr>
        <w:t xml:space="preserve"> </w:t>
      </w:r>
      <w:r w:rsidR="00771E17">
        <w:rPr>
          <w:sz w:val="22"/>
          <w:szCs w:val="22"/>
        </w:rPr>
        <w:t xml:space="preserve">found similar results to </w:t>
      </w:r>
      <w:r w:rsidR="00013983" w:rsidRPr="00687CDC">
        <w:rPr>
          <w:sz w:val="22"/>
          <w:szCs w:val="22"/>
        </w:rPr>
        <w:t>Pike and Harrison (2011)</w:t>
      </w:r>
      <w:r w:rsidR="00976936">
        <w:rPr>
          <w:sz w:val="22"/>
          <w:szCs w:val="22"/>
        </w:rPr>
        <w:t>,</w:t>
      </w:r>
      <w:r w:rsidR="00415F87">
        <w:rPr>
          <w:sz w:val="22"/>
          <w:szCs w:val="22"/>
        </w:rPr>
        <w:t xml:space="preserve"> </w:t>
      </w:r>
      <w:r w:rsidR="00976936">
        <w:rPr>
          <w:sz w:val="22"/>
          <w:szCs w:val="22"/>
        </w:rPr>
        <w:t xml:space="preserve">with </w:t>
      </w:r>
      <w:r w:rsidR="007830C5" w:rsidRPr="00687CDC">
        <w:rPr>
          <w:sz w:val="22"/>
          <w:szCs w:val="22"/>
        </w:rPr>
        <w:t>student</w:t>
      </w:r>
      <w:r w:rsidR="00F80A92" w:rsidRPr="00687CDC">
        <w:rPr>
          <w:sz w:val="22"/>
          <w:szCs w:val="22"/>
        </w:rPr>
        <w:t>s</w:t>
      </w:r>
      <w:r w:rsidR="00A8181C">
        <w:rPr>
          <w:sz w:val="22"/>
          <w:szCs w:val="22"/>
        </w:rPr>
        <w:t xml:space="preserve"> </w:t>
      </w:r>
      <w:r w:rsidR="00976936">
        <w:rPr>
          <w:sz w:val="22"/>
          <w:szCs w:val="22"/>
        </w:rPr>
        <w:t xml:space="preserve">requiring </w:t>
      </w:r>
      <w:r w:rsidR="007830C5" w:rsidRPr="00687CDC">
        <w:rPr>
          <w:sz w:val="22"/>
          <w:szCs w:val="22"/>
        </w:rPr>
        <w:t xml:space="preserve">more support </w:t>
      </w:r>
      <w:r w:rsidR="00976936">
        <w:rPr>
          <w:sz w:val="22"/>
          <w:szCs w:val="22"/>
        </w:rPr>
        <w:t>during</w:t>
      </w:r>
      <w:r w:rsidR="007830C5" w:rsidRPr="00687CDC">
        <w:rPr>
          <w:sz w:val="22"/>
          <w:szCs w:val="22"/>
        </w:rPr>
        <w:t xml:space="preserve"> the transitional process due to </w:t>
      </w:r>
      <w:r w:rsidR="000B526B">
        <w:rPr>
          <w:sz w:val="22"/>
          <w:szCs w:val="22"/>
        </w:rPr>
        <w:t xml:space="preserve">anxiety </w:t>
      </w:r>
      <w:r w:rsidR="00BB1F8C">
        <w:rPr>
          <w:sz w:val="22"/>
          <w:szCs w:val="22"/>
        </w:rPr>
        <w:t>surrounding</w:t>
      </w:r>
      <w:r w:rsidR="000B526B">
        <w:rPr>
          <w:sz w:val="22"/>
          <w:szCs w:val="22"/>
        </w:rPr>
        <w:t xml:space="preserve"> </w:t>
      </w:r>
      <w:r w:rsidR="0092770A" w:rsidRPr="00687CDC">
        <w:rPr>
          <w:sz w:val="22"/>
          <w:szCs w:val="22"/>
        </w:rPr>
        <w:t>studying a</w:t>
      </w:r>
      <w:r w:rsidR="0062676A">
        <w:rPr>
          <w:sz w:val="22"/>
          <w:szCs w:val="22"/>
        </w:rPr>
        <w:t>n</w:t>
      </w:r>
      <w:r w:rsidR="0092770A" w:rsidRPr="00687CDC">
        <w:rPr>
          <w:sz w:val="22"/>
          <w:szCs w:val="22"/>
        </w:rPr>
        <w:t xml:space="preserve"> HE related course and </w:t>
      </w:r>
      <w:r w:rsidR="007830C5" w:rsidRPr="00687CDC">
        <w:rPr>
          <w:sz w:val="22"/>
          <w:szCs w:val="22"/>
        </w:rPr>
        <w:t xml:space="preserve">the </w:t>
      </w:r>
      <w:r w:rsidR="006D7A31" w:rsidRPr="00687CDC">
        <w:rPr>
          <w:sz w:val="22"/>
          <w:szCs w:val="22"/>
        </w:rPr>
        <w:t>increas</w:t>
      </w:r>
      <w:r w:rsidR="000B526B">
        <w:rPr>
          <w:sz w:val="22"/>
          <w:szCs w:val="22"/>
        </w:rPr>
        <w:t>e of</w:t>
      </w:r>
      <w:r w:rsidR="006D7A31" w:rsidRPr="00687CDC">
        <w:rPr>
          <w:sz w:val="22"/>
          <w:szCs w:val="22"/>
        </w:rPr>
        <w:t xml:space="preserve"> academic </w:t>
      </w:r>
      <w:r w:rsidR="00EC7651">
        <w:rPr>
          <w:sz w:val="22"/>
          <w:szCs w:val="22"/>
        </w:rPr>
        <w:t>difficulty</w:t>
      </w:r>
      <w:r w:rsidR="00CF51DE" w:rsidRPr="00687CDC">
        <w:rPr>
          <w:sz w:val="22"/>
          <w:szCs w:val="22"/>
        </w:rPr>
        <w:t xml:space="preserve">. </w:t>
      </w:r>
      <w:r w:rsidR="004F4E25">
        <w:rPr>
          <w:sz w:val="22"/>
          <w:szCs w:val="22"/>
        </w:rPr>
        <w:t>Gill</w:t>
      </w:r>
      <w:r w:rsidR="00124731">
        <w:rPr>
          <w:sz w:val="22"/>
          <w:szCs w:val="22"/>
        </w:rPr>
        <w:t>’s</w:t>
      </w:r>
      <w:r w:rsidR="00CF51DE" w:rsidRPr="00687CDC">
        <w:rPr>
          <w:sz w:val="22"/>
          <w:szCs w:val="22"/>
        </w:rPr>
        <w:t xml:space="preserve"> (2018) </w:t>
      </w:r>
      <w:r w:rsidR="007E2963">
        <w:rPr>
          <w:sz w:val="22"/>
          <w:szCs w:val="22"/>
        </w:rPr>
        <w:t xml:space="preserve">subsequent </w:t>
      </w:r>
      <w:r w:rsidR="002C6379" w:rsidRPr="00687CDC">
        <w:rPr>
          <w:sz w:val="22"/>
          <w:szCs w:val="22"/>
        </w:rPr>
        <w:t>research on the transition of students from</w:t>
      </w:r>
      <w:r w:rsidR="00675CE9">
        <w:rPr>
          <w:sz w:val="22"/>
          <w:szCs w:val="22"/>
        </w:rPr>
        <w:t xml:space="preserve"> v</w:t>
      </w:r>
      <w:r w:rsidR="00415F87">
        <w:rPr>
          <w:sz w:val="22"/>
          <w:szCs w:val="22"/>
        </w:rPr>
        <w:t xml:space="preserve">ocational </w:t>
      </w:r>
      <w:r w:rsidR="00675CE9">
        <w:rPr>
          <w:sz w:val="22"/>
          <w:szCs w:val="22"/>
        </w:rPr>
        <w:t>e</w:t>
      </w:r>
      <w:r w:rsidR="00415F87">
        <w:rPr>
          <w:sz w:val="22"/>
          <w:szCs w:val="22"/>
        </w:rPr>
        <w:t xml:space="preserve">ducation and </w:t>
      </w:r>
      <w:r w:rsidR="00675CE9">
        <w:rPr>
          <w:sz w:val="22"/>
          <w:szCs w:val="22"/>
        </w:rPr>
        <w:t>t</w:t>
      </w:r>
      <w:r w:rsidR="00415F87">
        <w:rPr>
          <w:sz w:val="22"/>
          <w:szCs w:val="22"/>
        </w:rPr>
        <w:t>raining (</w:t>
      </w:r>
      <w:r w:rsidR="002C6379" w:rsidRPr="00687CDC">
        <w:rPr>
          <w:sz w:val="22"/>
          <w:szCs w:val="22"/>
        </w:rPr>
        <w:t>VET</w:t>
      </w:r>
      <w:r w:rsidR="00415F87">
        <w:rPr>
          <w:sz w:val="22"/>
          <w:szCs w:val="22"/>
        </w:rPr>
        <w:t>)</w:t>
      </w:r>
      <w:r w:rsidR="00A8181C">
        <w:rPr>
          <w:sz w:val="22"/>
          <w:szCs w:val="22"/>
        </w:rPr>
        <w:t xml:space="preserve"> </w:t>
      </w:r>
      <w:r w:rsidR="00FF0524">
        <w:rPr>
          <w:sz w:val="22"/>
          <w:szCs w:val="22"/>
        </w:rPr>
        <w:t>courses</w:t>
      </w:r>
      <w:r w:rsidR="00155675">
        <w:rPr>
          <w:sz w:val="22"/>
          <w:szCs w:val="22"/>
        </w:rPr>
        <w:t xml:space="preserve"> to HE</w:t>
      </w:r>
      <w:r w:rsidR="00452059" w:rsidRPr="00687CDC">
        <w:rPr>
          <w:sz w:val="22"/>
          <w:szCs w:val="22"/>
        </w:rPr>
        <w:t>,</w:t>
      </w:r>
      <w:r w:rsidR="00A8181C">
        <w:rPr>
          <w:sz w:val="22"/>
          <w:szCs w:val="22"/>
        </w:rPr>
        <w:t xml:space="preserve"> </w:t>
      </w:r>
      <w:r w:rsidR="003076EA" w:rsidRPr="00687CDC">
        <w:rPr>
          <w:sz w:val="22"/>
          <w:szCs w:val="22"/>
        </w:rPr>
        <w:t xml:space="preserve">identified that there </w:t>
      </w:r>
      <w:r w:rsidR="008D1C3C">
        <w:rPr>
          <w:sz w:val="22"/>
          <w:szCs w:val="22"/>
        </w:rPr>
        <w:t>are</w:t>
      </w:r>
      <w:r w:rsidR="003076EA" w:rsidRPr="00687CDC">
        <w:rPr>
          <w:sz w:val="22"/>
          <w:szCs w:val="22"/>
        </w:rPr>
        <w:t xml:space="preserve"> challenges for students transitioning to HE and that students </w:t>
      </w:r>
      <w:r w:rsidR="008D1C3C">
        <w:rPr>
          <w:sz w:val="22"/>
          <w:szCs w:val="22"/>
        </w:rPr>
        <w:t>undergo</w:t>
      </w:r>
      <w:r w:rsidR="003076EA" w:rsidRPr="00687CDC">
        <w:rPr>
          <w:sz w:val="22"/>
          <w:szCs w:val="22"/>
        </w:rPr>
        <w:t xml:space="preserve"> very diverse experiences when transitioning</w:t>
      </w:r>
      <w:r w:rsidR="003076EA">
        <w:rPr>
          <w:sz w:val="22"/>
          <w:szCs w:val="22"/>
        </w:rPr>
        <w:t xml:space="preserve"> (</w:t>
      </w:r>
      <w:r w:rsidR="004F4E25">
        <w:rPr>
          <w:sz w:val="22"/>
          <w:szCs w:val="22"/>
        </w:rPr>
        <w:t>Gill</w:t>
      </w:r>
      <w:r w:rsidR="003076EA">
        <w:rPr>
          <w:sz w:val="22"/>
          <w:szCs w:val="22"/>
        </w:rPr>
        <w:t xml:space="preserve">, 2017; </w:t>
      </w:r>
      <w:r w:rsidR="00C6198B" w:rsidRPr="00687CDC">
        <w:rPr>
          <w:sz w:val="22"/>
          <w:szCs w:val="22"/>
        </w:rPr>
        <w:t xml:space="preserve">Pike </w:t>
      </w:r>
      <w:r w:rsidR="00C45783">
        <w:rPr>
          <w:sz w:val="22"/>
          <w:szCs w:val="22"/>
        </w:rPr>
        <w:t>&amp;</w:t>
      </w:r>
      <w:r w:rsidR="00C6198B" w:rsidRPr="00687CDC">
        <w:rPr>
          <w:sz w:val="22"/>
          <w:szCs w:val="22"/>
        </w:rPr>
        <w:t xml:space="preserve"> Harrison</w:t>
      </w:r>
      <w:r w:rsidR="003076EA">
        <w:rPr>
          <w:sz w:val="22"/>
          <w:szCs w:val="22"/>
        </w:rPr>
        <w:t xml:space="preserve">, </w:t>
      </w:r>
      <w:r w:rsidR="00C6198B" w:rsidRPr="00687CDC">
        <w:rPr>
          <w:sz w:val="22"/>
          <w:szCs w:val="22"/>
        </w:rPr>
        <w:t>2011)</w:t>
      </w:r>
      <w:r w:rsidR="00960FEE" w:rsidRPr="00687CDC">
        <w:rPr>
          <w:sz w:val="22"/>
          <w:szCs w:val="22"/>
        </w:rPr>
        <w:t>.</w:t>
      </w:r>
      <w:r w:rsidR="009B24ED">
        <w:rPr>
          <w:sz w:val="22"/>
          <w:szCs w:val="22"/>
        </w:rPr>
        <w:t xml:space="preserve"> It is important to not</w:t>
      </w:r>
      <w:r w:rsidR="009C1AEE">
        <w:rPr>
          <w:sz w:val="22"/>
          <w:szCs w:val="22"/>
        </w:rPr>
        <w:t>e</w:t>
      </w:r>
      <w:r w:rsidR="009B24ED">
        <w:rPr>
          <w:sz w:val="22"/>
          <w:szCs w:val="22"/>
        </w:rPr>
        <w:t xml:space="preserve"> that </w:t>
      </w:r>
      <w:r w:rsidR="004F4E25">
        <w:rPr>
          <w:sz w:val="22"/>
          <w:szCs w:val="22"/>
        </w:rPr>
        <w:t>Gill</w:t>
      </w:r>
      <w:r w:rsidR="00754CFD">
        <w:rPr>
          <w:sz w:val="22"/>
          <w:szCs w:val="22"/>
        </w:rPr>
        <w:t>’s</w:t>
      </w:r>
      <w:r w:rsidR="009B24ED">
        <w:rPr>
          <w:sz w:val="22"/>
          <w:szCs w:val="22"/>
        </w:rPr>
        <w:t xml:space="preserve"> (2018) </w:t>
      </w:r>
      <w:r w:rsidR="00573CB9" w:rsidRPr="00687CDC">
        <w:rPr>
          <w:sz w:val="22"/>
          <w:szCs w:val="22"/>
        </w:rPr>
        <w:t>findings</w:t>
      </w:r>
      <w:r w:rsidR="00A8181C">
        <w:rPr>
          <w:sz w:val="22"/>
          <w:szCs w:val="22"/>
        </w:rPr>
        <w:t xml:space="preserve"> </w:t>
      </w:r>
      <w:r w:rsidR="00CD6A5D" w:rsidRPr="00687CDC">
        <w:rPr>
          <w:sz w:val="22"/>
          <w:szCs w:val="22"/>
        </w:rPr>
        <w:t xml:space="preserve">facilitated </w:t>
      </w:r>
      <w:r w:rsidR="00A31A0E" w:rsidRPr="00687CDC">
        <w:rPr>
          <w:sz w:val="22"/>
          <w:szCs w:val="22"/>
        </w:rPr>
        <w:t>th</w:t>
      </w:r>
      <w:r w:rsidR="00F20E57">
        <w:rPr>
          <w:sz w:val="22"/>
          <w:szCs w:val="22"/>
        </w:rPr>
        <w:t xml:space="preserve">e need </w:t>
      </w:r>
      <w:r w:rsidR="005D621E">
        <w:rPr>
          <w:sz w:val="22"/>
          <w:szCs w:val="22"/>
        </w:rPr>
        <w:t xml:space="preserve">for this piece of research. </w:t>
      </w:r>
      <w:r w:rsidR="00A11F16" w:rsidRPr="00687CDC">
        <w:rPr>
          <w:sz w:val="22"/>
          <w:szCs w:val="22"/>
        </w:rPr>
        <w:t>With t</w:t>
      </w:r>
      <w:r w:rsidR="00FB49BD" w:rsidRPr="00687CDC">
        <w:rPr>
          <w:sz w:val="22"/>
          <w:szCs w:val="22"/>
        </w:rPr>
        <w:t xml:space="preserve">he </w:t>
      </w:r>
      <w:r w:rsidR="00400D66" w:rsidRPr="00687CDC">
        <w:rPr>
          <w:sz w:val="22"/>
          <w:szCs w:val="22"/>
        </w:rPr>
        <w:t xml:space="preserve">nature of </w:t>
      </w:r>
      <w:r w:rsidR="00186251" w:rsidRPr="00687CDC">
        <w:rPr>
          <w:sz w:val="22"/>
          <w:szCs w:val="22"/>
        </w:rPr>
        <w:t>his</w:t>
      </w:r>
      <w:r w:rsidR="00400D66" w:rsidRPr="00687CDC">
        <w:rPr>
          <w:sz w:val="22"/>
          <w:szCs w:val="22"/>
        </w:rPr>
        <w:t xml:space="preserve"> research </w:t>
      </w:r>
      <w:r w:rsidR="00FA2EDC" w:rsidRPr="00687CDC">
        <w:rPr>
          <w:sz w:val="22"/>
          <w:szCs w:val="22"/>
        </w:rPr>
        <w:t>explor</w:t>
      </w:r>
      <w:r w:rsidR="00A11F16" w:rsidRPr="00687CDC">
        <w:rPr>
          <w:sz w:val="22"/>
          <w:szCs w:val="22"/>
        </w:rPr>
        <w:t>ing</w:t>
      </w:r>
      <w:r w:rsidR="00A8181C">
        <w:rPr>
          <w:sz w:val="22"/>
          <w:szCs w:val="22"/>
        </w:rPr>
        <w:t xml:space="preserve"> </w:t>
      </w:r>
      <w:r w:rsidR="005577B3" w:rsidRPr="00687CDC">
        <w:rPr>
          <w:sz w:val="22"/>
          <w:szCs w:val="22"/>
        </w:rPr>
        <w:t>transition</w:t>
      </w:r>
      <w:r w:rsidR="00314C44" w:rsidRPr="00687CDC">
        <w:rPr>
          <w:sz w:val="22"/>
          <w:szCs w:val="22"/>
        </w:rPr>
        <w:t>al experiences</w:t>
      </w:r>
      <w:r w:rsidR="005577B3" w:rsidRPr="00687CDC">
        <w:rPr>
          <w:sz w:val="22"/>
          <w:szCs w:val="22"/>
        </w:rPr>
        <w:t xml:space="preserve"> of different student bodies</w:t>
      </w:r>
      <w:r w:rsidR="00FB49BD" w:rsidRPr="00687CDC">
        <w:rPr>
          <w:sz w:val="22"/>
          <w:szCs w:val="22"/>
        </w:rPr>
        <w:t xml:space="preserve"> to </w:t>
      </w:r>
      <w:r w:rsidR="001D781A">
        <w:rPr>
          <w:sz w:val="22"/>
          <w:szCs w:val="22"/>
        </w:rPr>
        <w:t>HE</w:t>
      </w:r>
      <w:r w:rsidR="00A11F16" w:rsidRPr="00687CDC">
        <w:rPr>
          <w:sz w:val="22"/>
          <w:szCs w:val="22"/>
        </w:rPr>
        <w:t>, it was</w:t>
      </w:r>
      <w:r w:rsidR="00A8181C">
        <w:rPr>
          <w:sz w:val="22"/>
          <w:szCs w:val="22"/>
        </w:rPr>
        <w:t xml:space="preserve"> </w:t>
      </w:r>
      <w:r w:rsidR="00A97F39">
        <w:rPr>
          <w:sz w:val="22"/>
          <w:szCs w:val="22"/>
        </w:rPr>
        <w:t>apparent</w:t>
      </w:r>
      <w:r w:rsidR="00132DE8" w:rsidRPr="00687CDC">
        <w:rPr>
          <w:sz w:val="22"/>
          <w:szCs w:val="22"/>
        </w:rPr>
        <w:t xml:space="preserve"> that the research </w:t>
      </w:r>
      <w:r w:rsidR="000F0C95" w:rsidRPr="00687CDC">
        <w:rPr>
          <w:sz w:val="22"/>
          <w:szCs w:val="22"/>
        </w:rPr>
        <w:t xml:space="preserve">in the area </w:t>
      </w:r>
      <w:r w:rsidR="006C0C34" w:rsidRPr="00687CDC">
        <w:rPr>
          <w:sz w:val="22"/>
          <w:szCs w:val="22"/>
        </w:rPr>
        <w:t xml:space="preserve">focused </w:t>
      </w:r>
      <w:r w:rsidR="00AB5C27">
        <w:rPr>
          <w:sz w:val="22"/>
          <w:szCs w:val="22"/>
        </w:rPr>
        <w:t xml:space="preserve">predominantly </w:t>
      </w:r>
      <w:r w:rsidR="006C0C34" w:rsidRPr="00687CDC">
        <w:rPr>
          <w:sz w:val="22"/>
          <w:szCs w:val="22"/>
        </w:rPr>
        <w:t>upon direct</w:t>
      </w:r>
      <w:r w:rsidR="00AB5C27">
        <w:rPr>
          <w:sz w:val="22"/>
          <w:szCs w:val="22"/>
        </w:rPr>
        <w:t>-</w:t>
      </w:r>
      <w:r w:rsidR="006C0C34" w:rsidRPr="00687CDC">
        <w:rPr>
          <w:sz w:val="22"/>
          <w:szCs w:val="22"/>
        </w:rPr>
        <w:t>entrants</w:t>
      </w:r>
      <w:r w:rsidR="00A8181C">
        <w:rPr>
          <w:sz w:val="22"/>
          <w:szCs w:val="22"/>
        </w:rPr>
        <w:t xml:space="preserve"> </w:t>
      </w:r>
      <w:r w:rsidR="00251CF9">
        <w:rPr>
          <w:sz w:val="22"/>
          <w:szCs w:val="22"/>
        </w:rPr>
        <w:t xml:space="preserve">progressing </w:t>
      </w:r>
      <w:r w:rsidR="00285872">
        <w:rPr>
          <w:sz w:val="22"/>
          <w:szCs w:val="22"/>
        </w:rPr>
        <w:t>to a</w:t>
      </w:r>
      <w:r w:rsidR="0062676A">
        <w:rPr>
          <w:sz w:val="22"/>
          <w:szCs w:val="22"/>
        </w:rPr>
        <w:t>n</w:t>
      </w:r>
      <w:r w:rsidR="00285872">
        <w:rPr>
          <w:sz w:val="22"/>
          <w:szCs w:val="22"/>
        </w:rPr>
        <w:t xml:space="preserve"> HEI</w:t>
      </w:r>
      <w:r w:rsidR="00F25EE2">
        <w:rPr>
          <w:sz w:val="22"/>
          <w:szCs w:val="22"/>
        </w:rPr>
        <w:t>,</w:t>
      </w:r>
      <w:r w:rsidR="00A8181C">
        <w:rPr>
          <w:sz w:val="22"/>
          <w:szCs w:val="22"/>
        </w:rPr>
        <w:t xml:space="preserve"> </w:t>
      </w:r>
      <w:r w:rsidR="00FE6128">
        <w:rPr>
          <w:sz w:val="22"/>
          <w:szCs w:val="22"/>
        </w:rPr>
        <w:t xml:space="preserve">highlighting </w:t>
      </w:r>
      <w:r w:rsidR="00F91F51">
        <w:rPr>
          <w:sz w:val="22"/>
          <w:szCs w:val="22"/>
        </w:rPr>
        <w:t>an</w:t>
      </w:r>
      <w:r w:rsidR="00A8181C">
        <w:rPr>
          <w:sz w:val="22"/>
          <w:szCs w:val="22"/>
        </w:rPr>
        <w:t xml:space="preserve"> </w:t>
      </w:r>
      <w:r w:rsidR="00F2228F">
        <w:rPr>
          <w:sz w:val="22"/>
          <w:szCs w:val="22"/>
        </w:rPr>
        <w:t xml:space="preserve">obvious </w:t>
      </w:r>
      <w:r w:rsidR="00903F28" w:rsidRPr="00687CDC">
        <w:rPr>
          <w:sz w:val="22"/>
          <w:szCs w:val="22"/>
        </w:rPr>
        <w:t>gap in the literature</w:t>
      </w:r>
      <w:r w:rsidR="00F4412E">
        <w:rPr>
          <w:sz w:val="22"/>
          <w:szCs w:val="22"/>
        </w:rPr>
        <w:t>.</w:t>
      </w:r>
      <w:r w:rsidR="00A8181C">
        <w:rPr>
          <w:sz w:val="22"/>
          <w:szCs w:val="22"/>
        </w:rPr>
        <w:t xml:space="preserve"> </w:t>
      </w:r>
      <w:r w:rsidR="00F4412E">
        <w:rPr>
          <w:sz w:val="22"/>
          <w:szCs w:val="22"/>
        </w:rPr>
        <w:t>W</w:t>
      </w:r>
      <w:r w:rsidR="00317B92">
        <w:rPr>
          <w:sz w:val="22"/>
          <w:szCs w:val="22"/>
        </w:rPr>
        <w:t xml:space="preserve">ith </w:t>
      </w:r>
      <w:r w:rsidR="00D00B5B" w:rsidRPr="00687CDC">
        <w:rPr>
          <w:sz w:val="22"/>
          <w:szCs w:val="22"/>
        </w:rPr>
        <w:t xml:space="preserve">FDs </w:t>
      </w:r>
      <w:r w:rsidR="00D00B5B">
        <w:rPr>
          <w:sz w:val="22"/>
          <w:szCs w:val="22"/>
        </w:rPr>
        <w:t xml:space="preserve">at FECs being popular and offering </w:t>
      </w:r>
      <w:r w:rsidR="00D00B5B" w:rsidRPr="00687CDC">
        <w:rPr>
          <w:sz w:val="22"/>
          <w:szCs w:val="22"/>
        </w:rPr>
        <w:t>a diversity of experience</w:t>
      </w:r>
      <w:r w:rsidR="00D00B5B">
        <w:rPr>
          <w:sz w:val="22"/>
          <w:szCs w:val="22"/>
        </w:rPr>
        <w:t>,</w:t>
      </w:r>
      <w:r w:rsidR="00317B92">
        <w:rPr>
          <w:sz w:val="22"/>
          <w:szCs w:val="22"/>
        </w:rPr>
        <w:t xml:space="preserve"> as well as</w:t>
      </w:r>
      <w:r w:rsidR="00A8181C">
        <w:rPr>
          <w:sz w:val="22"/>
          <w:szCs w:val="22"/>
        </w:rPr>
        <w:t xml:space="preserve"> </w:t>
      </w:r>
      <w:r w:rsidR="00D00B5B">
        <w:rPr>
          <w:sz w:val="22"/>
          <w:szCs w:val="22"/>
        </w:rPr>
        <w:t>serving as</w:t>
      </w:r>
      <w:r w:rsidR="00D00B5B" w:rsidRPr="00687CDC">
        <w:rPr>
          <w:sz w:val="22"/>
          <w:szCs w:val="22"/>
        </w:rPr>
        <w:t xml:space="preserve"> an important vehicle for the promotion of widening participation and employability (Simm</w:t>
      </w:r>
      <w:r w:rsidR="00A8181C">
        <w:rPr>
          <w:sz w:val="22"/>
          <w:szCs w:val="22"/>
        </w:rPr>
        <w:t xml:space="preserve"> </w:t>
      </w:r>
      <w:r w:rsidR="00D00B5B" w:rsidRPr="00687CDC">
        <w:rPr>
          <w:i/>
          <w:sz w:val="22"/>
          <w:szCs w:val="22"/>
        </w:rPr>
        <w:t>et al</w:t>
      </w:r>
      <w:r w:rsidR="00D00B5B" w:rsidRPr="00687CDC">
        <w:rPr>
          <w:sz w:val="22"/>
          <w:szCs w:val="22"/>
        </w:rPr>
        <w:t>., 2011)</w:t>
      </w:r>
      <w:r w:rsidR="00F25EE2">
        <w:rPr>
          <w:sz w:val="22"/>
          <w:szCs w:val="22"/>
        </w:rPr>
        <w:t xml:space="preserve">, </w:t>
      </w:r>
      <w:r w:rsidR="00160C20">
        <w:rPr>
          <w:sz w:val="22"/>
          <w:szCs w:val="22"/>
        </w:rPr>
        <w:t>it</w:t>
      </w:r>
      <w:r w:rsidR="00B63B48">
        <w:rPr>
          <w:sz w:val="22"/>
          <w:szCs w:val="22"/>
        </w:rPr>
        <w:t xml:space="preserve"> was deemed purposeful</w:t>
      </w:r>
      <w:r w:rsidR="00160C20">
        <w:rPr>
          <w:sz w:val="22"/>
          <w:szCs w:val="22"/>
        </w:rPr>
        <w:t xml:space="preserve"> to explore the demographic that progresses to a FD in the first instance</w:t>
      </w:r>
      <w:r w:rsidR="00FA2EDC" w:rsidRPr="00687CDC">
        <w:rPr>
          <w:sz w:val="22"/>
          <w:szCs w:val="22"/>
        </w:rPr>
        <w:t>.</w:t>
      </w:r>
      <w:r w:rsidR="00A8181C">
        <w:rPr>
          <w:sz w:val="22"/>
          <w:szCs w:val="22"/>
        </w:rPr>
        <w:t xml:space="preserve"> </w:t>
      </w:r>
      <w:r w:rsidR="00F05677">
        <w:rPr>
          <w:sz w:val="22"/>
          <w:szCs w:val="22"/>
        </w:rPr>
        <w:t>Thus</w:t>
      </w:r>
      <w:r w:rsidR="00312E11" w:rsidRPr="00687CDC">
        <w:rPr>
          <w:sz w:val="22"/>
          <w:szCs w:val="22"/>
        </w:rPr>
        <w:t>,</w:t>
      </w:r>
      <w:r w:rsidR="00687CDC" w:rsidRPr="00687CDC">
        <w:rPr>
          <w:sz w:val="22"/>
          <w:szCs w:val="22"/>
        </w:rPr>
        <w:t xml:space="preserve"> the current study aims to explore BTEC Level 3 sport</w:t>
      </w:r>
      <w:r w:rsidR="00415F87">
        <w:rPr>
          <w:sz w:val="22"/>
          <w:szCs w:val="22"/>
        </w:rPr>
        <w:t xml:space="preserve"> and exercise</w:t>
      </w:r>
      <w:r w:rsidR="00687CDC" w:rsidRPr="00687CDC">
        <w:rPr>
          <w:sz w:val="22"/>
          <w:szCs w:val="22"/>
        </w:rPr>
        <w:t xml:space="preserve"> students’ thoughts, feelings and perceptions on their forthcoming transition to HE, undertaking a FD course in a FE</w:t>
      </w:r>
      <w:r w:rsidR="00E9526E">
        <w:rPr>
          <w:sz w:val="22"/>
          <w:szCs w:val="22"/>
        </w:rPr>
        <w:t xml:space="preserve"> </w:t>
      </w:r>
      <w:r w:rsidR="00BB1F8C">
        <w:rPr>
          <w:sz w:val="22"/>
          <w:szCs w:val="22"/>
        </w:rPr>
        <w:t>setting</w:t>
      </w:r>
      <w:r w:rsidR="00E9526E">
        <w:rPr>
          <w:sz w:val="22"/>
          <w:szCs w:val="22"/>
        </w:rPr>
        <w:t>.</w:t>
      </w:r>
    </w:p>
    <w:p w:rsidR="00675CE9" w:rsidRDefault="00675CE9" w:rsidP="00F452EC">
      <w:pPr>
        <w:pStyle w:val="Default"/>
        <w:spacing w:before="240" w:line="360" w:lineRule="auto"/>
        <w:rPr>
          <w:b/>
        </w:rPr>
      </w:pPr>
    </w:p>
    <w:p w:rsidR="00584B42" w:rsidRPr="000818F0" w:rsidRDefault="000818F0" w:rsidP="00F452EC">
      <w:pPr>
        <w:pStyle w:val="Default"/>
        <w:spacing w:before="240" w:line="360" w:lineRule="auto"/>
        <w:rPr>
          <w:b/>
        </w:rPr>
      </w:pPr>
      <w:r>
        <w:rPr>
          <w:b/>
        </w:rPr>
        <w:t>Method</w:t>
      </w:r>
    </w:p>
    <w:p w:rsidR="008826F0" w:rsidRPr="00687CDC" w:rsidRDefault="002E262D" w:rsidP="00F452EC">
      <w:pPr>
        <w:pStyle w:val="Default"/>
        <w:spacing w:before="240" w:line="360" w:lineRule="auto"/>
        <w:rPr>
          <w:sz w:val="22"/>
          <w:szCs w:val="22"/>
        </w:rPr>
      </w:pPr>
      <w:r w:rsidRPr="00687CDC">
        <w:rPr>
          <w:sz w:val="22"/>
          <w:szCs w:val="22"/>
        </w:rPr>
        <w:t>The design of th</w:t>
      </w:r>
      <w:r w:rsidR="00BB1F8C">
        <w:rPr>
          <w:sz w:val="22"/>
          <w:szCs w:val="22"/>
        </w:rPr>
        <w:t>e</w:t>
      </w:r>
      <w:r w:rsidRPr="00687CDC">
        <w:rPr>
          <w:sz w:val="22"/>
          <w:szCs w:val="22"/>
        </w:rPr>
        <w:t xml:space="preserve"> research was </w:t>
      </w:r>
      <w:r w:rsidR="00411896" w:rsidRPr="00687CDC">
        <w:rPr>
          <w:sz w:val="22"/>
          <w:szCs w:val="22"/>
        </w:rPr>
        <w:t xml:space="preserve">grounded on the requirement to develop an in-depth understanding of </w:t>
      </w:r>
      <w:r w:rsidR="00747F52" w:rsidRPr="00687CDC">
        <w:rPr>
          <w:sz w:val="22"/>
          <w:szCs w:val="22"/>
        </w:rPr>
        <w:t>student’s</w:t>
      </w:r>
      <w:r w:rsidR="009E26EB" w:rsidRPr="00687CDC">
        <w:rPr>
          <w:sz w:val="22"/>
          <w:szCs w:val="22"/>
        </w:rPr>
        <w:t xml:space="preserve"> thoughts, feelings and perceptions about their forthcoming transition</w:t>
      </w:r>
      <w:r w:rsidR="00D2319F" w:rsidRPr="00687CDC">
        <w:rPr>
          <w:sz w:val="22"/>
          <w:szCs w:val="22"/>
        </w:rPr>
        <w:t xml:space="preserve"> to</w:t>
      </w:r>
      <w:r w:rsidR="00A8181C">
        <w:rPr>
          <w:sz w:val="22"/>
          <w:szCs w:val="22"/>
        </w:rPr>
        <w:t xml:space="preserve"> </w:t>
      </w:r>
      <w:r w:rsidR="00823007">
        <w:rPr>
          <w:sz w:val="22"/>
          <w:szCs w:val="22"/>
        </w:rPr>
        <w:t>HE</w:t>
      </w:r>
      <w:r w:rsidR="002539D3" w:rsidRPr="00687CDC">
        <w:rPr>
          <w:sz w:val="22"/>
          <w:szCs w:val="22"/>
        </w:rPr>
        <w:t xml:space="preserve">, </w:t>
      </w:r>
      <w:r w:rsidR="00BC2F80">
        <w:rPr>
          <w:sz w:val="22"/>
          <w:szCs w:val="22"/>
        </w:rPr>
        <w:t xml:space="preserve">studying a FD </w:t>
      </w:r>
      <w:r w:rsidR="002539D3" w:rsidRPr="00687CDC">
        <w:rPr>
          <w:sz w:val="22"/>
          <w:szCs w:val="22"/>
        </w:rPr>
        <w:t>delivered</w:t>
      </w:r>
      <w:r w:rsidR="00B862EA" w:rsidRPr="00687CDC">
        <w:rPr>
          <w:sz w:val="22"/>
          <w:szCs w:val="22"/>
        </w:rPr>
        <w:t xml:space="preserve"> in a FE </w:t>
      </w:r>
      <w:r w:rsidR="00BB1F8C">
        <w:rPr>
          <w:sz w:val="22"/>
          <w:szCs w:val="22"/>
        </w:rPr>
        <w:t>setting</w:t>
      </w:r>
      <w:r w:rsidR="00CB7DFC" w:rsidRPr="00687CDC">
        <w:rPr>
          <w:sz w:val="22"/>
          <w:szCs w:val="22"/>
        </w:rPr>
        <w:t xml:space="preserve"> (HEFCE, 2007; U.K. Higher Education, 2017)</w:t>
      </w:r>
      <w:r w:rsidR="00A81715" w:rsidRPr="00687CDC">
        <w:rPr>
          <w:sz w:val="22"/>
          <w:szCs w:val="22"/>
        </w:rPr>
        <w:t>.</w:t>
      </w:r>
      <w:r w:rsidR="00C87A82" w:rsidRPr="00687CDC">
        <w:rPr>
          <w:sz w:val="22"/>
          <w:szCs w:val="22"/>
        </w:rPr>
        <w:t xml:space="preserve"> For this reason, </w:t>
      </w:r>
      <w:r w:rsidR="00BF6E63" w:rsidRPr="00687CDC">
        <w:rPr>
          <w:sz w:val="22"/>
          <w:szCs w:val="22"/>
        </w:rPr>
        <w:t>grounded-theory</w:t>
      </w:r>
      <w:r w:rsidR="00B37751" w:rsidRPr="00687CDC">
        <w:rPr>
          <w:sz w:val="22"/>
          <w:szCs w:val="22"/>
        </w:rPr>
        <w:t xml:space="preserve"> </w:t>
      </w:r>
      <w:r w:rsidR="00FD4E70">
        <w:rPr>
          <w:sz w:val="22"/>
          <w:szCs w:val="22"/>
        </w:rPr>
        <w:t xml:space="preserve">was </w:t>
      </w:r>
      <w:r w:rsidR="00B37751" w:rsidRPr="00687CDC">
        <w:rPr>
          <w:sz w:val="22"/>
          <w:szCs w:val="22"/>
        </w:rPr>
        <w:t>utilised</w:t>
      </w:r>
      <w:r w:rsidR="00C3714C" w:rsidRPr="00687CDC">
        <w:rPr>
          <w:sz w:val="22"/>
          <w:szCs w:val="22"/>
        </w:rPr>
        <w:t xml:space="preserve">, providing </w:t>
      </w:r>
      <w:r w:rsidR="00C87A82" w:rsidRPr="00687CDC">
        <w:rPr>
          <w:sz w:val="22"/>
          <w:szCs w:val="22"/>
        </w:rPr>
        <w:t>an inductive approach</w:t>
      </w:r>
      <w:r w:rsidR="00146C59" w:rsidRPr="00687CDC">
        <w:rPr>
          <w:sz w:val="22"/>
          <w:szCs w:val="22"/>
        </w:rPr>
        <w:t xml:space="preserve"> within a qualitative</w:t>
      </w:r>
      <w:r w:rsidR="00C3714C" w:rsidRPr="00687CDC">
        <w:rPr>
          <w:sz w:val="22"/>
          <w:szCs w:val="22"/>
        </w:rPr>
        <w:t xml:space="preserve"> methodological framework to</w:t>
      </w:r>
      <w:r w:rsidR="00FD4E70">
        <w:rPr>
          <w:sz w:val="22"/>
          <w:szCs w:val="22"/>
        </w:rPr>
        <w:t xml:space="preserve"> effectively</w:t>
      </w:r>
      <w:r w:rsidR="00C3714C" w:rsidRPr="00687CDC">
        <w:rPr>
          <w:sz w:val="22"/>
          <w:szCs w:val="22"/>
        </w:rPr>
        <w:t xml:space="preserve"> listen to the </w:t>
      </w:r>
      <w:r w:rsidR="00FE3D76" w:rsidRPr="00687CDC">
        <w:rPr>
          <w:sz w:val="22"/>
          <w:szCs w:val="22"/>
        </w:rPr>
        <w:t>student</w:t>
      </w:r>
      <w:r w:rsidR="00A333FC" w:rsidRPr="00687CDC">
        <w:rPr>
          <w:sz w:val="22"/>
          <w:szCs w:val="22"/>
        </w:rPr>
        <w:t xml:space="preserve"> voice and capture the reality of </w:t>
      </w:r>
      <w:r w:rsidR="00A333FC" w:rsidRPr="0062676A">
        <w:rPr>
          <w:sz w:val="22"/>
          <w:szCs w:val="22"/>
        </w:rPr>
        <w:t>the</w:t>
      </w:r>
      <w:r w:rsidR="00C81395" w:rsidRPr="0062676A">
        <w:rPr>
          <w:sz w:val="22"/>
          <w:szCs w:val="22"/>
        </w:rPr>
        <w:t xml:space="preserve"> cohort</w:t>
      </w:r>
      <w:r w:rsidR="0062676A">
        <w:rPr>
          <w:sz w:val="22"/>
          <w:szCs w:val="22"/>
        </w:rPr>
        <w:t>’</w:t>
      </w:r>
      <w:r w:rsidR="00C81395" w:rsidRPr="0062676A">
        <w:rPr>
          <w:sz w:val="22"/>
          <w:szCs w:val="22"/>
        </w:rPr>
        <w:t>s</w:t>
      </w:r>
      <w:r w:rsidR="00A8181C">
        <w:rPr>
          <w:sz w:val="22"/>
          <w:szCs w:val="22"/>
        </w:rPr>
        <w:t xml:space="preserve"> </w:t>
      </w:r>
      <w:r w:rsidR="00183CC1" w:rsidRPr="00687CDC">
        <w:rPr>
          <w:sz w:val="22"/>
          <w:szCs w:val="22"/>
        </w:rPr>
        <w:t xml:space="preserve">forthcoming </w:t>
      </w:r>
      <w:r w:rsidR="00A333FC" w:rsidRPr="00687CDC">
        <w:rPr>
          <w:sz w:val="22"/>
          <w:szCs w:val="22"/>
        </w:rPr>
        <w:t xml:space="preserve">transition (Cresswell, 1998; </w:t>
      </w:r>
      <w:r w:rsidR="00FD4E70">
        <w:rPr>
          <w:sz w:val="22"/>
          <w:szCs w:val="22"/>
        </w:rPr>
        <w:t>Gill</w:t>
      </w:r>
      <w:r w:rsidR="00A333FC" w:rsidRPr="00687CDC">
        <w:rPr>
          <w:sz w:val="22"/>
          <w:szCs w:val="22"/>
        </w:rPr>
        <w:t>, 2017</w:t>
      </w:r>
      <w:r w:rsidR="00D07247" w:rsidRPr="00687CDC">
        <w:rPr>
          <w:sz w:val="22"/>
          <w:szCs w:val="22"/>
        </w:rPr>
        <w:t xml:space="preserve">; </w:t>
      </w:r>
      <w:r w:rsidR="00FD4E70">
        <w:rPr>
          <w:sz w:val="22"/>
          <w:szCs w:val="22"/>
        </w:rPr>
        <w:t xml:space="preserve">Gill, </w:t>
      </w:r>
      <w:r w:rsidR="00D07247" w:rsidRPr="00687CDC">
        <w:rPr>
          <w:sz w:val="22"/>
          <w:szCs w:val="22"/>
        </w:rPr>
        <w:t>2018).</w:t>
      </w:r>
    </w:p>
    <w:p w:rsidR="00912B66" w:rsidRPr="00687CDC" w:rsidRDefault="00817754" w:rsidP="00F452EC">
      <w:pPr>
        <w:pStyle w:val="Default"/>
        <w:spacing w:before="240" w:line="360" w:lineRule="auto"/>
        <w:rPr>
          <w:sz w:val="22"/>
          <w:szCs w:val="22"/>
        </w:rPr>
      </w:pPr>
      <w:r w:rsidRPr="00687CDC">
        <w:rPr>
          <w:sz w:val="22"/>
          <w:szCs w:val="22"/>
        </w:rPr>
        <w:t xml:space="preserve">Having received </w:t>
      </w:r>
      <w:r w:rsidR="0018573F" w:rsidRPr="00687CDC">
        <w:rPr>
          <w:sz w:val="22"/>
          <w:szCs w:val="22"/>
        </w:rPr>
        <w:t xml:space="preserve">institutional </w:t>
      </w:r>
      <w:r w:rsidRPr="00687CDC">
        <w:rPr>
          <w:sz w:val="22"/>
          <w:szCs w:val="22"/>
        </w:rPr>
        <w:t xml:space="preserve">ethical </w:t>
      </w:r>
      <w:r w:rsidR="000F25ED">
        <w:rPr>
          <w:sz w:val="22"/>
          <w:szCs w:val="22"/>
        </w:rPr>
        <w:t>approval</w:t>
      </w:r>
      <w:r w:rsidR="00EF2FFF" w:rsidRPr="00687CDC">
        <w:rPr>
          <w:sz w:val="22"/>
          <w:szCs w:val="22"/>
        </w:rPr>
        <w:t xml:space="preserve">, focus groups were utilised to collect </w:t>
      </w:r>
      <w:r w:rsidR="00476E83" w:rsidRPr="00687CDC">
        <w:rPr>
          <w:sz w:val="22"/>
          <w:szCs w:val="22"/>
        </w:rPr>
        <w:t>the data.</w:t>
      </w:r>
      <w:r w:rsidR="001243CF" w:rsidRPr="00687CDC">
        <w:rPr>
          <w:sz w:val="22"/>
          <w:szCs w:val="22"/>
        </w:rPr>
        <w:t xml:space="preserve"> Focus groups all</w:t>
      </w:r>
      <w:r w:rsidR="00C564EA" w:rsidRPr="00687CDC">
        <w:rPr>
          <w:sz w:val="22"/>
          <w:szCs w:val="22"/>
        </w:rPr>
        <w:t>ow</w:t>
      </w:r>
      <w:r w:rsidR="001243CF" w:rsidRPr="00687CDC">
        <w:rPr>
          <w:sz w:val="22"/>
          <w:szCs w:val="22"/>
        </w:rPr>
        <w:t xml:space="preserve"> participants to express a</w:t>
      </w:r>
      <w:r w:rsidR="00C564EA" w:rsidRPr="00687CDC">
        <w:rPr>
          <w:sz w:val="22"/>
          <w:szCs w:val="22"/>
        </w:rPr>
        <w:t>n</w:t>
      </w:r>
      <w:r w:rsidR="001243CF" w:rsidRPr="00687CDC">
        <w:rPr>
          <w:sz w:val="22"/>
          <w:szCs w:val="22"/>
        </w:rPr>
        <w:t xml:space="preserve">d convey their </w:t>
      </w:r>
      <w:r w:rsidR="00937CBF" w:rsidRPr="00687CDC">
        <w:rPr>
          <w:sz w:val="22"/>
          <w:szCs w:val="22"/>
        </w:rPr>
        <w:t xml:space="preserve">views and </w:t>
      </w:r>
      <w:r w:rsidR="00C564EA" w:rsidRPr="00687CDC">
        <w:rPr>
          <w:sz w:val="22"/>
          <w:szCs w:val="22"/>
        </w:rPr>
        <w:t>feelings</w:t>
      </w:r>
      <w:r w:rsidR="00E40AFF" w:rsidRPr="00687CDC">
        <w:rPr>
          <w:sz w:val="22"/>
          <w:szCs w:val="22"/>
        </w:rPr>
        <w:t xml:space="preserve"> around specific subjects, </w:t>
      </w:r>
      <w:r w:rsidR="00E40AFF" w:rsidRPr="00687CDC">
        <w:rPr>
          <w:noProof/>
          <w:sz w:val="22"/>
          <w:szCs w:val="22"/>
        </w:rPr>
        <w:t xml:space="preserve">whilst explicitly interacting within a group (Kamberelis </w:t>
      </w:r>
      <w:r w:rsidR="00C45783">
        <w:rPr>
          <w:noProof/>
          <w:sz w:val="22"/>
          <w:szCs w:val="22"/>
        </w:rPr>
        <w:t>&amp;</w:t>
      </w:r>
      <w:r w:rsidR="00E40AFF" w:rsidRPr="00687CDC">
        <w:rPr>
          <w:noProof/>
          <w:sz w:val="22"/>
          <w:szCs w:val="22"/>
        </w:rPr>
        <w:t xml:space="preserve"> Dimitriadis, 2013).</w:t>
      </w:r>
      <w:r w:rsidR="00232DF5" w:rsidRPr="00687CDC">
        <w:rPr>
          <w:noProof/>
          <w:sz w:val="22"/>
          <w:szCs w:val="22"/>
        </w:rPr>
        <w:t xml:space="preserve"> The group interaction </w:t>
      </w:r>
      <w:r w:rsidR="009E2CB8">
        <w:rPr>
          <w:noProof/>
          <w:sz w:val="22"/>
          <w:szCs w:val="22"/>
        </w:rPr>
        <w:t>required in</w:t>
      </w:r>
      <w:r w:rsidR="00747F52">
        <w:rPr>
          <w:noProof/>
          <w:sz w:val="22"/>
          <w:szCs w:val="22"/>
        </w:rPr>
        <w:t xml:space="preserve"> </w:t>
      </w:r>
      <w:r w:rsidR="00671F3F">
        <w:rPr>
          <w:noProof/>
          <w:sz w:val="22"/>
          <w:szCs w:val="22"/>
        </w:rPr>
        <w:t xml:space="preserve">the </w:t>
      </w:r>
      <w:r w:rsidR="00232DF5" w:rsidRPr="00687CDC">
        <w:rPr>
          <w:noProof/>
          <w:sz w:val="22"/>
          <w:szCs w:val="22"/>
        </w:rPr>
        <w:t>focus groups</w:t>
      </w:r>
      <w:r w:rsidR="00747F52">
        <w:rPr>
          <w:noProof/>
          <w:sz w:val="22"/>
          <w:szCs w:val="22"/>
        </w:rPr>
        <w:t xml:space="preserve"> </w:t>
      </w:r>
      <w:r w:rsidR="0036107C">
        <w:rPr>
          <w:noProof/>
          <w:sz w:val="22"/>
          <w:szCs w:val="22"/>
        </w:rPr>
        <w:t xml:space="preserve">should imitate </w:t>
      </w:r>
      <w:r w:rsidR="00060083" w:rsidRPr="00687CDC">
        <w:rPr>
          <w:noProof/>
          <w:sz w:val="22"/>
          <w:szCs w:val="22"/>
        </w:rPr>
        <w:t xml:space="preserve">familiar </w:t>
      </w:r>
      <w:r w:rsidR="00BB1F8C">
        <w:rPr>
          <w:noProof/>
          <w:sz w:val="22"/>
          <w:szCs w:val="22"/>
        </w:rPr>
        <w:t>setting</w:t>
      </w:r>
      <w:r w:rsidR="0036107C">
        <w:rPr>
          <w:noProof/>
          <w:sz w:val="22"/>
          <w:szCs w:val="22"/>
        </w:rPr>
        <w:t>s</w:t>
      </w:r>
      <w:r w:rsidR="00060083" w:rsidRPr="00687CDC">
        <w:rPr>
          <w:noProof/>
          <w:sz w:val="22"/>
          <w:szCs w:val="22"/>
        </w:rPr>
        <w:t xml:space="preserve"> for students </w:t>
      </w:r>
      <w:r w:rsidR="00B033CB">
        <w:rPr>
          <w:noProof/>
          <w:sz w:val="22"/>
          <w:szCs w:val="22"/>
        </w:rPr>
        <w:t xml:space="preserve">from </w:t>
      </w:r>
      <w:r w:rsidR="002B1851" w:rsidRPr="00687CDC">
        <w:rPr>
          <w:noProof/>
          <w:sz w:val="22"/>
          <w:szCs w:val="22"/>
        </w:rPr>
        <w:t>sport an</w:t>
      </w:r>
      <w:r w:rsidR="00B055EB" w:rsidRPr="00687CDC">
        <w:rPr>
          <w:noProof/>
          <w:sz w:val="22"/>
          <w:szCs w:val="22"/>
        </w:rPr>
        <w:t>d exercise</w:t>
      </w:r>
      <w:r w:rsidR="000F2E32">
        <w:rPr>
          <w:noProof/>
          <w:sz w:val="22"/>
          <w:szCs w:val="22"/>
        </w:rPr>
        <w:t xml:space="preserve"> </w:t>
      </w:r>
      <w:r w:rsidR="00B033CB">
        <w:rPr>
          <w:noProof/>
          <w:sz w:val="22"/>
          <w:szCs w:val="22"/>
        </w:rPr>
        <w:t xml:space="preserve">backgrounds because they </w:t>
      </w:r>
      <w:r w:rsidR="009E2CB8">
        <w:rPr>
          <w:noProof/>
          <w:sz w:val="22"/>
          <w:szCs w:val="22"/>
        </w:rPr>
        <w:t>will be used to small group work</w:t>
      </w:r>
      <w:r w:rsidR="00491924">
        <w:rPr>
          <w:noProof/>
          <w:sz w:val="22"/>
          <w:szCs w:val="22"/>
        </w:rPr>
        <w:t xml:space="preserve"> and team-work principles</w:t>
      </w:r>
      <w:r w:rsidR="00846189" w:rsidRPr="00687CDC">
        <w:rPr>
          <w:noProof/>
          <w:sz w:val="22"/>
          <w:szCs w:val="22"/>
        </w:rPr>
        <w:t xml:space="preserve">, </w:t>
      </w:r>
      <w:r w:rsidR="005440D0">
        <w:rPr>
          <w:noProof/>
          <w:sz w:val="22"/>
          <w:szCs w:val="22"/>
        </w:rPr>
        <w:t xml:space="preserve">therefore, this will </w:t>
      </w:r>
      <w:r w:rsidR="00491924">
        <w:rPr>
          <w:noProof/>
          <w:sz w:val="22"/>
          <w:szCs w:val="22"/>
        </w:rPr>
        <w:t xml:space="preserve">hopefully </w:t>
      </w:r>
      <w:r w:rsidR="005440D0">
        <w:rPr>
          <w:noProof/>
          <w:sz w:val="22"/>
          <w:szCs w:val="22"/>
        </w:rPr>
        <w:t xml:space="preserve">allow </w:t>
      </w:r>
      <w:r w:rsidR="00846189" w:rsidRPr="00687CDC">
        <w:rPr>
          <w:noProof/>
          <w:sz w:val="22"/>
          <w:szCs w:val="22"/>
        </w:rPr>
        <w:t>students to be comfortable</w:t>
      </w:r>
      <w:r w:rsidR="00671F3F">
        <w:rPr>
          <w:noProof/>
          <w:sz w:val="22"/>
          <w:szCs w:val="22"/>
        </w:rPr>
        <w:t xml:space="preserve"> and</w:t>
      </w:r>
      <w:r w:rsidR="00747F52">
        <w:rPr>
          <w:noProof/>
          <w:sz w:val="22"/>
          <w:szCs w:val="22"/>
        </w:rPr>
        <w:t xml:space="preserve"> </w:t>
      </w:r>
      <w:r w:rsidR="005440D0">
        <w:rPr>
          <w:noProof/>
          <w:sz w:val="22"/>
          <w:szCs w:val="22"/>
        </w:rPr>
        <w:t xml:space="preserve">permit </w:t>
      </w:r>
      <w:r w:rsidR="00F83222" w:rsidRPr="00687CDC">
        <w:rPr>
          <w:noProof/>
          <w:sz w:val="22"/>
          <w:szCs w:val="22"/>
        </w:rPr>
        <w:t xml:space="preserve">multiple opinions and perspectives to be discussed in a fun and </w:t>
      </w:r>
      <w:r w:rsidR="0044258C" w:rsidRPr="00687CDC">
        <w:rPr>
          <w:noProof/>
          <w:sz w:val="22"/>
          <w:szCs w:val="22"/>
        </w:rPr>
        <w:t>relaxed manner (Krueger, 2014).</w:t>
      </w:r>
    </w:p>
    <w:p w:rsidR="000D04FE" w:rsidRPr="00687CDC" w:rsidRDefault="007709B8" w:rsidP="00F452EC">
      <w:pPr>
        <w:pStyle w:val="Default"/>
        <w:spacing w:before="240" w:line="360" w:lineRule="auto"/>
        <w:rPr>
          <w:noProof/>
          <w:sz w:val="22"/>
          <w:szCs w:val="22"/>
        </w:rPr>
      </w:pPr>
      <w:r w:rsidRPr="00764DC0">
        <w:rPr>
          <w:noProof/>
          <w:sz w:val="22"/>
          <w:szCs w:val="22"/>
        </w:rPr>
        <w:t>The key discussion themes</w:t>
      </w:r>
      <w:r w:rsidR="000132A3" w:rsidRPr="00764DC0">
        <w:rPr>
          <w:noProof/>
          <w:sz w:val="22"/>
          <w:szCs w:val="22"/>
        </w:rPr>
        <w:t xml:space="preserve"> were arranged in a topical format to explore a range of</w:t>
      </w:r>
      <w:r w:rsidR="000132A3" w:rsidRPr="00687CDC">
        <w:rPr>
          <w:noProof/>
          <w:sz w:val="22"/>
          <w:szCs w:val="22"/>
        </w:rPr>
        <w:t xml:space="preserve"> </w:t>
      </w:r>
      <w:r w:rsidR="005B047E" w:rsidRPr="00687CDC">
        <w:rPr>
          <w:noProof/>
          <w:sz w:val="22"/>
          <w:szCs w:val="22"/>
        </w:rPr>
        <w:t>perspectives</w:t>
      </w:r>
      <w:r w:rsidR="00D50F5A" w:rsidRPr="00687CDC">
        <w:rPr>
          <w:noProof/>
          <w:sz w:val="22"/>
          <w:szCs w:val="22"/>
        </w:rPr>
        <w:t>, whilst extra</w:t>
      </w:r>
      <w:r w:rsidR="00BF2182" w:rsidRPr="00687CDC">
        <w:rPr>
          <w:noProof/>
          <w:sz w:val="22"/>
          <w:szCs w:val="22"/>
        </w:rPr>
        <w:t>cting appropriate data to meet the outcomes of the research. The number of discussion themes</w:t>
      </w:r>
      <w:r w:rsidR="00BE1B93" w:rsidRPr="00687CDC">
        <w:rPr>
          <w:noProof/>
          <w:sz w:val="22"/>
          <w:szCs w:val="22"/>
        </w:rPr>
        <w:t xml:space="preserve"> were limited </w:t>
      </w:r>
      <w:r w:rsidR="00CD73B8" w:rsidRPr="00687CDC">
        <w:rPr>
          <w:noProof/>
          <w:sz w:val="22"/>
          <w:szCs w:val="22"/>
        </w:rPr>
        <w:t>(</w:t>
      </w:r>
      <w:r w:rsidR="00D66043" w:rsidRPr="00687CDC">
        <w:rPr>
          <w:noProof/>
          <w:sz w:val="22"/>
          <w:szCs w:val="22"/>
        </w:rPr>
        <w:t xml:space="preserve">n=8) to encourage participants to share more in-depth and personal </w:t>
      </w:r>
      <w:r w:rsidR="00CA06C0" w:rsidRPr="00687CDC">
        <w:rPr>
          <w:noProof/>
          <w:sz w:val="22"/>
          <w:szCs w:val="22"/>
        </w:rPr>
        <w:t>thoughts and feelings on the subject (Krueger, 2014).</w:t>
      </w:r>
      <w:r w:rsidR="00EE0DA2">
        <w:rPr>
          <w:noProof/>
          <w:sz w:val="22"/>
          <w:szCs w:val="22"/>
        </w:rPr>
        <w:t xml:space="preserve"> </w:t>
      </w:r>
      <w:r w:rsidR="007D314A" w:rsidRPr="00687CDC">
        <w:rPr>
          <w:noProof/>
          <w:sz w:val="22"/>
          <w:szCs w:val="22"/>
        </w:rPr>
        <w:t>T</w:t>
      </w:r>
      <w:r w:rsidR="000D04FE" w:rsidRPr="00687CDC">
        <w:rPr>
          <w:noProof/>
          <w:sz w:val="22"/>
          <w:szCs w:val="22"/>
        </w:rPr>
        <w:t xml:space="preserve">he themes were selected by the researcher as key </w:t>
      </w:r>
      <w:r w:rsidR="007D314A" w:rsidRPr="00687CDC">
        <w:rPr>
          <w:noProof/>
          <w:sz w:val="22"/>
          <w:szCs w:val="22"/>
        </w:rPr>
        <w:t xml:space="preserve">aspects </w:t>
      </w:r>
      <w:r w:rsidR="000D04FE" w:rsidRPr="00687CDC">
        <w:rPr>
          <w:noProof/>
          <w:sz w:val="22"/>
          <w:szCs w:val="22"/>
        </w:rPr>
        <w:t>to discuss</w:t>
      </w:r>
      <w:r w:rsidR="00AF6068" w:rsidRPr="00687CDC">
        <w:rPr>
          <w:noProof/>
          <w:sz w:val="22"/>
          <w:szCs w:val="22"/>
        </w:rPr>
        <w:t>. D</w:t>
      </w:r>
      <w:r w:rsidR="007D314A" w:rsidRPr="00687CDC">
        <w:rPr>
          <w:noProof/>
          <w:sz w:val="22"/>
          <w:szCs w:val="22"/>
        </w:rPr>
        <w:t xml:space="preserve">ue to the small amount of research focusing upon </w:t>
      </w:r>
      <w:r w:rsidR="00C0719B" w:rsidRPr="00687CDC">
        <w:rPr>
          <w:noProof/>
          <w:sz w:val="22"/>
          <w:szCs w:val="22"/>
        </w:rPr>
        <w:t xml:space="preserve">perceptions of forthcoming </w:t>
      </w:r>
      <w:r w:rsidR="00AF6068" w:rsidRPr="00687CDC">
        <w:rPr>
          <w:noProof/>
          <w:sz w:val="22"/>
          <w:szCs w:val="22"/>
        </w:rPr>
        <w:t xml:space="preserve">educational </w:t>
      </w:r>
      <w:r w:rsidR="00C0719B" w:rsidRPr="00687CDC">
        <w:rPr>
          <w:noProof/>
          <w:sz w:val="22"/>
          <w:szCs w:val="22"/>
        </w:rPr>
        <w:t>transition</w:t>
      </w:r>
      <w:r w:rsidR="00AF6068" w:rsidRPr="00687CDC">
        <w:rPr>
          <w:noProof/>
          <w:sz w:val="22"/>
          <w:szCs w:val="22"/>
        </w:rPr>
        <w:t>s,</w:t>
      </w:r>
      <w:r w:rsidR="000F2E32">
        <w:rPr>
          <w:noProof/>
          <w:sz w:val="22"/>
          <w:szCs w:val="22"/>
        </w:rPr>
        <w:t xml:space="preserve"> </w:t>
      </w:r>
      <w:r w:rsidR="000D04FE" w:rsidRPr="00687CDC">
        <w:rPr>
          <w:noProof/>
          <w:sz w:val="22"/>
          <w:szCs w:val="22"/>
        </w:rPr>
        <w:t xml:space="preserve">the </w:t>
      </w:r>
      <w:r w:rsidR="00AF6068" w:rsidRPr="00687CDC">
        <w:rPr>
          <w:noProof/>
          <w:sz w:val="22"/>
          <w:szCs w:val="22"/>
        </w:rPr>
        <w:t xml:space="preserve">themes </w:t>
      </w:r>
      <w:r w:rsidR="000D04FE" w:rsidRPr="00687CDC">
        <w:rPr>
          <w:noProof/>
          <w:sz w:val="22"/>
          <w:szCs w:val="22"/>
        </w:rPr>
        <w:t xml:space="preserve">were loosely informed by </w:t>
      </w:r>
      <w:r w:rsidR="00AF6068" w:rsidRPr="00687CDC">
        <w:rPr>
          <w:noProof/>
          <w:sz w:val="22"/>
          <w:szCs w:val="22"/>
        </w:rPr>
        <w:t>Pike and Harrison’s</w:t>
      </w:r>
      <w:r w:rsidR="005E6622" w:rsidRPr="00687CDC">
        <w:rPr>
          <w:noProof/>
          <w:sz w:val="22"/>
          <w:szCs w:val="22"/>
        </w:rPr>
        <w:t xml:space="preserve"> (2011) researc</w:t>
      </w:r>
      <w:r w:rsidR="00B055EB" w:rsidRPr="00687CDC">
        <w:rPr>
          <w:noProof/>
          <w:sz w:val="22"/>
          <w:szCs w:val="22"/>
        </w:rPr>
        <w:t>h</w:t>
      </w:r>
      <w:r w:rsidR="005E6622" w:rsidRPr="00687CDC">
        <w:rPr>
          <w:noProof/>
          <w:sz w:val="22"/>
          <w:szCs w:val="22"/>
        </w:rPr>
        <w:t xml:space="preserve">, </w:t>
      </w:r>
      <w:r w:rsidR="000E098E" w:rsidRPr="00687CDC">
        <w:rPr>
          <w:noProof/>
          <w:sz w:val="22"/>
          <w:szCs w:val="22"/>
        </w:rPr>
        <w:t>and more recently</w:t>
      </w:r>
      <w:r w:rsidR="00747F52">
        <w:rPr>
          <w:noProof/>
          <w:sz w:val="22"/>
          <w:szCs w:val="22"/>
        </w:rPr>
        <w:t xml:space="preserve"> </w:t>
      </w:r>
      <w:r w:rsidR="000F2E32" w:rsidRPr="000F2E32">
        <w:rPr>
          <w:noProof/>
          <w:sz w:val="22"/>
          <w:szCs w:val="22"/>
        </w:rPr>
        <w:t xml:space="preserve">Gill’s </w:t>
      </w:r>
      <w:r w:rsidR="000D04FE" w:rsidRPr="000F2E32">
        <w:rPr>
          <w:noProof/>
          <w:sz w:val="22"/>
          <w:szCs w:val="22"/>
        </w:rPr>
        <w:t>(2017</w:t>
      </w:r>
      <w:r w:rsidR="005E6622" w:rsidRPr="000F2E32">
        <w:rPr>
          <w:noProof/>
          <w:sz w:val="22"/>
          <w:szCs w:val="22"/>
        </w:rPr>
        <w:t>; 2018</w:t>
      </w:r>
      <w:r w:rsidR="000D04FE" w:rsidRPr="000F2E32">
        <w:rPr>
          <w:noProof/>
          <w:sz w:val="22"/>
          <w:szCs w:val="22"/>
        </w:rPr>
        <w:t>)</w:t>
      </w:r>
      <w:r w:rsidR="000D04FE" w:rsidRPr="00687CDC">
        <w:rPr>
          <w:noProof/>
          <w:sz w:val="22"/>
          <w:szCs w:val="22"/>
        </w:rPr>
        <w:t xml:space="preserve"> research into student transition.</w:t>
      </w:r>
    </w:p>
    <w:p w:rsidR="006A4FF0" w:rsidRDefault="00D304B8" w:rsidP="00F452EC">
      <w:pPr>
        <w:pStyle w:val="Default"/>
        <w:spacing w:before="240" w:line="360" w:lineRule="auto"/>
        <w:rPr>
          <w:color w:val="auto"/>
          <w:sz w:val="22"/>
          <w:szCs w:val="22"/>
        </w:rPr>
      </w:pPr>
      <w:r w:rsidRPr="00687CDC">
        <w:rPr>
          <w:color w:val="auto"/>
          <w:sz w:val="22"/>
          <w:szCs w:val="22"/>
        </w:rPr>
        <w:t xml:space="preserve">The </w:t>
      </w:r>
      <w:r w:rsidR="00197654" w:rsidRPr="00687CDC">
        <w:rPr>
          <w:color w:val="auto"/>
          <w:sz w:val="22"/>
          <w:szCs w:val="22"/>
        </w:rPr>
        <w:t>participants</w:t>
      </w:r>
      <w:r w:rsidRPr="00687CDC">
        <w:rPr>
          <w:color w:val="auto"/>
          <w:sz w:val="22"/>
          <w:szCs w:val="22"/>
        </w:rPr>
        <w:t xml:space="preserve"> were </w:t>
      </w:r>
      <w:r w:rsidR="00C972E7" w:rsidRPr="00687CDC">
        <w:rPr>
          <w:color w:val="auto"/>
          <w:sz w:val="22"/>
          <w:szCs w:val="22"/>
        </w:rPr>
        <w:t xml:space="preserve">recruited from a cohort of </w:t>
      </w:r>
      <w:r w:rsidR="00197654" w:rsidRPr="00687CDC">
        <w:rPr>
          <w:color w:val="auto"/>
          <w:sz w:val="22"/>
          <w:szCs w:val="22"/>
        </w:rPr>
        <w:t xml:space="preserve">BTEC Level 3 </w:t>
      </w:r>
      <w:r w:rsidRPr="00687CDC">
        <w:rPr>
          <w:color w:val="auto"/>
          <w:sz w:val="22"/>
          <w:szCs w:val="22"/>
        </w:rPr>
        <w:t>students</w:t>
      </w:r>
      <w:r w:rsidR="00ED2ED4" w:rsidRPr="00687CDC">
        <w:rPr>
          <w:color w:val="auto"/>
          <w:sz w:val="22"/>
          <w:szCs w:val="22"/>
        </w:rPr>
        <w:t>,</w:t>
      </w:r>
      <w:r w:rsidR="00A8181C">
        <w:rPr>
          <w:color w:val="auto"/>
          <w:sz w:val="22"/>
          <w:szCs w:val="22"/>
        </w:rPr>
        <w:t xml:space="preserve"> </w:t>
      </w:r>
      <w:r w:rsidR="00A30352" w:rsidRPr="00687CDC">
        <w:rPr>
          <w:color w:val="auto"/>
          <w:sz w:val="22"/>
          <w:szCs w:val="22"/>
        </w:rPr>
        <w:t xml:space="preserve">enrolled on </w:t>
      </w:r>
      <w:r w:rsidR="00CF3371" w:rsidRPr="00687CDC">
        <w:rPr>
          <w:color w:val="auto"/>
          <w:sz w:val="22"/>
          <w:szCs w:val="22"/>
        </w:rPr>
        <w:t>a sport and exercise</w:t>
      </w:r>
      <w:r w:rsidR="00A8181C">
        <w:rPr>
          <w:color w:val="auto"/>
          <w:sz w:val="22"/>
          <w:szCs w:val="22"/>
        </w:rPr>
        <w:t xml:space="preserve"> </w:t>
      </w:r>
      <w:r w:rsidR="00A30352" w:rsidRPr="00687CDC">
        <w:rPr>
          <w:color w:val="auto"/>
          <w:sz w:val="22"/>
          <w:szCs w:val="22"/>
        </w:rPr>
        <w:t>vocational course at a FEC</w:t>
      </w:r>
      <w:r w:rsidRPr="00687CDC">
        <w:rPr>
          <w:color w:val="auto"/>
          <w:sz w:val="22"/>
          <w:szCs w:val="22"/>
        </w:rPr>
        <w:t xml:space="preserve">. The participants were asked to volunteer and the criteria for selection of volunteers was that they </w:t>
      </w:r>
      <w:r w:rsidR="002D1D2E" w:rsidRPr="00687CDC">
        <w:rPr>
          <w:color w:val="auto"/>
          <w:sz w:val="22"/>
          <w:szCs w:val="22"/>
        </w:rPr>
        <w:t xml:space="preserve">were </w:t>
      </w:r>
      <w:r w:rsidR="00B535B4" w:rsidRPr="00687CDC">
        <w:rPr>
          <w:color w:val="auto"/>
          <w:sz w:val="22"/>
          <w:szCs w:val="22"/>
        </w:rPr>
        <w:t>over 18 years of age</w:t>
      </w:r>
      <w:r w:rsidR="004F4E25">
        <w:rPr>
          <w:color w:val="auto"/>
          <w:sz w:val="22"/>
          <w:szCs w:val="22"/>
        </w:rPr>
        <w:t xml:space="preserve"> to safeguard both participants and researcher</w:t>
      </w:r>
      <w:r w:rsidR="00B535B4" w:rsidRPr="00687CDC">
        <w:rPr>
          <w:color w:val="auto"/>
          <w:sz w:val="22"/>
          <w:szCs w:val="22"/>
        </w:rPr>
        <w:t xml:space="preserve">, </w:t>
      </w:r>
      <w:r w:rsidR="002D1D2E" w:rsidRPr="00687CDC">
        <w:rPr>
          <w:color w:val="auto"/>
          <w:sz w:val="22"/>
          <w:szCs w:val="22"/>
        </w:rPr>
        <w:t xml:space="preserve">enrolled on a </w:t>
      </w:r>
      <w:r w:rsidR="00C37BB3" w:rsidRPr="00687CDC">
        <w:rPr>
          <w:color w:val="auto"/>
          <w:sz w:val="22"/>
          <w:szCs w:val="22"/>
        </w:rPr>
        <w:t xml:space="preserve">BTEC </w:t>
      </w:r>
      <w:r w:rsidR="002D1D2E" w:rsidRPr="00687CDC">
        <w:rPr>
          <w:color w:val="auto"/>
          <w:sz w:val="22"/>
          <w:szCs w:val="22"/>
        </w:rPr>
        <w:t>Level 3 sport and exercise course at a FEC</w:t>
      </w:r>
      <w:r w:rsidR="00EE0DA2">
        <w:rPr>
          <w:color w:val="auto"/>
          <w:sz w:val="22"/>
          <w:szCs w:val="22"/>
        </w:rPr>
        <w:t>,</w:t>
      </w:r>
      <w:r w:rsidR="00A8181C">
        <w:rPr>
          <w:color w:val="auto"/>
          <w:sz w:val="22"/>
          <w:szCs w:val="22"/>
        </w:rPr>
        <w:t xml:space="preserve"> </w:t>
      </w:r>
      <w:r w:rsidR="00C37BB3" w:rsidRPr="00687CDC">
        <w:rPr>
          <w:color w:val="auto"/>
          <w:sz w:val="22"/>
          <w:szCs w:val="22"/>
        </w:rPr>
        <w:t xml:space="preserve">and had </w:t>
      </w:r>
      <w:r w:rsidR="002D1D2E" w:rsidRPr="00687CDC">
        <w:rPr>
          <w:color w:val="auto"/>
          <w:sz w:val="22"/>
          <w:szCs w:val="22"/>
        </w:rPr>
        <w:t>applied to study a FD in the next academic year</w:t>
      </w:r>
      <w:r w:rsidR="00C5075D" w:rsidRPr="00687CDC">
        <w:rPr>
          <w:color w:val="auto"/>
          <w:sz w:val="22"/>
          <w:szCs w:val="22"/>
        </w:rPr>
        <w:t>.</w:t>
      </w:r>
      <w:r w:rsidR="004F4E25">
        <w:rPr>
          <w:color w:val="auto"/>
          <w:sz w:val="22"/>
          <w:szCs w:val="22"/>
        </w:rPr>
        <w:t xml:space="preserve"> </w:t>
      </w:r>
      <w:r w:rsidR="00BD4C35" w:rsidRPr="00687CDC">
        <w:rPr>
          <w:color w:val="auto"/>
          <w:sz w:val="22"/>
          <w:szCs w:val="22"/>
        </w:rPr>
        <w:t>Twenty-</w:t>
      </w:r>
      <w:r w:rsidR="00C42E54" w:rsidRPr="00687CDC">
        <w:rPr>
          <w:color w:val="auto"/>
          <w:sz w:val="22"/>
          <w:szCs w:val="22"/>
        </w:rPr>
        <w:t>three</w:t>
      </w:r>
      <w:r w:rsidR="00A8181C">
        <w:rPr>
          <w:color w:val="auto"/>
          <w:sz w:val="22"/>
          <w:szCs w:val="22"/>
        </w:rPr>
        <w:t xml:space="preserve"> </w:t>
      </w:r>
      <w:r w:rsidR="0057529B" w:rsidRPr="00687CDC">
        <w:rPr>
          <w:color w:val="auto"/>
          <w:sz w:val="22"/>
          <w:szCs w:val="22"/>
        </w:rPr>
        <w:t>students</w:t>
      </w:r>
      <w:r w:rsidR="00AF1CAD" w:rsidRPr="00687CDC">
        <w:rPr>
          <w:color w:val="auto"/>
          <w:sz w:val="22"/>
          <w:szCs w:val="22"/>
        </w:rPr>
        <w:t xml:space="preserve"> met the </w:t>
      </w:r>
      <w:r w:rsidR="0057529B" w:rsidRPr="00687CDC">
        <w:rPr>
          <w:color w:val="auto"/>
          <w:sz w:val="22"/>
          <w:szCs w:val="22"/>
        </w:rPr>
        <w:t xml:space="preserve">selection criteria </w:t>
      </w:r>
      <w:r w:rsidR="00AF1CAD" w:rsidRPr="00687CDC">
        <w:rPr>
          <w:color w:val="auto"/>
          <w:sz w:val="22"/>
          <w:szCs w:val="22"/>
        </w:rPr>
        <w:t>requirements</w:t>
      </w:r>
      <w:r w:rsidR="00F96B17" w:rsidRPr="00687CDC">
        <w:rPr>
          <w:color w:val="auto"/>
          <w:sz w:val="22"/>
          <w:szCs w:val="22"/>
        </w:rPr>
        <w:t xml:space="preserve"> and </w:t>
      </w:r>
      <w:r w:rsidR="00BF5230" w:rsidRPr="00687CDC">
        <w:rPr>
          <w:color w:val="auto"/>
          <w:sz w:val="22"/>
          <w:szCs w:val="22"/>
        </w:rPr>
        <w:t>ultimately 21 students volunteered</w:t>
      </w:r>
      <w:r w:rsidR="00C25BDF" w:rsidRPr="00687CDC">
        <w:rPr>
          <w:color w:val="auto"/>
          <w:sz w:val="22"/>
          <w:szCs w:val="22"/>
        </w:rPr>
        <w:t xml:space="preserve"> to participate in </w:t>
      </w:r>
      <w:r w:rsidR="009E48B5" w:rsidRPr="00687CDC">
        <w:rPr>
          <w:color w:val="auto"/>
          <w:sz w:val="22"/>
          <w:szCs w:val="22"/>
        </w:rPr>
        <w:t xml:space="preserve">one of three focus groups that were conducted over the duration of </w:t>
      </w:r>
      <w:r w:rsidR="00EE0DA2">
        <w:rPr>
          <w:color w:val="auto"/>
          <w:sz w:val="22"/>
          <w:szCs w:val="22"/>
        </w:rPr>
        <w:t xml:space="preserve">a </w:t>
      </w:r>
      <w:r w:rsidR="0052626B" w:rsidRPr="00687CDC">
        <w:rPr>
          <w:color w:val="auto"/>
          <w:sz w:val="22"/>
          <w:szCs w:val="22"/>
        </w:rPr>
        <w:t>day (</w:t>
      </w:r>
      <w:r w:rsidR="008017F5" w:rsidRPr="00687CDC">
        <w:rPr>
          <w:color w:val="auto"/>
          <w:sz w:val="22"/>
          <w:szCs w:val="22"/>
        </w:rPr>
        <w:t>m</w:t>
      </w:r>
      <w:r w:rsidR="0052626B" w:rsidRPr="00687CDC">
        <w:rPr>
          <w:color w:val="auto"/>
          <w:sz w:val="22"/>
          <w:szCs w:val="22"/>
        </w:rPr>
        <w:t>ale-</w:t>
      </w:r>
      <w:r w:rsidR="008017F5" w:rsidRPr="00687CDC">
        <w:rPr>
          <w:color w:val="auto"/>
          <w:sz w:val="22"/>
          <w:szCs w:val="22"/>
        </w:rPr>
        <w:t>f</w:t>
      </w:r>
      <w:r w:rsidR="0052626B" w:rsidRPr="00687CDC">
        <w:rPr>
          <w:color w:val="auto"/>
          <w:sz w:val="22"/>
          <w:szCs w:val="22"/>
        </w:rPr>
        <w:t xml:space="preserve">emale </w:t>
      </w:r>
      <w:r w:rsidR="008017F5" w:rsidRPr="00687CDC">
        <w:rPr>
          <w:color w:val="auto"/>
          <w:sz w:val="22"/>
          <w:szCs w:val="22"/>
        </w:rPr>
        <w:t>r</w:t>
      </w:r>
      <w:r w:rsidR="0052626B" w:rsidRPr="00687CDC">
        <w:rPr>
          <w:color w:val="auto"/>
          <w:sz w:val="22"/>
          <w:szCs w:val="22"/>
        </w:rPr>
        <w:t>atio=</w:t>
      </w:r>
      <w:r w:rsidR="008017F5" w:rsidRPr="00687CDC">
        <w:rPr>
          <w:color w:val="auto"/>
          <w:sz w:val="22"/>
          <w:szCs w:val="22"/>
        </w:rPr>
        <w:t xml:space="preserve"> 10:11, </w:t>
      </w:r>
      <w:r w:rsidR="00767813" w:rsidRPr="00687CDC">
        <w:rPr>
          <w:color w:val="auto"/>
          <w:sz w:val="22"/>
          <w:szCs w:val="22"/>
        </w:rPr>
        <w:t>mean</w:t>
      </w:r>
      <w:r w:rsidR="008017F5" w:rsidRPr="00687CDC">
        <w:rPr>
          <w:color w:val="auto"/>
          <w:sz w:val="22"/>
          <w:szCs w:val="22"/>
        </w:rPr>
        <w:t xml:space="preserve"> age= </w:t>
      </w:r>
      <w:r w:rsidR="00BF54EA" w:rsidRPr="00687CDC">
        <w:rPr>
          <w:color w:val="auto"/>
          <w:sz w:val="22"/>
          <w:szCs w:val="22"/>
        </w:rPr>
        <w:t>18.48, SD</w:t>
      </w:r>
      <w:r w:rsidR="00767813" w:rsidRPr="00687CDC">
        <w:rPr>
          <w:color w:val="auto"/>
          <w:sz w:val="22"/>
          <w:szCs w:val="22"/>
        </w:rPr>
        <w:t>= 0.</w:t>
      </w:r>
      <w:r w:rsidR="0093098A" w:rsidRPr="00687CDC">
        <w:rPr>
          <w:color w:val="auto"/>
          <w:sz w:val="22"/>
          <w:szCs w:val="22"/>
        </w:rPr>
        <w:t>43</w:t>
      </w:r>
      <w:r w:rsidR="0052626B" w:rsidRPr="00687CDC">
        <w:rPr>
          <w:color w:val="auto"/>
          <w:sz w:val="22"/>
          <w:szCs w:val="22"/>
        </w:rPr>
        <w:t>).</w:t>
      </w:r>
      <w:r w:rsidR="00632BA2" w:rsidRPr="00687CDC">
        <w:rPr>
          <w:color w:val="auto"/>
          <w:sz w:val="22"/>
          <w:szCs w:val="22"/>
        </w:rPr>
        <w:t xml:space="preserve"> Krueger (2014)</w:t>
      </w:r>
      <w:r w:rsidR="00630557" w:rsidRPr="00687CDC">
        <w:rPr>
          <w:color w:val="auto"/>
          <w:sz w:val="22"/>
          <w:szCs w:val="22"/>
        </w:rPr>
        <w:t xml:space="preserve"> suggests that 6-8 participants is optimal in focus groups to ensure that there is depth, detail and richness to the data collected.</w:t>
      </w:r>
      <w:r w:rsidR="00614434" w:rsidRPr="00687CDC">
        <w:rPr>
          <w:color w:val="auto"/>
          <w:sz w:val="22"/>
          <w:szCs w:val="22"/>
        </w:rPr>
        <w:t xml:space="preserve"> The c</w:t>
      </w:r>
      <w:r w:rsidR="00586244" w:rsidRPr="00687CDC">
        <w:rPr>
          <w:color w:val="auto"/>
          <w:sz w:val="22"/>
          <w:szCs w:val="22"/>
        </w:rPr>
        <w:t>ollective</w:t>
      </w:r>
      <w:r w:rsidR="00614434" w:rsidRPr="00687CDC">
        <w:rPr>
          <w:color w:val="auto"/>
          <w:sz w:val="22"/>
          <w:szCs w:val="22"/>
        </w:rPr>
        <w:t xml:space="preserve"> duration of the focus groups </w:t>
      </w:r>
      <w:r w:rsidR="00586244" w:rsidRPr="00687CDC">
        <w:rPr>
          <w:color w:val="auto"/>
          <w:sz w:val="22"/>
          <w:szCs w:val="22"/>
        </w:rPr>
        <w:t>was</w:t>
      </w:r>
      <w:r w:rsidR="00614434" w:rsidRPr="00687CDC">
        <w:rPr>
          <w:color w:val="auto"/>
          <w:sz w:val="22"/>
          <w:szCs w:val="22"/>
        </w:rPr>
        <w:t xml:space="preserve"> 2 hour 13 minutes</w:t>
      </w:r>
      <w:r w:rsidR="0018196A" w:rsidRPr="00687CDC">
        <w:rPr>
          <w:color w:val="auto"/>
          <w:sz w:val="22"/>
          <w:szCs w:val="22"/>
        </w:rPr>
        <w:t xml:space="preserve">, averaging </w:t>
      </w:r>
      <w:r w:rsidR="00586244" w:rsidRPr="00687CDC">
        <w:rPr>
          <w:color w:val="auto"/>
          <w:sz w:val="22"/>
          <w:szCs w:val="22"/>
        </w:rPr>
        <w:t>44 minutes each.</w:t>
      </w:r>
      <w:r w:rsidR="000C26A2" w:rsidRPr="00687CDC">
        <w:rPr>
          <w:color w:val="auto"/>
          <w:sz w:val="22"/>
          <w:szCs w:val="22"/>
        </w:rPr>
        <w:t xml:space="preserve"> The focus groups were </w:t>
      </w:r>
      <w:r w:rsidR="00C036F8" w:rsidRPr="00687CDC">
        <w:rPr>
          <w:color w:val="auto"/>
          <w:sz w:val="22"/>
          <w:szCs w:val="22"/>
        </w:rPr>
        <w:t>video-recorded</w:t>
      </w:r>
      <w:r w:rsidR="00A8181C">
        <w:rPr>
          <w:color w:val="auto"/>
          <w:sz w:val="22"/>
          <w:szCs w:val="22"/>
        </w:rPr>
        <w:t xml:space="preserve"> </w:t>
      </w:r>
      <w:r w:rsidR="002034EC" w:rsidRPr="00687CDC">
        <w:rPr>
          <w:color w:val="auto"/>
          <w:sz w:val="22"/>
          <w:szCs w:val="22"/>
        </w:rPr>
        <w:t>to minimise any difficulties in recall</w:t>
      </w:r>
      <w:r w:rsidR="00AC47E3" w:rsidRPr="00687CDC">
        <w:rPr>
          <w:color w:val="auto"/>
          <w:sz w:val="22"/>
          <w:szCs w:val="22"/>
        </w:rPr>
        <w:t xml:space="preserve"> and </w:t>
      </w:r>
      <w:r w:rsidR="00EE1C0B" w:rsidRPr="00687CDC">
        <w:rPr>
          <w:color w:val="auto"/>
          <w:sz w:val="22"/>
          <w:szCs w:val="22"/>
        </w:rPr>
        <w:t>help identify</w:t>
      </w:r>
      <w:r w:rsidR="00AC47E3" w:rsidRPr="00687CDC">
        <w:rPr>
          <w:color w:val="auto"/>
          <w:sz w:val="22"/>
          <w:szCs w:val="22"/>
        </w:rPr>
        <w:t xml:space="preserve"> specific participants</w:t>
      </w:r>
      <w:r w:rsidR="002034EC" w:rsidRPr="00687CDC">
        <w:rPr>
          <w:color w:val="auto"/>
          <w:sz w:val="22"/>
          <w:szCs w:val="22"/>
        </w:rPr>
        <w:t xml:space="preserve"> when transcribing </w:t>
      </w:r>
      <w:r w:rsidR="002034EC" w:rsidRPr="008A3A65">
        <w:rPr>
          <w:color w:val="auto"/>
          <w:sz w:val="22"/>
          <w:szCs w:val="22"/>
        </w:rPr>
        <w:t xml:space="preserve">the data </w:t>
      </w:r>
      <w:r w:rsidR="00EE1C0B" w:rsidRPr="008A3A65">
        <w:rPr>
          <w:color w:val="auto"/>
          <w:sz w:val="22"/>
          <w:szCs w:val="22"/>
        </w:rPr>
        <w:t xml:space="preserve">verbatim </w:t>
      </w:r>
      <w:r w:rsidR="002034EC" w:rsidRPr="008A3A65">
        <w:rPr>
          <w:color w:val="auto"/>
          <w:sz w:val="22"/>
          <w:szCs w:val="22"/>
        </w:rPr>
        <w:t>(DiCicco</w:t>
      </w:r>
      <w:r w:rsidR="00580E45" w:rsidRPr="008A3A65">
        <w:rPr>
          <w:color w:val="auto"/>
          <w:sz w:val="22"/>
          <w:szCs w:val="22"/>
        </w:rPr>
        <w:t>-Bloom</w:t>
      </w:r>
      <w:r w:rsidR="002034EC" w:rsidRPr="008A3A65">
        <w:rPr>
          <w:color w:val="auto"/>
          <w:sz w:val="22"/>
          <w:szCs w:val="22"/>
        </w:rPr>
        <w:t xml:space="preserve"> </w:t>
      </w:r>
      <w:r w:rsidR="00C45783">
        <w:rPr>
          <w:color w:val="auto"/>
          <w:sz w:val="22"/>
          <w:szCs w:val="22"/>
        </w:rPr>
        <w:t>&amp;</w:t>
      </w:r>
      <w:r w:rsidR="002034EC" w:rsidRPr="008A3A65">
        <w:rPr>
          <w:color w:val="auto"/>
          <w:sz w:val="22"/>
          <w:szCs w:val="22"/>
        </w:rPr>
        <w:t xml:space="preserve"> Crabtree, 2006).</w:t>
      </w:r>
      <w:r w:rsidR="00E355F1" w:rsidRPr="008A3A65">
        <w:rPr>
          <w:color w:val="auto"/>
          <w:sz w:val="22"/>
          <w:szCs w:val="22"/>
        </w:rPr>
        <w:t xml:space="preserve"> According to Longhurst (2003), </w:t>
      </w:r>
      <w:r w:rsidR="005D69D3" w:rsidRPr="008A3A65">
        <w:rPr>
          <w:color w:val="auto"/>
          <w:sz w:val="22"/>
          <w:szCs w:val="22"/>
        </w:rPr>
        <w:t>video-</w:t>
      </w:r>
      <w:r w:rsidR="005D69D3" w:rsidRPr="00687CDC">
        <w:rPr>
          <w:color w:val="auto"/>
          <w:sz w:val="22"/>
          <w:szCs w:val="22"/>
        </w:rPr>
        <w:t xml:space="preserve">recordings allow the facilitator to focus </w:t>
      </w:r>
      <w:r w:rsidR="00114CD4" w:rsidRPr="00687CDC">
        <w:rPr>
          <w:color w:val="auto"/>
          <w:sz w:val="22"/>
          <w:szCs w:val="22"/>
        </w:rPr>
        <w:t xml:space="preserve">fully on the interaction </w:t>
      </w:r>
      <w:r w:rsidR="00DF31D5" w:rsidRPr="00687CDC">
        <w:rPr>
          <w:color w:val="auto"/>
          <w:sz w:val="22"/>
          <w:szCs w:val="22"/>
        </w:rPr>
        <w:t xml:space="preserve">of the participants </w:t>
      </w:r>
      <w:r w:rsidR="00114CD4" w:rsidRPr="00687CDC">
        <w:rPr>
          <w:color w:val="auto"/>
          <w:sz w:val="22"/>
          <w:szCs w:val="22"/>
        </w:rPr>
        <w:t>and not to feel pressure</w:t>
      </w:r>
      <w:r w:rsidR="00DF31D5" w:rsidRPr="00687CDC">
        <w:rPr>
          <w:color w:val="auto"/>
          <w:sz w:val="22"/>
          <w:szCs w:val="22"/>
        </w:rPr>
        <w:t>d by</w:t>
      </w:r>
      <w:r w:rsidR="00114CD4" w:rsidRPr="00687CDC">
        <w:rPr>
          <w:color w:val="auto"/>
          <w:sz w:val="22"/>
          <w:szCs w:val="22"/>
        </w:rPr>
        <w:t xml:space="preserve"> making notes</w:t>
      </w:r>
      <w:r w:rsidR="00C76E19" w:rsidRPr="00687CDC">
        <w:rPr>
          <w:color w:val="auto"/>
          <w:sz w:val="22"/>
          <w:szCs w:val="22"/>
        </w:rPr>
        <w:t xml:space="preserve"> during the focus groups</w:t>
      </w:r>
      <w:r w:rsidR="00DF31D5" w:rsidRPr="00687CDC">
        <w:rPr>
          <w:color w:val="auto"/>
          <w:sz w:val="22"/>
          <w:szCs w:val="22"/>
        </w:rPr>
        <w:t>.</w:t>
      </w:r>
    </w:p>
    <w:p w:rsidR="00584B42" w:rsidRPr="00687CDC" w:rsidRDefault="00C76E19" w:rsidP="00F452EC">
      <w:pPr>
        <w:pStyle w:val="Default"/>
        <w:spacing w:before="240" w:line="360" w:lineRule="auto"/>
        <w:rPr>
          <w:color w:val="auto"/>
          <w:sz w:val="22"/>
          <w:szCs w:val="22"/>
        </w:rPr>
      </w:pPr>
      <w:r w:rsidRPr="00687CDC">
        <w:rPr>
          <w:color w:val="auto"/>
          <w:sz w:val="22"/>
          <w:szCs w:val="22"/>
        </w:rPr>
        <w:t xml:space="preserve">The </w:t>
      </w:r>
      <w:r w:rsidR="0041672A" w:rsidRPr="00687CDC">
        <w:rPr>
          <w:color w:val="auto"/>
          <w:sz w:val="22"/>
          <w:szCs w:val="22"/>
        </w:rPr>
        <w:t xml:space="preserve">transcribed </w:t>
      </w:r>
      <w:r w:rsidRPr="00687CDC">
        <w:rPr>
          <w:color w:val="auto"/>
          <w:sz w:val="22"/>
          <w:szCs w:val="22"/>
        </w:rPr>
        <w:t xml:space="preserve">data was analysed </w:t>
      </w:r>
      <w:r w:rsidR="0041672A" w:rsidRPr="00687CDC">
        <w:rPr>
          <w:color w:val="auto"/>
          <w:sz w:val="22"/>
          <w:szCs w:val="22"/>
        </w:rPr>
        <w:t xml:space="preserve">using thematic analysis </w:t>
      </w:r>
      <w:r w:rsidR="00FB4847" w:rsidRPr="00687CDC">
        <w:rPr>
          <w:color w:val="auto"/>
          <w:sz w:val="22"/>
          <w:szCs w:val="22"/>
        </w:rPr>
        <w:t xml:space="preserve">to identify key themes and </w:t>
      </w:r>
      <w:r w:rsidR="00201863" w:rsidRPr="00687CDC">
        <w:rPr>
          <w:color w:val="auto"/>
          <w:sz w:val="22"/>
          <w:szCs w:val="22"/>
        </w:rPr>
        <w:t>categorise</w:t>
      </w:r>
      <w:r w:rsidR="00FB4847" w:rsidRPr="00687CDC">
        <w:rPr>
          <w:color w:val="auto"/>
          <w:sz w:val="22"/>
          <w:szCs w:val="22"/>
        </w:rPr>
        <w:t xml:space="preserve"> the</w:t>
      </w:r>
      <w:r w:rsidR="00201863" w:rsidRPr="00687CDC">
        <w:rPr>
          <w:color w:val="auto"/>
          <w:sz w:val="22"/>
          <w:szCs w:val="22"/>
        </w:rPr>
        <w:t xml:space="preserve"> data, as suggested by Braun and Clarke (2006).</w:t>
      </w:r>
      <w:r w:rsidR="00FE1B93" w:rsidRPr="00687CDC">
        <w:rPr>
          <w:color w:val="auto"/>
          <w:sz w:val="22"/>
          <w:szCs w:val="22"/>
        </w:rPr>
        <w:t xml:space="preserve"> Similar studies in the field have </w:t>
      </w:r>
      <w:r w:rsidR="00640570" w:rsidRPr="00687CDC">
        <w:rPr>
          <w:color w:val="auto"/>
          <w:sz w:val="22"/>
          <w:szCs w:val="22"/>
        </w:rPr>
        <w:t xml:space="preserve">utilised thematic analysis due to its logical nature of grouping and categorising key data to highlight trends and relationships (Bogdan </w:t>
      </w:r>
      <w:r w:rsidR="00C45783">
        <w:rPr>
          <w:color w:val="auto"/>
          <w:sz w:val="22"/>
          <w:szCs w:val="22"/>
        </w:rPr>
        <w:t>&amp;</w:t>
      </w:r>
      <w:r w:rsidR="00640570" w:rsidRPr="00687CDC">
        <w:rPr>
          <w:color w:val="auto"/>
          <w:sz w:val="22"/>
          <w:szCs w:val="22"/>
        </w:rPr>
        <w:t xml:space="preserve"> Elliott, 2015; </w:t>
      </w:r>
      <w:r w:rsidR="004F4E25">
        <w:rPr>
          <w:color w:val="auto"/>
          <w:sz w:val="22"/>
          <w:szCs w:val="22"/>
        </w:rPr>
        <w:t>Gill</w:t>
      </w:r>
      <w:r w:rsidR="00640570" w:rsidRPr="00687CDC">
        <w:rPr>
          <w:color w:val="auto"/>
          <w:sz w:val="22"/>
          <w:szCs w:val="22"/>
        </w:rPr>
        <w:t>, 201</w:t>
      </w:r>
      <w:r w:rsidR="00A019D7">
        <w:rPr>
          <w:color w:val="auto"/>
          <w:sz w:val="22"/>
          <w:szCs w:val="22"/>
        </w:rPr>
        <w:t>8;</w:t>
      </w:r>
      <w:r w:rsidR="004F4E25">
        <w:rPr>
          <w:color w:val="auto"/>
          <w:sz w:val="22"/>
          <w:szCs w:val="22"/>
        </w:rPr>
        <w:t xml:space="preserve"> Gill</w:t>
      </w:r>
      <w:r w:rsidR="00A019D7">
        <w:rPr>
          <w:color w:val="auto"/>
          <w:sz w:val="22"/>
          <w:szCs w:val="22"/>
        </w:rPr>
        <w:t xml:space="preserve">, </w:t>
      </w:r>
      <w:r w:rsidR="00DB23FB" w:rsidRPr="00687CDC">
        <w:rPr>
          <w:color w:val="auto"/>
          <w:sz w:val="22"/>
          <w:szCs w:val="22"/>
        </w:rPr>
        <w:t>201</w:t>
      </w:r>
      <w:r w:rsidR="0071254C">
        <w:rPr>
          <w:color w:val="auto"/>
          <w:sz w:val="22"/>
          <w:szCs w:val="22"/>
        </w:rPr>
        <w:t>7</w:t>
      </w:r>
      <w:r w:rsidR="00640570" w:rsidRPr="00687CDC">
        <w:rPr>
          <w:color w:val="auto"/>
          <w:sz w:val="22"/>
          <w:szCs w:val="22"/>
        </w:rPr>
        <w:t xml:space="preserve">; Pike </w:t>
      </w:r>
      <w:r w:rsidR="00C45783">
        <w:rPr>
          <w:color w:val="auto"/>
          <w:sz w:val="22"/>
          <w:szCs w:val="22"/>
        </w:rPr>
        <w:t>&amp;</w:t>
      </w:r>
      <w:r w:rsidR="00640570" w:rsidRPr="00687CDC">
        <w:rPr>
          <w:color w:val="auto"/>
          <w:sz w:val="22"/>
          <w:szCs w:val="22"/>
        </w:rPr>
        <w:t xml:space="preserve"> Harrison, 201</w:t>
      </w:r>
      <w:r w:rsidR="00DB23FB" w:rsidRPr="00687CDC">
        <w:rPr>
          <w:color w:val="auto"/>
          <w:sz w:val="22"/>
          <w:szCs w:val="22"/>
        </w:rPr>
        <w:t>1).</w:t>
      </w:r>
      <w:r w:rsidR="00A8181C">
        <w:rPr>
          <w:color w:val="auto"/>
          <w:sz w:val="22"/>
          <w:szCs w:val="22"/>
        </w:rPr>
        <w:t xml:space="preserve"> </w:t>
      </w:r>
      <w:r w:rsidR="00F9754F">
        <w:rPr>
          <w:color w:val="auto"/>
          <w:sz w:val="22"/>
          <w:szCs w:val="22"/>
        </w:rPr>
        <w:t xml:space="preserve">The </w:t>
      </w:r>
      <w:r w:rsidR="00D304B8" w:rsidRPr="00687CDC">
        <w:rPr>
          <w:sz w:val="22"/>
          <w:szCs w:val="22"/>
        </w:rPr>
        <w:t xml:space="preserve">Gratton and Jones (2010) framework for undertaking coding was followed with relevant </w:t>
      </w:r>
      <w:r w:rsidR="0080369C" w:rsidRPr="00687CDC">
        <w:rPr>
          <w:sz w:val="22"/>
          <w:szCs w:val="22"/>
        </w:rPr>
        <w:t xml:space="preserve">statements </w:t>
      </w:r>
      <w:r w:rsidR="00D304B8" w:rsidRPr="00687CDC">
        <w:rPr>
          <w:sz w:val="22"/>
          <w:szCs w:val="22"/>
        </w:rPr>
        <w:t>initially assigned a code, the</w:t>
      </w:r>
      <w:r w:rsidR="00EE0DA2">
        <w:rPr>
          <w:sz w:val="22"/>
          <w:szCs w:val="22"/>
        </w:rPr>
        <w:t>se</w:t>
      </w:r>
      <w:r w:rsidR="00D304B8" w:rsidRPr="00687CDC">
        <w:rPr>
          <w:sz w:val="22"/>
          <w:szCs w:val="22"/>
        </w:rPr>
        <w:t xml:space="preserve"> </w:t>
      </w:r>
      <w:r w:rsidR="0080369C" w:rsidRPr="00687CDC">
        <w:rPr>
          <w:sz w:val="22"/>
          <w:szCs w:val="22"/>
        </w:rPr>
        <w:t xml:space="preserve">codes </w:t>
      </w:r>
      <w:r w:rsidR="00D304B8" w:rsidRPr="00687CDC">
        <w:rPr>
          <w:sz w:val="22"/>
          <w:szCs w:val="22"/>
        </w:rPr>
        <w:t xml:space="preserve">were </w:t>
      </w:r>
      <w:r w:rsidR="00EE0DA2">
        <w:rPr>
          <w:sz w:val="22"/>
          <w:szCs w:val="22"/>
        </w:rPr>
        <w:t xml:space="preserve">then </w:t>
      </w:r>
      <w:r w:rsidR="00D304B8" w:rsidRPr="00687CDC">
        <w:rPr>
          <w:sz w:val="22"/>
          <w:szCs w:val="22"/>
        </w:rPr>
        <w:t>placed into first order categories, and finally key themes were formed.</w:t>
      </w:r>
    </w:p>
    <w:p w:rsidR="000818F0" w:rsidRDefault="000818F0" w:rsidP="00675CE9">
      <w:pPr>
        <w:spacing w:before="240" w:line="360" w:lineRule="auto"/>
        <w:rPr>
          <w:rFonts w:ascii="Tahoma" w:hAnsi="Tahoma" w:cs="Tahoma"/>
        </w:rPr>
      </w:pPr>
    </w:p>
    <w:p w:rsidR="00A55C0B" w:rsidRPr="000818F0" w:rsidRDefault="000818F0" w:rsidP="00E24148">
      <w:pPr>
        <w:spacing w:line="360" w:lineRule="auto"/>
        <w:rPr>
          <w:rFonts w:ascii="Tahoma" w:hAnsi="Tahoma" w:cs="Tahoma"/>
          <w:b/>
          <w:sz w:val="24"/>
          <w:szCs w:val="24"/>
        </w:rPr>
      </w:pPr>
      <w:r>
        <w:rPr>
          <w:rFonts w:ascii="Tahoma" w:hAnsi="Tahoma" w:cs="Tahoma"/>
          <w:b/>
          <w:sz w:val="24"/>
          <w:szCs w:val="24"/>
        </w:rPr>
        <w:t>Findings and Discussion</w:t>
      </w:r>
    </w:p>
    <w:p w:rsidR="00A55C0B" w:rsidRDefault="00A55C0B" w:rsidP="00E24148">
      <w:pPr>
        <w:spacing w:line="360" w:lineRule="auto"/>
        <w:rPr>
          <w:rFonts w:ascii="Tahoma" w:hAnsi="Tahoma" w:cs="Tahoma"/>
        </w:rPr>
      </w:pPr>
      <w:r w:rsidRPr="00687CDC">
        <w:rPr>
          <w:rFonts w:ascii="Tahoma" w:hAnsi="Tahoma" w:cs="Tahoma"/>
        </w:rPr>
        <w:t xml:space="preserve">The research was </w:t>
      </w:r>
      <w:r w:rsidR="00A17980">
        <w:rPr>
          <w:rFonts w:ascii="Tahoma" w:hAnsi="Tahoma" w:cs="Tahoma"/>
        </w:rPr>
        <w:t>undertaken</w:t>
      </w:r>
      <w:r w:rsidR="00A8181C">
        <w:rPr>
          <w:rFonts w:ascii="Tahoma" w:hAnsi="Tahoma" w:cs="Tahoma"/>
        </w:rPr>
        <w:t xml:space="preserve"> </w:t>
      </w:r>
      <w:r w:rsidR="00B843D5" w:rsidRPr="00687CDC">
        <w:rPr>
          <w:rFonts w:ascii="Tahoma" w:hAnsi="Tahoma" w:cs="Tahoma"/>
        </w:rPr>
        <w:t>to</w:t>
      </w:r>
      <w:r w:rsidR="00A8181C">
        <w:rPr>
          <w:rFonts w:ascii="Tahoma" w:hAnsi="Tahoma" w:cs="Tahoma"/>
        </w:rPr>
        <w:t xml:space="preserve"> </w:t>
      </w:r>
      <w:r w:rsidRPr="00687CDC">
        <w:rPr>
          <w:rFonts w:ascii="Tahoma" w:hAnsi="Tahoma" w:cs="Tahoma"/>
        </w:rPr>
        <w:t xml:space="preserve">investigate and obtain a better understanding of the thoughts, feelings and perceptions of </w:t>
      </w:r>
      <w:r w:rsidR="00B440C6" w:rsidRPr="00687CDC">
        <w:rPr>
          <w:rFonts w:ascii="Tahoma" w:hAnsi="Tahoma" w:cs="Tahoma"/>
        </w:rPr>
        <w:t xml:space="preserve">sport and exercise </w:t>
      </w:r>
      <w:r w:rsidRPr="00687CDC">
        <w:rPr>
          <w:rFonts w:ascii="Tahoma" w:hAnsi="Tahoma" w:cs="Tahoma"/>
        </w:rPr>
        <w:t xml:space="preserve">students </w:t>
      </w:r>
      <w:r w:rsidR="00B65421" w:rsidRPr="00687CDC">
        <w:rPr>
          <w:rFonts w:ascii="Tahoma" w:hAnsi="Tahoma" w:cs="Tahoma"/>
        </w:rPr>
        <w:t xml:space="preserve">on their forthcoming transition </w:t>
      </w:r>
      <w:r w:rsidR="00532B01" w:rsidRPr="00687CDC">
        <w:rPr>
          <w:rFonts w:ascii="Tahoma" w:hAnsi="Tahoma" w:cs="Tahoma"/>
        </w:rPr>
        <w:t xml:space="preserve">into </w:t>
      </w:r>
      <w:r w:rsidR="00532B01" w:rsidRPr="004F2E38">
        <w:rPr>
          <w:rFonts w:ascii="Tahoma" w:hAnsi="Tahoma" w:cs="Tahoma"/>
        </w:rPr>
        <w:t>HE</w:t>
      </w:r>
      <w:r w:rsidR="00A8181C" w:rsidRPr="004F2E38">
        <w:rPr>
          <w:rFonts w:ascii="Tahoma" w:hAnsi="Tahoma" w:cs="Tahoma"/>
        </w:rPr>
        <w:t xml:space="preserve"> </w:t>
      </w:r>
      <w:r w:rsidR="008A3A27" w:rsidRPr="004F2E38">
        <w:rPr>
          <w:rFonts w:ascii="Tahoma" w:hAnsi="Tahoma" w:cs="Tahoma"/>
        </w:rPr>
        <w:t>with</w:t>
      </w:r>
      <w:r w:rsidR="00701490" w:rsidRPr="004F2E38">
        <w:rPr>
          <w:rFonts w:ascii="Tahoma" w:hAnsi="Tahoma" w:cs="Tahoma"/>
        </w:rPr>
        <w:t xml:space="preserve">in a FE </w:t>
      </w:r>
      <w:r w:rsidR="00BB1F8C" w:rsidRPr="004F2E38">
        <w:rPr>
          <w:rFonts w:ascii="Tahoma" w:hAnsi="Tahoma" w:cs="Tahoma"/>
        </w:rPr>
        <w:t>setting</w:t>
      </w:r>
      <w:r w:rsidRPr="00687CDC">
        <w:rPr>
          <w:rFonts w:ascii="Tahoma" w:hAnsi="Tahoma" w:cs="Tahoma"/>
        </w:rPr>
        <w:t xml:space="preserve">. </w:t>
      </w:r>
      <w:r w:rsidR="0090296A" w:rsidRPr="00687CDC">
        <w:rPr>
          <w:rFonts w:ascii="Tahoma" w:hAnsi="Tahoma" w:cs="Tahoma"/>
        </w:rPr>
        <w:t>The findings have</w:t>
      </w:r>
      <w:r w:rsidR="00A8181C">
        <w:rPr>
          <w:rFonts w:ascii="Tahoma" w:hAnsi="Tahoma" w:cs="Tahoma"/>
        </w:rPr>
        <w:t xml:space="preserve"> </w:t>
      </w:r>
      <w:r w:rsidRPr="00687CDC">
        <w:rPr>
          <w:rFonts w:ascii="Tahoma" w:hAnsi="Tahoma" w:cs="Tahoma"/>
        </w:rPr>
        <w:t xml:space="preserve">been used to synthesise a series of practical </w:t>
      </w:r>
      <w:r w:rsidR="00A31CA9">
        <w:rPr>
          <w:rFonts w:ascii="Tahoma" w:hAnsi="Tahoma" w:cs="Tahoma"/>
        </w:rPr>
        <w:t xml:space="preserve">recommendations and </w:t>
      </w:r>
      <w:r w:rsidRPr="00687CDC">
        <w:rPr>
          <w:rFonts w:ascii="Tahoma" w:hAnsi="Tahoma" w:cs="Tahoma"/>
        </w:rPr>
        <w:t xml:space="preserve">guidelines to inform </w:t>
      </w:r>
      <w:r w:rsidR="000037AB">
        <w:rPr>
          <w:rFonts w:ascii="Tahoma" w:hAnsi="Tahoma" w:cs="Tahoma"/>
        </w:rPr>
        <w:t>educational institutions of the specific requirements of th</w:t>
      </w:r>
      <w:r w:rsidR="00276565">
        <w:rPr>
          <w:rFonts w:ascii="Tahoma" w:hAnsi="Tahoma" w:cs="Tahoma"/>
        </w:rPr>
        <w:t>is</w:t>
      </w:r>
      <w:r w:rsidR="00A8181C">
        <w:rPr>
          <w:rFonts w:ascii="Tahoma" w:hAnsi="Tahoma" w:cs="Tahoma"/>
        </w:rPr>
        <w:t xml:space="preserve"> </w:t>
      </w:r>
      <w:r w:rsidR="00276565">
        <w:rPr>
          <w:rFonts w:ascii="Tahoma" w:hAnsi="Tahoma" w:cs="Tahoma"/>
        </w:rPr>
        <w:t xml:space="preserve">demographic. </w:t>
      </w:r>
      <w:r w:rsidR="00C855A2">
        <w:rPr>
          <w:rFonts w:ascii="Tahoma" w:hAnsi="Tahoma" w:cs="Tahoma"/>
        </w:rPr>
        <w:t>The findings</w:t>
      </w:r>
      <w:r w:rsidR="00A8181C">
        <w:rPr>
          <w:rFonts w:ascii="Tahoma" w:hAnsi="Tahoma" w:cs="Tahoma"/>
        </w:rPr>
        <w:t xml:space="preserve"> </w:t>
      </w:r>
      <w:r w:rsidR="002D1C76" w:rsidRPr="00687CDC">
        <w:rPr>
          <w:rFonts w:ascii="Tahoma" w:hAnsi="Tahoma" w:cs="Tahoma"/>
        </w:rPr>
        <w:t xml:space="preserve">will be highly relevant for </w:t>
      </w:r>
      <w:r w:rsidR="004E5BF4" w:rsidRPr="00687CDC">
        <w:rPr>
          <w:rFonts w:ascii="Tahoma" w:hAnsi="Tahoma" w:cs="Tahoma"/>
        </w:rPr>
        <w:t xml:space="preserve">FECs around </w:t>
      </w:r>
      <w:r w:rsidRPr="00687CDC">
        <w:rPr>
          <w:rFonts w:ascii="Tahoma" w:hAnsi="Tahoma" w:cs="Tahoma"/>
        </w:rPr>
        <w:t xml:space="preserve">understanding, supporting and managing </w:t>
      </w:r>
      <w:r w:rsidR="00441C7B">
        <w:rPr>
          <w:rFonts w:ascii="Tahoma" w:hAnsi="Tahoma" w:cs="Tahoma"/>
        </w:rPr>
        <w:t xml:space="preserve">BTEC Level 3 </w:t>
      </w:r>
      <w:r w:rsidR="00747F52">
        <w:rPr>
          <w:rFonts w:ascii="Tahoma" w:hAnsi="Tahoma" w:cs="Tahoma"/>
        </w:rPr>
        <w:t>student</w:t>
      </w:r>
      <w:r w:rsidRPr="00687CDC">
        <w:rPr>
          <w:rFonts w:ascii="Tahoma" w:hAnsi="Tahoma" w:cs="Tahoma"/>
        </w:rPr>
        <w:t xml:space="preserve"> </w:t>
      </w:r>
      <w:r w:rsidR="00D843FD" w:rsidRPr="00687CDC">
        <w:rPr>
          <w:rFonts w:ascii="Tahoma" w:hAnsi="Tahoma" w:cs="Tahoma"/>
        </w:rPr>
        <w:t xml:space="preserve">transition </w:t>
      </w:r>
      <w:r w:rsidR="00782E1F">
        <w:rPr>
          <w:rFonts w:ascii="Tahoma" w:hAnsi="Tahoma" w:cs="Tahoma"/>
        </w:rPr>
        <w:t xml:space="preserve">to </w:t>
      </w:r>
      <w:r w:rsidR="00137B23" w:rsidRPr="00687CDC">
        <w:rPr>
          <w:rFonts w:ascii="Tahoma" w:hAnsi="Tahoma" w:cs="Tahoma"/>
        </w:rPr>
        <w:t>their HE provision</w:t>
      </w:r>
      <w:r w:rsidR="00D6063E">
        <w:rPr>
          <w:rFonts w:ascii="Tahoma" w:hAnsi="Tahoma" w:cs="Tahoma"/>
        </w:rPr>
        <w:t>. Furthermore,</w:t>
      </w:r>
      <w:r w:rsidR="00A8181C">
        <w:rPr>
          <w:rFonts w:ascii="Tahoma" w:hAnsi="Tahoma" w:cs="Tahoma"/>
        </w:rPr>
        <w:t xml:space="preserve"> </w:t>
      </w:r>
      <w:r w:rsidR="00B71260">
        <w:rPr>
          <w:rFonts w:ascii="Tahoma" w:hAnsi="Tahoma" w:cs="Tahoma"/>
        </w:rPr>
        <w:t>HEIs</w:t>
      </w:r>
      <w:r w:rsidR="009030EF" w:rsidRPr="00687CDC">
        <w:rPr>
          <w:rFonts w:ascii="Tahoma" w:hAnsi="Tahoma" w:cs="Tahoma"/>
        </w:rPr>
        <w:t xml:space="preserve">, and </w:t>
      </w:r>
      <w:r w:rsidR="009A6881">
        <w:rPr>
          <w:rFonts w:ascii="Tahoma" w:hAnsi="Tahoma" w:cs="Tahoma"/>
        </w:rPr>
        <w:t xml:space="preserve">their </w:t>
      </w:r>
      <w:r w:rsidR="009030EF" w:rsidRPr="00687CDC">
        <w:rPr>
          <w:rFonts w:ascii="Tahoma" w:hAnsi="Tahoma" w:cs="Tahoma"/>
        </w:rPr>
        <w:t xml:space="preserve">sport and exercise departments, </w:t>
      </w:r>
      <w:r w:rsidR="009030EF">
        <w:rPr>
          <w:rFonts w:ascii="Tahoma" w:hAnsi="Tahoma" w:cs="Tahoma"/>
        </w:rPr>
        <w:t xml:space="preserve">will be able </w:t>
      </w:r>
      <w:r w:rsidR="009030EF" w:rsidRPr="00687CDC">
        <w:rPr>
          <w:rFonts w:ascii="Tahoma" w:hAnsi="Tahoma" w:cs="Tahoma"/>
        </w:rPr>
        <w:t xml:space="preserve">to better understand expectations and the needs of those students that transition to FD courses at partner </w:t>
      </w:r>
      <w:r w:rsidR="00BE53CB">
        <w:rPr>
          <w:rFonts w:ascii="Tahoma" w:hAnsi="Tahoma" w:cs="Tahoma"/>
        </w:rPr>
        <w:t>colleges,</w:t>
      </w:r>
      <w:r w:rsidR="00A8181C">
        <w:rPr>
          <w:rFonts w:ascii="Tahoma" w:hAnsi="Tahoma" w:cs="Tahoma"/>
        </w:rPr>
        <w:t xml:space="preserve"> </w:t>
      </w:r>
      <w:r w:rsidR="00FD0C7A">
        <w:rPr>
          <w:rFonts w:ascii="Tahoma" w:hAnsi="Tahoma" w:cs="Tahoma"/>
        </w:rPr>
        <w:t xml:space="preserve">providing an insight </w:t>
      </w:r>
      <w:r w:rsidR="00661B52">
        <w:rPr>
          <w:rFonts w:ascii="Tahoma" w:hAnsi="Tahoma" w:cs="Tahoma"/>
        </w:rPr>
        <w:t xml:space="preserve">into this </w:t>
      </w:r>
      <w:r w:rsidR="0063083B" w:rsidRPr="00687CDC">
        <w:rPr>
          <w:rFonts w:ascii="Tahoma" w:hAnsi="Tahoma" w:cs="Tahoma"/>
        </w:rPr>
        <w:t xml:space="preserve">non-traditional demographic </w:t>
      </w:r>
      <w:r w:rsidR="00465F2A" w:rsidRPr="00687CDC">
        <w:rPr>
          <w:rFonts w:ascii="Tahoma" w:hAnsi="Tahoma" w:cs="Tahoma"/>
        </w:rPr>
        <w:t xml:space="preserve">utilising this </w:t>
      </w:r>
      <w:r w:rsidR="00BB428F">
        <w:rPr>
          <w:rFonts w:ascii="Tahoma" w:hAnsi="Tahoma" w:cs="Tahoma"/>
        </w:rPr>
        <w:t xml:space="preserve">relatively </w:t>
      </w:r>
      <w:r w:rsidR="00DD4736">
        <w:rPr>
          <w:rFonts w:ascii="Tahoma" w:hAnsi="Tahoma" w:cs="Tahoma"/>
        </w:rPr>
        <w:t>contemporary</w:t>
      </w:r>
      <w:r w:rsidR="00BB428F">
        <w:rPr>
          <w:rFonts w:ascii="Tahoma" w:hAnsi="Tahoma" w:cs="Tahoma"/>
        </w:rPr>
        <w:t xml:space="preserve"> </w:t>
      </w:r>
      <w:r w:rsidR="00465F2A" w:rsidRPr="00687CDC">
        <w:rPr>
          <w:rFonts w:ascii="Tahoma" w:hAnsi="Tahoma" w:cs="Tahoma"/>
        </w:rPr>
        <w:t>entry route into HE</w:t>
      </w:r>
      <w:r w:rsidRPr="00687CDC">
        <w:rPr>
          <w:rFonts w:ascii="Tahoma" w:hAnsi="Tahoma" w:cs="Tahoma"/>
        </w:rPr>
        <w:t xml:space="preserve">. </w:t>
      </w:r>
      <w:r w:rsidR="002D21A2">
        <w:rPr>
          <w:rFonts w:ascii="Tahoma" w:hAnsi="Tahoma" w:cs="Tahoma"/>
        </w:rPr>
        <w:t>S</w:t>
      </w:r>
      <w:r w:rsidR="00F57E6C">
        <w:rPr>
          <w:rFonts w:ascii="Tahoma" w:hAnsi="Tahoma" w:cs="Tahoma"/>
        </w:rPr>
        <w:t xml:space="preserve">pecific action based on the guidelines and recommendations </w:t>
      </w:r>
      <w:r w:rsidR="004F2E38">
        <w:rPr>
          <w:rFonts w:ascii="Tahoma" w:hAnsi="Tahoma" w:cs="Tahoma"/>
        </w:rPr>
        <w:t xml:space="preserve">developed from this study </w:t>
      </w:r>
      <w:r w:rsidR="00F57E6C">
        <w:rPr>
          <w:rFonts w:ascii="Tahoma" w:hAnsi="Tahoma" w:cs="Tahoma"/>
        </w:rPr>
        <w:t xml:space="preserve">may help </w:t>
      </w:r>
      <w:r w:rsidR="00C841EC" w:rsidRPr="00687CDC">
        <w:rPr>
          <w:rFonts w:ascii="Tahoma" w:hAnsi="Tahoma" w:cs="Tahoma"/>
        </w:rPr>
        <w:t xml:space="preserve">increase recruitment, </w:t>
      </w:r>
      <w:r w:rsidR="00E2404C" w:rsidRPr="00687CDC">
        <w:rPr>
          <w:rFonts w:ascii="Tahoma" w:hAnsi="Tahoma" w:cs="Tahoma"/>
        </w:rPr>
        <w:t xml:space="preserve">reduce </w:t>
      </w:r>
      <w:r w:rsidR="00C466DC" w:rsidRPr="00687CDC">
        <w:rPr>
          <w:rFonts w:ascii="Tahoma" w:hAnsi="Tahoma" w:cs="Tahoma"/>
        </w:rPr>
        <w:t xml:space="preserve">student attrition, </w:t>
      </w:r>
      <w:r w:rsidRPr="00687CDC">
        <w:rPr>
          <w:rFonts w:ascii="Tahoma" w:hAnsi="Tahoma" w:cs="Tahoma"/>
        </w:rPr>
        <w:t>improv</w:t>
      </w:r>
      <w:r w:rsidR="00E2404C" w:rsidRPr="00687CDC">
        <w:rPr>
          <w:rFonts w:ascii="Tahoma" w:hAnsi="Tahoma" w:cs="Tahoma"/>
        </w:rPr>
        <w:t>e</w:t>
      </w:r>
      <w:r w:rsidRPr="00687CDC">
        <w:rPr>
          <w:rFonts w:ascii="Tahoma" w:hAnsi="Tahoma" w:cs="Tahoma"/>
        </w:rPr>
        <w:t xml:space="preserve"> retention, and </w:t>
      </w:r>
      <w:r w:rsidR="00C841EC" w:rsidRPr="00687CDC">
        <w:rPr>
          <w:rFonts w:ascii="Tahoma" w:hAnsi="Tahoma" w:cs="Tahoma"/>
        </w:rPr>
        <w:t xml:space="preserve">increase </w:t>
      </w:r>
      <w:r w:rsidR="00C466DC" w:rsidRPr="00687CDC">
        <w:rPr>
          <w:rFonts w:ascii="Tahoma" w:hAnsi="Tahoma" w:cs="Tahoma"/>
        </w:rPr>
        <w:t xml:space="preserve">overall </w:t>
      </w:r>
      <w:r w:rsidRPr="00687CDC">
        <w:rPr>
          <w:rFonts w:ascii="Tahoma" w:hAnsi="Tahoma" w:cs="Tahoma"/>
        </w:rPr>
        <w:t>student satisfaction</w:t>
      </w:r>
      <w:r w:rsidR="002F7A96" w:rsidRPr="00687CDC">
        <w:rPr>
          <w:rFonts w:ascii="Tahoma" w:hAnsi="Tahoma" w:cs="Tahoma"/>
        </w:rPr>
        <w:t xml:space="preserve"> across the educational sectors</w:t>
      </w:r>
      <w:r w:rsidRPr="00687CDC">
        <w:rPr>
          <w:rFonts w:ascii="Tahoma" w:hAnsi="Tahoma" w:cs="Tahoma"/>
        </w:rPr>
        <w:t>.</w:t>
      </w:r>
    </w:p>
    <w:p w:rsidR="000A6545" w:rsidRDefault="00AB3E62" w:rsidP="00E24148">
      <w:pPr>
        <w:pStyle w:val="Default"/>
        <w:spacing w:line="360" w:lineRule="auto"/>
      </w:pPr>
      <w:r w:rsidRPr="009E2090">
        <w:rPr>
          <w:sz w:val="22"/>
          <w:szCs w:val="22"/>
        </w:rPr>
        <w:t xml:space="preserve">There were </w:t>
      </w:r>
      <w:r w:rsidR="005F2880" w:rsidRPr="009E2090">
        <w:rPr>
          <w:sz w:val="22"/>
          <w:szCs w:val="22"/>
        </w:rPr>
        <w:t xml:space="preserve">a </w:t>
      </w:r>
      <w:r w:rsidRPr="009E2090">
        <w:rPr>
          <w:sz w:val="22"/>
          <w:szCs w:val="22"/>
        </w:rPr>
        <w:t>diverse</w:t>
      </w:r>
      <w:r w:rsidR="005F2880" w:rsidRPr="009E2090">
        <w:rPr>
          <w:sz w:val="22"/>
          <w:szCs w:val="22"/>
        </w:rPr>
        <w:t xml:space="preserve"> range of</w:t>
      </w:r>
      <w:r w:rsidRPr="009E2090">
        <w:rPr>
          <w:sz w:val="22"/>
          <w:szCs w:val="22"/>
        </w:rPr>
        <w:t xml:space="preserve"> themes that emerged from the </w:t>
      </w:r>
      <w:r w:rsidR="00747F52" w:rsidRPr="009E2090">
        <w:rPr>
          <w:sz w:val="22"/>
          <w:szCs w:val="22"/>
        </w:rPr>
        <w:t>results</w:t>
      </w:r>
      <w:r w:rsidR="00DD4736" w:rsidRPr="009E2090">
        <w:rPr>
          <w:sz w:val="22"/>
          <w:szCs w:val="22"/>
        </w:rPr>
        <w:t>,</w:t>
      </w:r>
      <w:r w:rsidRPr="009E2090">
        <w:rPr>
          <w:sz w:val="22"/>
          <w:szCs w:val="22"/>
        </w:rPr>
        <w:t xml:space="preserve"> however, there</w:t>
      </w:r>
      <w:r w:rsidRPr="00687CDC">
        <w:rPr>
          <w:sz w:val="22"/>
          <w:szCs w:val="22"/>
        </w:rPr>
        <w:t xml:space="preserve"> was a large degree of commonality within the responses. The findings suggest that students studying on BTEC Level 3 sport and exercise related courses perceive the step-up to a </w:t>
      </w:r>
      <w:r w:rsidR="00613D5F">
        <w:rPr>
          <w:sz w:val="22"/>
          <w:szCs w:val="22"/>
        </w:rPr>
        <w:t>FD</w:t>
      </w:r>
      <w:r w:rsidRPr="00687CDC">
        <w:rPr>
          <w:sz w:val="22"/>
          <w:szCs w:val="22"/>
        </w:rPr>
        <w:t xml:space="preserve"> to be a significant and anxious process, with many changes required </w:t>
      </w:r>
      <w:r w:rsidR="009E2090">
        <w:rPr>
          <w:sz w:val="22"/>
          <w:szCs w:val="22"/>
        </w:rPr>
        <w:t xml:space="preserve">in order </w:t>
      </w:r>
      <w:r w:rsidRPr="00687CDC">
        <w:rPr>
          <w:sz w:val="22"/>
          <w:szCs w:val="22"/>
        </w:rPr>
        <w:t xml:space="preserve">to be successful. </w:t>
      </w:r>
      <w:r w:rsidR="00B266F7" w:rsidRPr="00687CDC">
        <w:rPr>
          <w:sz w:val="22"/>
          <w:szCs w:val="22"/>
        </w:rPr>
        <w:t>The d</w:t>
      </w:r>
      <w:r w:rsidRPr="00687CDC">
        <w:rPr>
          <w:sz w:val="22"/>
          <w:szCs w:val="22"/>
        </w:rPr>
        <w:t>ata analysis elicited 264 significant statements in total, which were categorised into fifty-three data codes, subsequently grouped into nine first order themes, and culminating in three key themes</w:t>
      </w:r>
      <w:r w:rsidR="001C5E3E">
        <w:rPr>
          <w:sz w:val="22"/>
          <w:szCs w:val="22"/>
        </w:rPr>
        <w:t xml:space="preserve">. These </w:t>
      </w:r>
      <w:r w:rsidR="00DD4736">
        <w:rPr>
          <w:sz w:val="22"/>
          <w:szCs w:val="22"/>
        </w:rPr>
        <w:t xml:space="preserve">key themes </w:t>
      </w:r>
      <w:r w:rsidR="00CD03F2">
        <w:rPr>
          <w:sz w:val="22"/>
          <w:szCs w:val="22"/>
        </w:rPr>
        <w:t>were</w:t>
      </w:r>
      <w:r w:rsidRPr="00687CDC">
        <w:rPr>
          <w:sz w:val="22"/>
          <w:szCs w:val="22"/>
        </w:rPr>
        <w:t xml:space="preserve">: </w:t>
      </w:r>
      <w:r w:rsidR="00000794">
        <w:rPr>
          <w:sz w:val="22"/>
          <w:szCs w:val="22"/>
        </w:rPr>
        <w:t>s</w:t>
      </w:r>
      <w:r w:rsidRPr="00000794">
        <w:rPr>
          <w:sz w:val="22"/>
          <w:szCs w:val="22"/>
        </w:rPr>
        <w:t xml:space="preserve">tudents progress onto a </w:t>
      </w:r>
      <w:r w:rsidR="00000794">
        <w:rPr>
          <w:sz w:val="22"/>
          <w:szCs w:val="22"/>
        </w:rPr>
        <w:t xml:space="preserve">FD </w:t>
      </w:r>
      <w:r w:rsidRPr="00000794">
        <w:rPr>
          <w:sz w:val="22"/>
          <w:szCs w:val="22"/>
        </w:rPr>
        <w:t xml:space="preserve">for a multitude of reasons; progressing to a </w:t>
      </w:r>
      <w:r w:rsidR="00000794">
        <w:rPr>
          <w:sz w:val="22"/>
          <w:szCs w:val="22"/>
        </w:rPr>
        <w:t xml:space="preserve">FD </w:t>
      </w:r>
      <w:r w:rsidRPr="00000794">
        <w:rPr>
          <w:sz w:val="22"/>
          <w:szCs w:val="22"/>
        </w:rPr>
        <w:t>is an anxious process and many barriers exist; differences are expected between the academic levels and students must make changes to meet the perceived demands.</w:t>
      </w:r>
      <w:r w:rsidR="00A8181C">
        <w:rPr>
          <w:sz w:val="22"/>
          <w:szCs w:val="22"/>
        </w:rPr>
        <w:t xml:space="preserve"> </w:t>
      </w:r>
      <w:r w:rsidRPr="00000794">
        <w:t xml:space="preserve">The findings of this study are illustrated in Figure 1 and each of the key themes </w:t>
      </w:r>
      <w:r w:rsidR="009E2090">
        <w:t>is</w:t>
      </w:r>
      <w:r w:rsidRPr="00000794">
        <w:t xml:space="preserve"> discussed in the subsequent sub-sections.</w:t>
      </w:r>
    </w:p>
    <w:p w:rsidR="009E2090" w:rsidRDefault="009E2090" w:rsidP="00E24148">
      <w:pPr>
        <w:pStyle w:val="Default"/>
        <w:spacing w:line="360" w:lineRule="auto"/>
      </w:pPr>
    </w:p>
    <w:p w:rsidR="009E2090" w:rsidRPr="0033083F" w:rsidRDefault="009E2090" w:rsidP="009E2090">
      <w:pPr>
        <w:pStyle w:val="Default"/>
        <w:spacing w:line="360" w:lineRule="auto"/>
        <w:rPr>
          <w:b/>
          <w:i/>
        </w:rPr>
      </w:pPr>
      <w:r w:rsidRPr="0033083F">
        <w:rPr>
          <w:b/>
          <w:i/>
        </w:rPr>
        <w:t xml:space="preserve">Students Progress onto a Foundation Degree for a Multitude of Reasons </w:t>
      </w:r>
    </w:p>
    <w:p w:rsidR="009E2090" w:rsidRDefault="009E2090" w:rsidP="009E2090">
      <w:pPr>
        <w:pStyle w:val="Default"/>
        <w:spacing w:line="360" w:lineRule="auto"/>
        <w:rPr>
          <w:sz w:val="22"/>
          <w:szCs w:val="22"/>
        </w:rPr>
      </w:pPr>
      <w:r w:rsidRPr="009E2090">
        <w:rPr>
          <w:sz w:val="22"/>
          <w:szCs w:val="22"/>
        </w:rPr>
        <w:t>There were a multitude of factors surrounding the BTEC Level 3 students</w:t>
      </w:r>
      <w:r w:rsidR="0033083F">
        <w:rPr>
          <w:sz w:val="22"/>
          <w:szCs w:val="22"/>
        </w:rPr>
        <w:t>’</w:t>
      </w:r>
      <w:r w:rsidRPr="009E2090">
        <w:rPr>
          <w:sz w:val="22"/>
          <w:szCs w:val="22"/>
        </w:rPr>
        <w:t xml:space="preserve"> choice to progress to HE delivered in a FE setting. Students shared thoughts and opinions on their forthcoming progression to a FD and the variation of responses may in some way be attributed to the demographically diverse group of students commonly found in these cohorts (Stephens, Hamedani &amp; Destin, 2014). Interestingly, a few used this opportunity to discuss their decision to study a FD at a college instead of progressing on</w:t>
      </w:r>
      <w:r w:rsidR="0033083F">
        <w:rPr>
          <w:sz w:val="22"/>
          <w:szCs w:val="22"/>
        </w:rPr>
        <w:t xml:space="preserve"> </w:t>
      </w:r>
      <w:r w:rsidRPr="009E2090">
        <w:rPr>
          <w:sz w:val="22"/>
          <w:szCs w:val="22"/>
        </w:rPr>
        <w:t>to a course at a</w:t>
      </w:r>
      <w:r w:rsidR="0033083F">
        <w:rPr>
          <w:sz w:val="22"/>
          <w:szCs w:val="22"/>
        </w:rPr>
        <w:t>n</w:t>
      </w:r>
      <w:r w:rsidRPr="009E2090">
        <w:rPr>
          <w:sz w:val="22"/>
          <w:szCs w:val="22"/>
        </w:rPr>
        <w:t xml:space="preserve"> HEI, like some of their peers. A student noted</w:t>
      </w:r>
      <w:r w:rsidR="005B373A">
        <w:rPr>
          <w:sz w:val="22"/>
          <w:szCs w:val="22"/>
        </w:rPr>
        <w:t>:</w:t>
      </w:r>
    </w:p>
    <w:p w:rsidR="00DA5F61" w:rsidRPr="009E2090" w:rsidRDefault="00DA5F61" w:rsidP="009E2090">
      <w:pPr>
        <w:pStyle w:val="Default"/>
        <w:spacing w:line="360" w:lineRule="auto"/>
        <w:rPr>
          <w:sz w:val="22"/>
          <w:szCs w:val="22"/>
        </w:rPr>
      </w:pPr>
    </w:p>
    <w:p w:rsidR="009E2090" w:rsidRPr="009E2090" w:rsidRDefault="009E2090" w:rsidP="00DA5F61">
      <w:pPr>
        <w:pStyle w:val="Default"/>
        <w:ind w:left="851" w:right="799"/>
        <w:jc w:val="both"/>
        <w:rPr>
          <w:sz w:val="22"/>
          <w:szCs w:val="22"/>
        </w:rPr>
      </w:pPr>
      <w:r w:rsidRPr="009E2090">
        <w:rPr>
          <w:sz w:val="22"/>
          <w:szCs w:val="22"/>
        </w:rPr>
        <w:t>“…I have decided to stay here [FEC] and study because I know everybody here. I know the staff, I know the people…I’m familiar with the environment, the college…A couple of my friends are doing it</w:t>
      </w:r>
      <w:r w:rsidR="0033083F">
        <w:rPr>
          <w:sz w:val="22"/>
          <w:szCs w:val="22"/>
        </w:rPr>
        <w:t xml:space="preserve"> </w:t>
      </w:r>
      <w:r w:rsidRPr="009E2090">
        <w:rPr>
          <w:sz w:val="22"/>
          <w:szCs w:val="22"/>
        </w:rPr>
        <w:t>[the FD] so I might as well do the course too.”</w:t>
      </w:r>
    </w:p>
    <w:p w:rsidR="009E2090" w:rsidRPr="009E2090" w:rsidRDefault="009E2090" w:rsidP="00DA5F61">
      <w:pPr>
        <w:pStyle w:val="Default"/>
        <w:spacing w:line="360" w:lineRule="auto"/>
        <w:rPr>
          <w:sz w:val="22"/>
          <w:szCs w:val="22"/>
        </w:rPr>
      </w:pPr>
    </w:p>
    <w:p w:rsidR="009E2090" w:rsidRDefault="009E2090" w:rsidP="00A8012F">
      <w:pPr>
        <w:pStyle w:val="Default"/>
        <w:spacing w:line="360" w:lineRule="auto"/>
        <w:rPr>
          <w:noProof/>
        </w:rPr>
      </w:pPr>
      <w:r w:rsidRPr="009E2090">
        <w:rPr>
          <w:sz w:val="22"/>
          <w:szCs w:val="22"/>
        </w:rPr>
        <w:t xml:space="preserve">The social factors that facilitate students’ decisions to progress to HE appear to be strong amongst vocationally based students. The friendships and rapport that students develop with both staff and peers in the FE setting are key reasons why students choose to remain in a FE setting for HE. Collings, Swanson and Watkins (2014) identified that peer support is key to the wellbeing, integration and retention of students in HE. Similarly, Maunder (2017) found that students who report a strong attachment to their peers also demonstrated higher levels of adjustment to life in HE and attachment to their </w:t>
      </w:r>
      <w:r w:rsidR="0033083F" w:rsidRPr="0033083F">
        <w:rPr>
          <w:sz w:val="22"/>
          <w:szCs w:val="22"/>
        </w:rPr>
        <w:t>institution, whilst students who reported difficulties in their</w:t>
      </w:r>
      <w:r w:rsidR="00DA5F61" w:rsidRPr="00DA5F61">
        <w:t xml:space="preserve"> </w:t>
      </w:r>
      <w:r w:rsidR="00DA5F61" w:rsidRPr="00DA5F61">
        <w:rPr>
          <w:sz w:val="22"/>
          <w:szCs w:val="22"/>
        </w:rPr>
        <w:t>relationships with other students had lower levels of peer attachment and</w:t>
      </w:r>
      <w:r w:rsidR="00DA5F61">
        <w:rPr>
          <w:sz w:val="22"/>
          <w:szCs w:val="22"/>
        </w:rPr>
        <w:t xml:space="preserve"> </w:t>
      </w:r>
      <w:r w:rsidR="00DA5F61" w:rsidRPr="00DA5F61">
        <w:rPr>
          <w:sz w:val="22"/>
          <w:szCs w:val="22"/>
        </w:rPr>
        <w:t>adjustment to their new course. Therefore, the desire to follow peers into HE</w:t>
      </w:r>
      <w:r w:rsidR="00DA5F61">
        <w:rPr>
          <w:sz w:val="22"/>
          <w:szCs w:val="22"/>
        </w:rPr>
        <w:t xml:space="preserve"> </w:t>
      </w:r>
    </w:p>
    <w:p w:rsidR="00C61970" w:rsidRDefault="00DF1840" w:rsidP="00317A0A">
      <w:pPr>
        <w:pStyle w:val="Default"/>
        <w:jc w:val="center"/>
      </w:pPr>
      <w:r w:rsidRPr="00C06E04">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1.5pt;height:621pt;visibility:visible">
            <v:imagedata r:id="rId8" o:title=""/>
          </v:shape>
        </w:pict>
      </w:r>
    </w:p>
    <w:p w:rsidR="00C61970" w:rsidRDefault="00C61970" w:rsidP="000A6545">
      <w:pPr>
        <w:pStyle w:val="Default"/>
        <w:jc w:val="both"/>
      </w:pPr>
    </w:p>
    <w:p w:rsidR="005B373A" w:rsidRDefault="005B373A" w:rsidP="00DA5F61">
      <w:pPr>
        <w:pStyle w:val="Default"/>
        <w:rPr>
          <w:sz w:val="20"/>
          <w:szCs w:val="20"/>
        </w:rPr>
      </w:pPr>
      <w:r w:rsidRPr="000818F0">
        <w:rPr>
          <w:b/>
          <w:sz w:val="20"/>
          <w:szCs w:val="20"/>
        </w:rPr>
        <w:t>Figure 1.</w:t>
      </w:r>
      <w:r w:rsidRPr="000818F0">
        <w:rPr>
          <w:sz w:val="20"/>
          <w:szCs w:val="20"/>
        </w:rPr>
        <w:t xml:space="preserve"> The thoughts, feelings and perceptions of BTEC Level 3 sport and exercise students on their forthcoming transition to HE delivered in a FE </w:t>
      </w:r>
      <w:r>
        <w:rPr>
          <w:sz w:val="20"/>
          <w:szCs w:val="20"/>
        </w:rPr>
        <w:t>setting</w:t>
      </w:r>
    </w:p>
    <w:p w:rsidR="00A8012F" w:rsidRDefault="00A8012F" w:rsidP="00675CE9">
      <w:pPr>
        <w:spacing w:after="0" w:line="360" w:lineRule="auto"/>
        <w:rPr>
          <w:rFonts w:ascii="Tahoma" w:hAnsi="Tahoma" w:cs="Tahoma"/>
        </w:rPr>
      </w:pPr>
    </w:p>
    <w:p w:rsidR="009E2090" w:rsidRDefault="009E2090" w:rsidP="00675CE9">
      <w:pPr>
        <w:spacing w:after="0" w:line="360" w:lineRule="auto"/>
        <w:rPr>
          <w:rFonts w:ascii="Tahoma" w:hAnsi="Tahoma" w:cs="Tahoma"/>
        </w:rPr>
      </w:pPr>
      <w:r w:rsidRPr="009E2090">
        <w:rPr>
          <w:rFonts w:ascii="Tahoma" w:hAnsi="Tahoma" w:cs="Tahoma"/>
        </w:rPr>
        <w:t>because of social attachments may be directly beneficial to the integration and success of these students.</w:t>
      </w:r>
    </w:p>
    <w:p w:rsidR="009E2090" w:rsidRDefault="009E2090" w:rsidP="00675CE9">
      <w:pPr>
        <w:spacing w:after="0" w:line="360" w:lineRule="auto"/>
        <w:rPr>
          <w:rFonts w:ascii="Tahoma" w:hAnsi="Tahoma" w:cs="Tahoma"/>
        </w:rPr>
      </w:pPr>
    </w:p>
    <w:p w:rsidR="00D53A31" w:rsidRDefault="00425890" w:rsidP="00675CE9">
      <w:pPr>
        <w:spacing w:after="0" w:line="360" w:lineRule="auto"/>
        <w:rPr>
          <w:rFonts w:ascii="Tahoma" w:hAnsi="Tahoma" w:cs="Tahoma"/>
        </w:rPr>
      </w:pPr>
      <w:r>
        <w:rPr>
          <w:rFonts w:ascii="Tahoma" w:hAnsi="Tahoma" w:cs="Tahoma"/>
        </w:rPr>
        <w:t xml:space="preserve">Academic and environmental </w:t>
      </w:r>
      <w:r w:rsidR="004F165C">
        <w:rPr>
          <w:rFonts w:ascii="Tahoma" w:hAnsi="Tahoma" w:cs="Tahoma"/>
        </w:rPr>
        <w:t>reasons</w:t>
      </w:r>
      <w:r>
        <w:rPr>
          <w:rFonts w:ascii="Tahoma" w:hAnsi="Tahoma" w:cs="Tahoma"/>
        </w:rPr>
        <w:t xml:space="preserve"> were </w:t>
      </w:r>
      <w:r w:rsidR="003E3891">
        <w:rPr>
          <w:rFonts w:ascii="Tahoma" w:hAnsi="Tahoma" w:cs="Tahoma"/>
        </w:rPr>
        <w:t xml:space="preserve">also </w:t>
      </w:r>
      <w:r>
        <w:rPr>
          <w:rFonts w:ascii="Tahoma" w:hAnsi="Tahoma" w:cs="Tahoma"/>
        </w:rPr>
        <w:t>prevalent</w:t>
      </w:r>
      <w:r w:rsidR="00A8181C">
        <w:rPr>
          <w:rFonts w:ascii="Tahoma" w:hAnsi="Tahoma" w:cs="Tahoma"/>
        </w:rPr>
        <w:t xml:space="preserve"> </w:t>
      </w:r>
      <w:r w:rsidR="004F165C">
        <w:rPr>
          <w:rFonts w:ascii="Tahoma" w:hAnsi="Tahoma" w:cs="Tahoma"/>
        </w:rPr>
        <w:t xml:space="preserve">amongst </w:t>
      </w:r>
      <w:r w:rsidR="00DD4736">
        <w:rPr>
          <w:rFonts w:ascii="Tahoma" w:hAnsi="Tahoma" w:cs="Tahoma"/>
        </w:rPr>
        <w:t>students’</w:t>
      </w:r>
      <w:r w:rsidR="004F165C">
        <w:rPr>
          <w:rFonts w:ascii="Tahoma" w:hAnsi="Tahoma" w:cs="Tahoma"/>
        </w:rPr>
        <w:t xml:space="preserve"> reasons for progressing to </w:t>
      </w:r>
      <w:r w:rsidR="0062154F">
        <w:rPr>
          <w:rFonts w:ascii="Tahoma" w:hAnsi="Tahoma" w:cs="Tahoma"/>
        </w:rPr>
        <w:t xml:space="preserve">study HE in a FE </w:t>
      </w:r>
      <w:r w:rsidR="00BB1F8C">
        <w:rPr>
          <w:rFonts w:ascii="Tahoma" w:hAnsi="Tahoma" w:cs="Tahoma"/>
        </w:rPr>
        <w:t>setting</w:t>
      </w:r>
      <w:r w:rsidR="0062154F">
        <w:rPr>
          <w:rFonts w:ascii="Tahoma" w:hAnsi="Tahoma" w:cs="Tahoma"/>
        </w:rPr>
        <w:t xml:space="preserve">. </w:t>
      </w:r>
      <w:r w:rsidR="004A67BA">
        <w:rPr>
          <w:rFonts w:ascii="Tahoma" w:hAnsi="Tahoma" w:cs="Tahoma"/>
        </w:rPr>
        <w:t>Factors such as</w:t>
      </w:r>
      <w:r w:rsidR="00A8181C">
        <w:rPr>
          <w:rFonts w:ascii="Tahoma" w:hAnsi="Tahoma" w:cs="Tahoma"/>
        </w:rPr>
        <w:t xml:space="preserve"> </w:t>
      </w:r>
      <w:r w:rsidR="00703576">
        <w:rPr>
          <w:rFonts w:ascii="Tahoma" w:hAnsi="Tahoma" w:cs="Tahoma"/>
        </w:rPr>
        <w:t xml:space="preserve">teaching styles, one to one support, </w:t>
      </w:r>
      <w:r w:rsidR="005B373A">
        <w:rPr>
          <w:rFonts w:ascii="Tahoma" w:hAnsi="Tahoma" w:cs="Tahoma"/>
        </w:rPr>
        <w:t xml:space="preserve">and </w:t>
      </w:r>
      <w:r w:rsidR="00703576">
        <w:rPr>
          <w:rFonts w:ascii="Tahoma" w:hAnsi="Tahoma" w:cs="Tahoma"/>
        </w:rPr>
        <w:t>smaller class sizes</w:t>
      </w:r>
      <w:r w:rsidR="00172E70">
        <w:rPr>
          <w:rFonts w:ascii="Tahoma" w:hAnsi="Tahoma" w:cs="Tahoma"/>
        </w:rPr>
        <w:t xml:space="preserve"> were common amongst the respondents. </w:t>
      </w:r>
      <w:r w:rsidR="009F529F">
        <w:rPr>
          <w:rFonts w:ascii="Tahoma" w:hAnsi="Tahoma" w:cs="Tahoma"/>
        </w:rPr>
        <w:t>For example, student</w:t>
      </w:r>
      <w:r w:rsidR="005B373A">
        <w:rPr>
          <w:rFonts w:ascii="Tahoma" w:hAnsi="Tahoma" w:cs="Tahoma"/>
        </w:rPr>
        <w:t>s</w:t>
      </w:r>
      <w:r w:rsidR="009F529F">
        <w:rPr>
          <w:rFonts w:ascii="Tahoma" w:hAnsi="Tahoma" w:cs="Tahoma"/>
        </w:rPr>
        <w:t xml:space="preserve"> noted</w:t>
      </w:r>
      <w:r w:rsidR="005B373A">
        <w:rPr>
          <w:rFonts w:ascii="Tahoma" w:hAnsi="Tahoma" w:cs="Tahoma"/>
        </w:rPr>
        <w:t>:</w:t>
      </w:r>
    </w:p>
    <w:p w:rsidR="009F529F" w:rsidRDefault="009F529F" w:rsidP="008916E0">
      <w:pPr>
        <w:spacing w:after="0" w:line="360" w:lineRule="auto"/>
        <w:jc w:val="both"/>
        <w:rPr>
          <w:rFonts w:ascii="Tahoma" w:hAnsi="Tahoma" w:cs="Tahoma"/>
        </w:rPr>
      </w:pPr>
    </w:p>
    <w:p w:rsidR="009F529F" w:rsidRDefault="009F529F" w:rsidP="000818F0">
      <w:pPr>
        <w:spacing w:after="0" w:line="240" w:lineRule="auto"/>
        <w:ind w:left="851" w:right="805"/>
        <w:jc w:val="both"/>
        <w:rPr>
          <w:rFonts w:ascii="Tahoma" w:hAnsi="Tahoma" w:cs="Tahoma"/>
        </w:rPr>
      </w:pPr>
      <w:r>
        <w:rPr>
          <w:rFonts w:ascii="Tahoma" w:hAnsi="Tahoma" w:cs="Tahoma"/>
        </w:rPr>
        <w:t>“It makes perfect sense to keep going [</w:t>
      </w:r>
      <w:r w:rsidR="00C0376E">
        <w:rPr>
          <w:rFonts w:ascii="Tahoma" w:hAnsi="Tahoma" w:cs="Tahoma"/>
        </w:rPr>
        <w:t xml:space="preserve">to </w:t>
      </w:r>
      <w:r w:rsidR="005B373A">
        <w:rPr>
          <w:rFonts w:ascii="Tahoma" w:hAnsi="Tahoma" w:cs="Tahoma"/>
        </w:rPr>
        <w:t>FEC</w:t>
      </w:r>
      <w:r>
        <w:rPr>
          <w:rFonts w:ascii="Tahoma" w:hAnsi="Tahoma" w:cs="Tahoma"/>
        </w:rPr>
        <w:t>] because I know everybody</w:t>
      </w:r>
      <w:r w:rsidR="00352BCE">
        <w:rPr>
          <w:rFonts w:ascii="Tahoma" w:hAnsi="Tahoma" w:cs="Tahoma"/>
        </w:rPr>
        <w:t>…</w:t>
      </w:r>
      <w:r w:rsidR="00136907">
        <w:rPr>
          <w:rFonts w:ascii="Tahoma" w:hAnsi="Tahoma" w:cs="Tahoma"/>
        </w:rPr>
        <w:t>how they deliver lessons and they are very supportive</w:t>
      </w:r>
      <w:r w:rsidR="00652212">
        <w:rPr>
          <w:rFonts w:ascii="Tahoma" w:hAnsi="Tahoma" w:cs="Tahoma"/>
        </w:rPr>
        <w:t xml:space="preserve"> of us… I will also get more support in smaller classes compared to uni</w:t>
      </w:r>
      <w:r w:rsidR="001C594C">
        <w:rPr>
          <w:rFonts w:ascii="Tahoma" w:hAnsi="Tahoma" w:cs="Tahoma"/>
        </w:rPr>
        <w:t>.”</w:t>
      </w:r>
    </w:p>
    <w:p w:rsidR="00E1474D" w:rsidRDefault="00E1474D" w:rsidP="000818F0">
      <w:pPr>
        <w:spacing w:after="0" w:line="240" w:lineRule="auto"/>
        <w:ind w:left="851" w:right="805"/>
        <w:jc w:val="both"/>
        <w:rPr>
          <w:rFonts w:ascii="Tahoma" w:hAnsi="Tahoma" w:cs="Tahoma"/>
        </w:rPr>
      </w:pPr>
    </w:p>
    <w:p w:rsidR="00E1474D" w:rsidRDefault="00537EDE" w:rsidP="000818F0">
      <w:pPr>
        <w:spacing w:after="0" w:line="240" w:lineRule="auto"/>
        <w:ind w:left="851" w:right="805"/>
        <w:jc w:val="both"/>
        <w:rPr>
          <w:rFonts w:ascii="Tahoma" w:hAnsi="Tahoma" w:cs="Tahoma"/>
        </w:rPr>
      </w:pPr>
      <w:r>
        <w:rPr>
          <w:rFonts w:ascii="Tahoma" w:hAnsi="Tahoma" w:cs="Tahoma"/>
        </w:rPr>
        <w:t xml:space="preserve">“… it is close to my house, my friends go there and I know the place… I am familiar with </w:t>
      </w:r>
      <w:r w:rsidR="00391FB2">
        <w:rPr>
          <w:rFonts w:ascii="Tahoma" w:hAnsi="Tahoma" w:cs="Tahoma"/>
        </w:rPr>
        <w:t>how the teachers work</w:t>
      </w:r>
      <w:r w:rsidR="008A2887">
        <w:rPr>
          <w:rFonts w:ascii="Tahoma" w:hAnsi="Tahoma" w:cs="Tahoma"/>
        </w:rPr>
        <w:t>… Why would I consider anything else at this point?”</w:t>
      </w:r>
    </w:p>
    <w:p w:rsidR="001C594C" w:rsidRDefault="001C594C" w:rsidP="008916E0">
      <w:pPr>
        <w:spacing w:after="0" w:line="360" w:lineRule="auto"/>
        <w:jc w:val="both"/>
        <w:rPr>
          <w:rFonts w:ascii="Tahoma" w:hAnsi="Tahoma" w:cs="Tahoma"/>
        </w:rPr>
      </w:pPr>
    </w:p>
    <w:p w:rsidR="001C594C" w:rsidRDefault="00784F65" w:rsidP="00675CE9">
      <w:pPr>
        <w:spacing w:line="360" w:lineRule="auto"/>
        <w:rPr>
          <w:rFonts w:ascii="Tahoma" w:hAnsi="Tahoma" w:cs="Tahoma"/>
        </w:rPr>
      </w:pPr>
      <w:r>
        <w:rPr>
          <w:rFonts w:ascii="Tahoma" w:hAnsi="Tahoma" w:cs="Tahoma"/>
        </w:rPr>
        <w:t>The findings</w:t>
      </w:r>
      <w:r w:rsidR="00A8181C">
        <w:rPr>
          <w:rFonts w:ascii="Tahoma" w:hAnsi="Tahoma" w:cs="Tahoma"/>
        </w:rPr>
        <w:t xml:space="preserve"> </w:t>
      </w:r>
      <w:r>
        <w:rPr>
          <w:rFonts w:ascii="Tahoma" w:hAnsi="Tahoma" w:cs="Tahoma"/>
        </w:rPr>
        <w:t xml:space="preserve">support </w:t>
      </w:r>
      <w:r w:rsidR="000810B6">
        <w:rPr>
          <w:rFonts w:ascii="Tahoma" w:hAnsi="Tahoma" w:cs="Tahoma"/>
        </w:rPr>
        <w:t>Hoelscher</w:t>
      </w:r>
      <w:r w:rsidR="00747F52">
        <w:rPr>
          <w:rFonts w:ascii="Tahoma" w:hAnsi="Tahoma" w:cs="Tahoma"/>
        </w:rPr>
        <w:t xml:space="preserve"> </w:t>
      </w:r>
      <w:r w:rsidR="00F54EA8">
        <w:rPr>
          <w:rFonts w:ascii="Tahoma" w:hAnsi="Tahoma" w:cs="Tahoma"/>
        </w:rPr>
        <w:t xml:space="preserve">et al. </w:t>
      </w:r>
      <w:r w:rsidR="000810B6">
        <w:rPr>
          <w:rFonts w:ascii="Tahoma" w:hAnsi="Tahoma" w:cs="Tahoma"/>
        </w:rPr>
        <w:t>(2008)</w:t>
      </w:r>
      <w:r>
        <w:rPr>
          <w:rFonts w:ascii="Tahoma" w:hAnsi="Tahoma" w:cs="Tahoma"/>
        </w:rPr>
        <w:t xml:space="preserve">, </w:t>
      </w:r>
      <w:r w:rsidR="00B3335D">
        <w:rPr>
          <w:rFonts w:ascii="Tahoma" w:hAnsi="Tahoma" w:cs="Tahoma"/>
        </w:rPr>
        <w:t>who</w:t>
      </w:r>
      <w:r w:rsidR="00A8181C">
        <w:rPr>
          <w:rFonts w:ascii="Tahoma" w:hAnsi="Tahoma" w:cs="Tahoma"/>
        </w:rPr>
        <w:t xml:space="preserve"> </w:t>
      </w:r>
      <w:r w:rsidR="00B3335D">
        <w:rPr>
          <w:rFonts w:ascii="Tahoma" w:hAnsi="Tahoma" w:cs="Tahoma"/>
        </w:rPr>
        <w:t xml:space="preserve">found </w:t>
      </w:r>
      <w:r w:rsidR="007E7F55">
        <w:rPr>
          <w:rFonts w:ascii="Tahoma" w:hAnsi="Tahoma" w:cs="Tahoma"/>
        </w:rPr>
        <w:t>that t</w:t>
      </w:r>
      <w:r w:rsidR="00ED0486" w:rsidRPr="00ED0486">
        <w:rPr>
          <w:rFonts w:ascii="Tahoma" w:hAnsi="Tahoma" w:cs="Tahoma"/>
        </w:rPr>
        <w:t xml:space="preserve">he importance of </w:t>
      </w:r>
      <w:r w:rsidR="007E7F55">
        <w:rPr>
          <w:rFonts w:ascii="Tahoma" w:hAnsi="Tahoma" w:cs="Tahoma"/>
        </w:rPr>
        <w:t>familiarity</w:t>
      </w:r>
      <w:r w:rsidR="00A8181C">
        <w:rPr>
          <w:rFonts w:ascii="Tahoma" w:hAnsi="Tahoma" w:cs="Tahoma"/>
        </w:rPr>
        <w:t xml:space="preserve"> </w:t>
      </w:r>
      <w:r w:rsidR="00432625">
        <w:rPr>
          <w:rFonts w:ascii="Tahoma" w:hAnsi="Tahoma" w:cs="Tahoma"/>
        </w:rPr>
        <w:t xml:space="preserve">when making decisions on where to study </w:t>
      </w:r>
      <w:r w:rsidR="00DD196F">
        <w:rPr>
          <w:rFonts w:ascii="Tahoma" w:hAnsi="Tahoma" w:cs="Tahoma"/>
        </w:rPr>
        <w:t xml:space="preserve">HE </w:t>
      </w:r>
      <w:r w:rsidR="00ED0486" w:rsidRPr="00ED0486">
        <w:rPr>
          <w:rFonts w:ascii="Tahoma" w:hAnsi="Tahoma" w:cs="Tahoma"/>
        </w:rPr>
        <w:t xml:space="preserve">was substantially higher at </w:t>
      </w:r>
      <w:r w:rsidR="00DD196F">
        <w:rPr>
          <w:rFonts w:ascii="Tahoma" w:hAnsi="Tahoma" w:cs="Tahoma"/>
        </w:rPr>
        <w:t xml:space="preserve">a </w:t>
      </w:r>
      <w:r w:rsidR="00ED0486" w:rsidRPr="00ED0486">
        <w:rPr>
          <w:rFonts w:ascii="Tahoma" w:hAnsi="Tahoma" w:cs="Tahoma"/>
        </w:rPr>
        <w:t>FE college</w:t>
      </w:r>
      <w:r w:rsidR="00747F52">
        <w:rPr>
          <w:rFonts w:ascii="Tahoma" w:hAnsi="Tahoma" w:cs="Tahoma"/>
        </w:rPr>
        <w:t xml:space="preserve"> </w:t>
      </w:r>
      <w:r w:rsidR="00ED0486" w:rsidRPr="00ED0486">
        <w:rPr>
          <w:rFonts w:ascii="Tahoma" w:hAnsi="Tahoma" w:cs="Tahoma"/>
        </w:rPr>
        <w:t xml:space="preserve">(over 80% of students). </w:t>
      </w:r>
      <w:r w:rsidR="004F4E25" w:rsidRPr="004F4E25">
        <w:rPr>
          <w:rFonts w:ascii="Tahoma" w:hAnsi="Tahoma" w:cs="Tahoma"/>
        </w:rPr>
        <w:t>Gill</w:t>
      </w:r>
      <w:r w:rsidR="00352A6F" w:rsidRPr="004F4E25">
        <w:rPr>
          <w:rFonts w:ascii="Tahoma" w:hAnsi="Tahoma" w:cs="Tahoma"/>
        </w:rPr>
        <w:t xml:space="preserve"> (2018)</w:t>
      </w:r>
      <w:r w:rsidR="00352A6F">
        <w:rPr>
          <w:rFonts w:ascii="Tahoma" w:hAnsi="Tahoma" w:cs="Tahoma"/>
        </w:rPr>
        <w:t xml:space="preserve"> </w:t>
      </w:r>
      <w:r w:rsidR="00BF7D6E">
        <w:rPr>
          <w:rFonts w:ascii="Tahoma" w:hAnsi="Tahoma" w:cs="Tahoma"/>
        </w:rPr>
        <w:t>identified the notion of smaller class sizes</w:t>
      </w:r>
      <w:r w:rsidR="00341FF9">
        <w:rPr>
          <w:rFonts w:ascii="Tahoma" w:hAnsi="Tahoma" w:cs="Tahoma"/>
        </w:rPr>
        <w:t xml:space="preserve"> a</w:t>
      </w:r>
      <w:r w:rsidR="00E82681">
        <w:rPr>
          <w:rFonts w:ascii="Tahoma" w:hAnsi="Tahoma" w:cs="Tahoma"/>
        </w:rPr>
        <w:t xml:space="preserve">nd the perception that there is less support </w:t>
      </w:r>
      <w:r w:rsidR="00072013">
        <w:rPr>
          <w:rFonts w:ascii="Tahoma" w:hAnsi="Tahoma" w:cs="Tahoma"/>
        </w:rPr>
        <w:t>at a university as key motivating factors for students to con</w:t>
      </w:r>
      <w:r w:rsidR="00E836EF">
        <w:rPr>
          <w:rFonts w:ascii="Tahoma" w:hAnsi="Tahoma" w:cs="Tahoma"/>
        </w:rPr>
        <w:t xml:space="preserve">tinue </w:t>
      </w:r>
      <w:r w:rsidR="00FF1EF9">
        <w:rPr>
          <w:rFonts w:ascii="Tahoma" w:hAnsi="Tahoma" w:cs="Tahoma"/>
        </w:rPr>
        <w:t xml:space="preserve">to study </w:t>
      </w:r>
      <w:r w:rsidR="00E836EF">
        <w:rPr>
          <w:rFonts w:ascii="Tahoma" w:hAnsi="Tahoma" w:cs="Tahoma"/>
        </w:rPr>
        <w:t>in familiar academic environments</w:t>
      </w:r>
      <w:r w:rsidR="000770D4">
        <w:rPr>
          <w:rFonts w:ascii="Tahoma" w:hAnsi="Tahoma" w:cs="Tahoma"/>
        </w:rPr>
        <w:t>.</w:t>
      </w:r>
      <w:r w:rsidR="00A8181C">
        <w:rPr>
          <w:rFonts w:ascii="Tahoma" w:hAnsi="Tahoma" w:cs="Tahoma"/>
        </w:rPr>
        <w:t xml:space="preserve"> </w:t>
      </w:r>
      <w:r w:rsidR="00333FD0">
        <w:rPr>
          <w:rFonts w:ascii="Tahoma" w:hAnsi="Tahoma" w:cs="Tahoma"/>
        </w:rPr>
        <w:t>T</w:t>
      </w:r>
      <w:r w:rsidR="00EF09B3" w:rsidRPr="00EF09B3">
        <w:rPr>
          <w:rFonts w:ascii="Tahoma" w:hAnsi="Tahoma" w:cs="Tahoma"/>
        </w:rPr>
        <w:t>he distinct differences in the approach</w:t>
      </w:r>
      <w:r w:rsidR="00A8181C">
        <w:rPr>
          <w:rFonts w:ascii="Tahoma" w:hAnsi="Tahoma" w:cs="Tahoma"/>
        </w:rPr>
        <w:t xml:space="preserve"> </w:t>
      </w:r>
      <w:r w:rsidR="00EF09B3" w:rsidRPr="00EF09B3">
        <w:rPr>
          <w:rFonts w:ascii="Tahoma" w:hAnsi="Tahoma" w:cs="Tahoma"/>
        </w:rPr>
        <w:t>that vocational and academic education</w:t>
      </w:r>
      <w:r w:rsidR="005B373A">
        <w:rPr>
          <w:rFonts w:ascii="Tahoma" w:hAnsi="Tahoma" w:cs="Tahoma"/>
        </w:rPr>
        <w:t xml:space="preserve"> adopt to </w:t>
      </w:r>
      <w:r w:rsidR="00EF09B3" w:rsidRPr="00EF09B3">
        <w:rPr>
          <w:rFonts w:ascii="Tahoma" w:hAnsi="Tahoma" w:cs="Tahoma"/>
        </w:rPr>
        <w:t>plan and deliver their curricula, and the systems in</w:t>
      </w:r>
      <w:r w:rsidR="00A8181C">
        <w:rPr>
          <w:rFonts w:ascii="Tahoma" w:hAnsi="Tahoma" w:cs="Tahoma"/>
        </w:rPr>
        <w:t xml:space="preserve"> </w:t>
      </w:r>
      <w:r w:rsidR="00EF09B3" w:rsidRPr="00EF09B3">
        <w:rPr>
          <w:rFonts w:ascii="Tahoma" w:hAnsi="Tahoma" w:cs="Tahoma"/>
        </w:rPr>
        <w:t>which they employ</w:t>
      </w:r>
      <w:r w:rsidR="00FC43B1">
        <w:rPr>
          <w:rFonts w:ascii="Tahoma" w:hAnsi="Tahoma" w:cs="Tahoma"/>
        </w:rPr>
        <w:t xml:space="preserve"> appear to be </w:t>
      </w:r>
      <w:r w:rsidR="004F4C57">
        <w:rPr>
          <w:rFonts w:ascii="Tahoma" w:hAnsi="Tahoma" w:cs="Tahoma"/>
        </w:rPr>
        <w:t>significant</w:t>
      </w:r>
      <w:r w:rsidR="00FC43B1">
        <w:rPr>
          <w:rFonts w:ascii="Tahoma" w:hAnsi="Tahoma" w:cs="Tahoma"/>
        </w:rPr>
        <w:t xml:space="preserve"> factors </w:t>
      </w:r>
      <w:r w:rsidR="004F4C57">
        <w:rPr>
          <w:rFonts w:ascii="Tahoma" w:hAnsi="Tahoma" w:cs="Tahoma"/>
        </w:rPr>
        <w:t xml:space="preserve">in </w:t>
      </w:r>
      <w:r w:rsidR="00B16C93">
        <w:rPr>
          <w:rFonts w:ascii="Tahoma" w:hAnsi="Tahoma" w:cs="Tahoma"/>
        </w:rPr>
        <w:t>a student’s</w:t>
      </w:r>
      <w:r w:rsidR="004F4C57">
        <w:rPr>
          <w:rFonts w:ascii="Tahoma" w:hAnsi="Tahoma" w:cs="Tahoma"/>
        </w:rPr>
        <w:t xml:space="preserve"> choice of where to study HE </w:t>
      </w:r>
      <w:r w:rsidR="00EF09B3" w:rsidRPr="00EF09B3">
        <w:rPr>
          <w:rFonts w:ascii="Tahoma" w:hAnsi="Tahoma" w:cs="Tahoma"/>
        </w:rPr>
        <w:t>(Bandias</w:t>
      </w:r>
      <w:r w:rsidR="00747F52">
        <w:rPr>
          <w:rFonts w:ascii="Tahoma" w:hAnsi="Tahoma" w:cs="Tahoma"/>
        </w:rPr>
        <w:t xml:space="preserve"> </w:t>
      </w:r>
      <w:r w:rsidR="00EF09B3" w:rsidRPr="00F53263">
        <w:rPr>
          <w:rFonts w:ascii="Tahoma" w:hAnsi="Tahoma" w:cs="Tahoma"/>
          <w:i/>
        </w:rPr>
        <w:t>et al.</w:t>
      </w:r>
      <w:r w:rsidR="00EF09B3" w:rsidRPr="00EF09B3">
        <w:rPr>
          <w:rFonts w:ascii="Tahoma" w:hAnsi="Tahoma" w:cs="Tahoma"/>
        </w:rPr>
        <w:t>, 2011).</w:t>
      </w:r>
    </w:p>
    <w:p w:rsidR="00BE3635" w:rsidRDefault="0056289D" w:rsidP="00E24148">
      <w:pPr>
        <w:spacing w:after="0" w:line="360" w:lineRule="auto"/>
        <w:rPr>
          <w:rFonts w:ascii="Tahoma" w:hAnsi="Tahoma" w:cs="Tahoma"/>
        </w:rPr>
      </w:pPr>
      <w:r>
        <w:rPr>
          <w:rFonts w:ascii="Tahoma" w:hAnsi="Tahoma" w:cs="Tahoma"/>
        </w:rPr>
        <w:t>Furthermore, the findings highlighted</w:t>
      </w:r>
      <w:r w:rsidR="00BD1DD6">
        <w:rPr>
          <w:rFonts w:ascii="Tahoma" w:hAnsi="Tahoma" w:cs="Tahoma"/>
        </w:rPr>
        <w:t xml:space="preserve"> that students </w:t>
      </w:r>
      <w:r w:rsidR="008A25DD">
        <w:rPr>
          <w:rFonts w:ascii="Tahoma" w:hAnsi="Tahoma" w:cs="Tahoma"/>
        </w:rPr>
        <w:t xml:space="preserve">have chosen </w:t>
      </w:r>
      <w:r w:rsidR="00391436">
        <w:rPr>
          <w:rFonts w:ascii="Tahoma" w:hAnsi="Tahoma" w:cs="Tahoma"/>
        </w:rPr>
        <w:t>to study a FD</w:t>
      </w:r>
      <w:r w:rsidR="001F3E21">
        <w:rPr>
          <w:rFonts w:ascii="Tahoma" w:hAnsi="Tahoma" w:cs="Tahoma"/>
        </w:rPr>
        <w:t xml:space="preserve"> to enhance</w:t>
      </w:r>
      <w:r w:rsidR="008A25DD">
        <w:rPr>
          <w:rFonts w:ascii="Tahoma" w:hAnsi="Tahoma" w:cs="Tahoma"/>
        </w:rPr>
        <w:t xml:space="preserve"> their</w:t>
      </w:r>
      <w:r w:rsidR="001F3E21">
        <w:rPr>
          <w:rFonts w:ascii="Tahoma" w:hAnsi="Tahoma" w:cs="Tahoma"/>
        </w:rPr>
        <w:t xml:space="preserve"> personal development</w:t>
      </w:r>
      <w:r w:rsidR="008A25DD">
        <w:rPr>
          <w:rFonts w:ascii="Tahoma" w:hAnsi="Tahoma" w:cs="Tahoma"/>
        </w:rPr>
        <w:t xml:space="preserve">. </w:t>
      </w:r>
      <w:r w:rsidR="00084A91">
        <w:rPr>
          <w:rFonts w:ascii="Tahoma" w:hAnsi="Tahoma" w:cs="Tahoma"/>
        </w:rPr>
        <w:t xml:space="preserve">The </w:t>
      </w:r>
      <w:r w:rsidR="008A25DD">
        <w:rPr>
          <w:rFonts w:ascii="Tahoma" w:hAnsi="Tahoma" w:cs="Tahoma"/>
        </w:rPr>
        <w:t>challenge</w:t>
      </w:r>
      <w:r w:rsidR="002A2D50">
        <w:rPr>
          <w:rFonts w:ascii="Tahoma" w:hAnsi="Tahoma" w:cs="Tahoma"/>
        </w:rPr>
        <w:t xml:space="preserve"> of HE </w:t>
      </w:r>
      <w:r w:rsidR="004504A5">
        <w:rPr>
          <w:rFonts w:ascii="Tahoma" w:hAnsi="Tahoma" w:cs="Tahoma"/>
        </w:rPr>
        <w:t>courses</w:t>
      </w:r>
      <w:r w:rsidR="00792A9E">
        <w:rPr>
          <w:rFonts w:ascii="Tahoma" w:hAnsi="Tahoma" w:cs="Tahoma"/>
        </w:rPr>
        <w:t>,</w:t>
      </w:r>
      <w:r w:rsidR="00084A91">
        <w:rPr>
          <w:rFonts w:ascii="Tahoma" w:hAnsi="Tahoma" w:cs="Tahoma"/>
        </w:rPr>
        <w:t xml:space="preserve"> and </w:t>
      </w:r>
      <w:r w:rsidR="002A2D50">
        <w:rPr>
          <w:rFonts w:ascii="Tahoma" w:hAnsi="Tahoma" w:cs="Tahoma"/>
        </w:rPr>
        <w:t xml:space="preserve">the </w:t>
      </w:r>
      <w:r w:rsidR="00792A9E">
        <w:rPr>
          <w:rFonts w:ascii="Tahoma" w:hAnsi="Tahoma" w:cs="Tahoma"/>
        </w:rPr>
        <w:t xml:space="preserve">subsequent </w:t>
      </w:r>
      <w:r w:rsidR="002A2D50">
        <w:rPr>
          <w:rFonts w:ascii="Tahoma" w:hAnsi="Tahoma" w:cs="Tahoma"/>
        </w:rPr>
        <w:t xml:space="preserve">development of a </w:t>
      </w:r>
      <w:r w:rsidR="008A25DD">
        <w:rPr>
          <w:rFonts w:ascii="Tahoma" w:hAnsi="Tahoma" w:cs="Tahoma"/>
        </w:rPr>
        <w:t>work ethic</w:t>
      </w:r>
      <w:r w:rsidR="003D3271">
        <w:rPr>
          <w:rFonts w:ascii="Tahoma" w:hAnsi="Tahoma" w:cs="Tahoma"/>
        </w:rPr>
        <w:t xml:space="preserve"> and personal skill</w:t>
      </w:r>
      <w:r w:rsidR="000177D4">
        <w:rPr>
          <w:rFonts w:ascii="Tahoma" w:hAnsi="Tahoma" w:cs="Tahoma"/>
        </w:rPr>
        <w:t>s</w:t>
      </w:r>
      <w:r w:rsidR="00A8181C">
        <w:rPr>
          <w:rFonts w:ascii="Tahoma" w:hAnsi="Tahoma" w:cs="Tahoma"/>
        </w:rPr>
        <w:t xml:space="preserve"> </w:t>
      </w:r>
      <w:r w:rsidR="00FF7A76">
        <w:rPr>
          <w:rFonts w:ascii="Tahoma" w:hAnsi="Tahoma" w:cs="Tahoma"/>
        </w:rPr>
        <w:t xml:space="preserve">were perceived to </w:t>
      </w:r>
      <w:r w:rsidR="002A2D50">
        <w:rPr>
          <w:rFonts w:ascii="Tahoma" w:hAnsi="Tahoma" w:cs="Tahoma"/>
        </w:rPr>
        <w:t xml:space="preserve">improve </w:t>
      </w:r>
      <w:r w:rsidR="00FF7A76">
        <w:rPr>
          <w:rFonts w:ascii="Tahoma" w:hAnsi="Tahoma" w:cs="Tahoma"/>
        </w:rPr>
        <w:t xml:space="preserve">future </w:t>
      </w:r>
      <w:r w:rsidR="008A25DD">
        <w:rPr>
          <w:rFonts w:ascii="Tahoma" w:hAnsi="Tahoma" w:cs="Tahoma"/>
        </w:rPr>
        <w:t>career prospects</w:t>
      </w:r>
      <w:r w:rsidR="003D3271">
        <w:rPr>
          <w:rFonts w:ascii="Tahoma" w:hAnsi="Tahoma" w:cs="Tahoma"/>
        </w:rPr>
        <w:t>.</w:t>
      </w:r>
      <w:r w:rsidR="00DE407D">
        <w:rPr>
          <w:rFonts w:ascii="Tahoma" w:hAnsi="Tahoma" w:cs="Tahoma"/>
        </w:rPr>
        <w:t xml:space="preserve"> These findings were synonymous with </w:t>
      </w:r>
      <w:r w:rsidR="00DA5F61">
        <w:rPr>
          <w:rFonts w:ascii="Tahoma" w:hAnsi="Tahoma" w:cs="Tahoma"/>
        </w:rPr>
        <w:t xml:space="preserve">those of </w:t>
      </w:r>
      <w:r w:rsidR="004F4E25" w:rsidRPr="004F4E25">
        <w:rPr>
          <w:rFonts w:ascii="Tahoma" w:hAnsi="Tahoma" w:cs="Tahoma"/>
        </w:rPr>
        <w:t>Gill</w:t>
      </w:r>
      <w:r w:rsidR="00DE407D" w:rsidRPr="004F4E25">
        <w:rPr>
          <w:rFonts w:ascii="Tahoma" w:hAnsi="Tahoma" w:cs="Tahoma"/>
        </w:rPr>
        <w:t xml:space="preserve"> (2018)</w:t>
      </w:r>
      <w:r w:rsidR="00366769">
        <w:rPr>
          <w:rFonts w:ascii="Tahoma" w:hAnsi="Tahoma" w:cs="Tahoma"/>
        </w:rPr>
        <w:t xml:space="preserve"> and Holmeg</w:t>
      </w:r>
      <w:r w:rsidR="00933268">
        <w:rPr>
          <w:rFonts w:ascii="Tahoma" w:hAnsi="Tahoma" w:cs="Tahoma"/>
        </w:rPr>
        <w:t>a</w:t>
      </w:r>
      <w:r w:rsidR="00366769">
        <w:rPr>
          <w:rFonts w:ascii="Tahoma" w:hAnsi="Tahoma" w:cs="Tahoma"/>
        </w:rPr>
        <w:t>ard et al</w:t>
      </w:r>
      <w:r w:rsidR="002D23D7">
        <w:rPr>
          <w:rFonts w:ascii="Tahoma" w:hAnsi="Tahoma" w:cs="Tahoma"/>
        </w:rPr>
        <w:t>.</w:t>
      </w:r>
      <w:r w:rsidR="00366769">
        <w:rPr>
          <w:rFonts w:ascii="Tahoma" w:hAnsi="Tahoma" w:cs="Tahoma"/>
        </w:rPr>
        <w:t xml:space="preserve"> (2014)</w:t>
      </w:r>
      <w:r w:rsidR="00DE407D">
        <w:rPr>
          <w:rFonts w:ascii="Tahoma" w:hAnsi="Tahoma" w:cs="Tahoma"/>
        </w:rPr>
        <w:t xml:space="preserve">, </w:t>
      </w:r>
      <w:r w:rsidR="000E5600">
        <w:rPr>
          <w:rFonts w:ascii="Tahoma" w:hAnsi="Tahoma" w:cs="Tahoma"/>
        </w:rPr>
        <w:t xml:space="preserve">who identified that personal development was </w:t>
      </w:r>
      <w:r w:rsidR="000E5600" w:rsidRPr="00AD2A62">
        <w:rPr>
          <w:rFonts w:ascii="Tahoma" w:hAnsi="Tahoma" w:cs="Tahoma"/>
        </w:rPr>
        <w:t>one of the key contributory factors to students progressing into HE</w:t>
      </w:r>
      <w:r w:rsidR="00933268" w:rsidRPr="00AD2A62">
        <w:rPr>
          <w:rFonts w:ascii="Tahoma" w:hAnsi="Tahoma" w:cs="Tahoma"/>
        </w:rPr>
        <w:t xml:space="preserve">. </w:t>
      </w:r>
      <w:r w:rsidR="00602C95" w:rsidRPr="00AD2A62">
        <w:rPr>
          <w:rFonts w:ascii="Tahoma" w:hAnsi="Tahoma" w:cs="Tahoma"/>
        </w:rPr>
        <w:t xml:space="preserve">Moreover, </w:t>
      </w:r>
      <w:r w:rsidR="00775EE8" w:rsidRPr="00AD2A62">
        <w:rPr>
          <w:rFonts w:ascii="Tahoma" w:hAnsi="Tahoma" w:cs="Tahoma"/>
        </w:rPr>
        <w:t>Kaye and Bates (2017)</w:t>
      </w:r>
      <w:r w:rsidR="007C54DB">
        <w:rPr>
          <w:rFonts w:ascii="Tahoma" w:hAnsi="Tahoma" w:cs="Tahoma"/>
        </w:rPr>
        <w:t xml:space="preserve"> </w:t>
      </w:r>
      <w:r w:rsidR="00881998" w:rsidRPr="00AD2A62">
        <w:rPr>
          <w:rFonts w:ascii="Tahoma" w:hAnsi="Tahoma" w:cs="Tahoma"/>
        </w:rPr>
        <w:t>suggest</w:t>
      </w:r>
      <w:r w:rsidR="00A8181C">
        <w:rPr>
          <w:rFonts w:ascii="Tahoma" w:hAnsi="Tahoma" w:cs="Tahoma"/>
        </w:rPr>
        <w:t xml:space="preserve"> </w:t>
      </w:r>
      <w:r w:rsidR="00881998" w:rsidRPr="00AD2A62">
        <w:rPr>
          <w:rFonts w:ascii="Tahoma" w:hAnsi="Tahoma" w:cs="Tahoma"/>
        </w:rPr>
        <w:t xml:space="preserve">that the </w:t>
      </w:r>
      <w:r w:rsidR="0044196B">
        <w:rPr>
          <w:rFonts w:ascii="Tahoma" w:hAnsi="Tahoma" w:cs="Tahoma"/>
        </w:rPr>
        <w:t>choice</w:t>
      </w:r>
      <w:r w:rsidR="00881998" w:rsidRPr="00AD2A62">
        <w:rPr>
          <w:rFonts w:ascii="Tahoma" w:hAnsi="Tahoma" w:cs="Tahoma"/>
        </w:rPr>
        <w:t xml:space="preserve"> to study HE is largely motivated by career</w:t>
      </w:r>
      <w:r w:rsidR="00881998" w:rsidRPr="00881998">
        <w:rPr>
          <w:rFonts w:ascii="Tahoma" w:hAnsi="Tahoma" w:cs="Tahoma"/>
        </w:rPr>
        <w:t xml:space="preserve"> opportunities</w:t>
      </w:r>
      <w:r w:rsidR="00D22388">
        <w:rPr>
          <w:rFonts w:ascii="Tahoma" w:hAnsi="Tahoma" w:cs="Tahoma"/>
        </w:rPr>
        <w:t xml:space="preserve"> </w:t>
      </w:r>
      <w:r w:rsidR="00881998" w:rsidRPr="00881998">
        <w:rPr>
          <w:rFonts w:ascii="Tahoma" w:hAnsi="Tahoma" w:cs="Tahoma"/>
        </w:rPr>
        <w:t>associated with degree-level education</w:t>
      </w:r>
      <w:r w:rsidR="00602C95">
        <w:rPr>
          <w:rFonts w:ascii="Tahoma" w:hAnsi="Tahoma" w:cs="Tahoma"/>
        </w:rPr>
        <w:t>.</w:t>
      </w:r>
      <w:r w:rsidR="00375F79">
        <w:rPr>
          <w:rFonts w:ascii="Tahoma" w:hAnsi="Tahoma" w:cs="Tahoma"/>
        </w:rPr>
        <w:t xml:space="preserve"> When considered in conjunction with</w:t>
      </w:r>
      <w:r w:rsidR="00A8181C">
        <w:rPr>
          <w:rFonts w:ascii="Tahoma" w:hAnsi="Tahoma" w:cs="Tahoma"/>
        </w:rPr>
        <w:t xml:space="preserve"> </w:t>
      </w:r>
      <w:r w:rsidR="0044196B">
        <w:rPr>
          <w:rFonts w:ascii="Tahoma" w:hAnsi="Tahoma" w:cs="Tahoma"/>
        </w:rPr>
        <w:t xml:space="preserve">the findings of </w:t>
      </w:r>
      <w:r w:rsidR="00BE3635" w:rsidRPr="000C193C">
        <w:rPr>
          <w:rFonts w:ascii="Tahoma" w:hAnsi="Tahoma" w:cs="Tahoma"/>
        </w:rPr>
        <w:t>Oreopoulos and Petronijevic (2013)</w:t>
      </w:r>
      <w:r w:rsidR="00375F79">
        <w:rPr>
          <w:rFonts w:ascii="Tahoma" w:hAnsi="Tahoma" w:cs="Tahoma"/>
        </w:rPr>
        <w:t>,</w:t>
      </w:r>
      <w:r w:rsidR="00A8181C">
        <w:rPr>
          <w:rFonts w:ascii="Tahoma" w:hAnsi="Tahoma" w:cs="Tahoma"/>
        </w:rPr>
        <w:t xml:space="preserve"> </w:t>
      </w:r>
      <w:r w:rsidR="00375F79">
        <w:rPr>
          <w:rFonts w:ascii="Tahoma" w:hAnsi="Tahoma" w:cs="Tahoma"/>
        </w:rPr>
        <w:t xml:space="preserve">it appears that </w:t>
      </w:r>
      <w:r w:rsidR="00AE0CBB">
        <w:rPr>
          <w:rFonts w:ascii="Tahoma" w:hAnsi="Tahoma" w:cs="Tahoma"/>
        </w:rPr>
        <w:t xml:space="preserve">students perceive </w:t>
      </w:r>
      <w:r w:rsidR="00BE3635" w:rsidRPr="00BE3635">
        <w:rPr>
          <w:rFonts w:ascii="Tahoma" w:hAnsi="Tahoma" w:cs="Tahoma"/>
        </w:rPr>
        <w:t>the investment in</w:t>
      </w:r>
      <w:r w:rsidR="007C54DB">
        <w:rPr>
          <w:rFonts w:ascii="Tahoma" w:hAnsi="Tahoma" w:cs="Tahoma"/>
        </w:rPr>
        <w:t xml:space="preserve"> </w:t>
      </w:r>
      <w:r w:rsidR="00A53814">
        <w:rPr>
          <w:rFonts w:ascii="Tahoma" w:hAnsi="Tahoma" w:cs="Tahoma"/>
        </w:rPr>
        <w:t>a</w:t>
      </w:r>
      <w:r w:rsidR="00032547">
        <w:rPr>
          <w:rFonts w:ascii="Tahoma" w:hAnsi="Tahoma" w:cs="Tahoma"/>
        </w:rPr>
        <w:t>n</w:t>
      </w:r>
      <w:r w:rsidR="00A53814">
        <w:rPr>
          <w:rFonts w:ascii="Tahoma" w:hAnsi="Tahoma" w:cs="Tahoma"/>
        </w:rPr>
        <w:t xml:space="preserve"> HE </w:t>
      </w:r>
      <w:r w:rsidR="006A1A93">
        <w:rPr>
          <w:rFonts w:ascii="Tahoma" w:hAnsi="Tahoma" w:cs="Tahoma"/>
        </w:rPr>
        <w:t xml:space="preserve">level </w:t>
      </w:r>
      <w:r w:rsidR="00A53814">
        <w:rPr>
          <w:rFonts w:ascii="Tahoma" w:hAnsi="Tahoma" w:cs="Tahoma"/>
        </w:rPr>
        <w:t xml:space="preserve">qualification </w:t>
      </w:r>
      <w:r w:rsidR="0044196B">
        <w:rPr>
          <w:rFonts w:ascii="Tahoma" w:hAnsi="Tahoma" w:cs="Tahoma"/>
        </w:rPr>
        <w:t xml:space="preserve">to be </w:t>
      </w:r>
      <w:r w:rsidR="00032547">
        <w:rPr>
          <w:rFonts w:ascii="Tahoma" w:hAnsi="Tahoma" w:cs="Tahoma"/>
        </w:rPr>
        <w:t xml:space="preserve">proportionate </w:t>
      </w:r>
      <w:r w:rsidR="00D02FEE">
        <w:rPr>
          <w:rFonts w:ascii="Tahoma" w:hAnsi="Tahoma" w:cs="Tahoma"/>
        </w:rPr>
        <w:t xml:space="preserve">to </w:t>
      </w:r>
      <w:r w:rsidR="00BE3635" w:rsidRPr="00BE3635">
        <w:rPr>
          <w:rFonts w:ascii="Tahoma" w:hAnsi="Tahoma" w:cs="Tahoma"/>
        </w:rPr>
        <w:t>the earnings premium associated with a degree-level education.</w:t>
      </w:r>
    </w:p>
    <w:p w:rsidR="00F51D4A" w:rsidRDefault="00F51D4A" w:rsidP="00E24148">
      <w:pPr>
        <w:spacing w:after="0" w:line="360" w:lineRule="auto"/>
        <w:rPr>
          <w:rFonts w:ascii="Tahoma" w:hAnsi="Tahoma" w:cs="Tahoma"/>
        </w:rPr>
      </w:pPr>
    </w:p>
    <w:p w:rsidR="00F51D4A" w:rsidRPr="009E2090" w:rsidRDefault="00F51D4A" w:rsidP="00E24148">
      <w:pPr>
        <w:spacing w:after="0" w:line="360" w:lineRule="auto"/>
        <w:rPr>
          <w:rFonts w:ascii="Tahoma" w:hAnsi="Tahoma" w:cs="Tahoma"/>
          <w:b/>
          <w:i/>
          <w:sz w:val="24"/>
        </w:rPr>
      </w:pPr>
      <w:r w:rsidRPr="009E2090">
        <w:rPr>
          <w:rFonts w:ascii="Tahoma" w:hAnsi="Tahoma" w:cs="Tahoma"/>
          <w:b/>
          <w:i/>
          <w:sz w:val="24"/>
        </w:rPr>
        <w:t>Progressi</w:t>
      </w:r>
      <w:r w:rsidR="008B3D74" w:rsidRPr="009E2090">
        <w:rPr>
          <w:rFonts w:ascii="Tahoma" w:hAnsi="Tahoma" w:cs="Tahoma"/>
          <w:b/>
          <w:i/>
          <w:sz w:val="24"/>
        </w:rPr>
        <w:t>on</w:t>
      </w:r>
      <w:r w:rsidRPr="009E2090">
        <w:rPr>
          <w:rFonts w:ascii="Tahoma" w:hAnsi="Tahoma" w:cs="Tahoma"/>
          <w:b/>
          <w:i/>
          <w:sz w:val="24"/>
        </w:rPr>
        <w:t xml:space="preserve"> to a Foundation Degree is an Anxious Process and Many Barriers Exist</w:t>
      </w:r>
    </w:p>
    <w:p w:rsidR="008B3D74" w:rsidRDefault="00277A30" w:rsidP="00E24148">
      <w:pPr>
        <w:spacing w:after="0" w:line="360" w:lineRule="auto"/>
        <w:rPr>
          <w:rFonts w:ascii="Tahoma" w:hAnsi="Tahoma" w:cs="Tahoma"/>
        </w:rPr>
      </w:pPr>
      <w:r>
        <w:rPr>
          <w:rFonts w:ascii="Tahoma" w:hAnsi="Tahoma" w:cs="Tahoma"/>
        </w:rPr>
        <w:t xml:space="preserve">The findings identified that </w:t>
      </w:r>
      <w:r w:rsidR="00286022">
        <w:rPr>
          <w:rFonts w:ascii="Tahoma" w:hAnsi="Tahoma" w:cs="Tahoma"/>
        </w:rPr>
        <w:t xml:space="preserve">there were </w:t>
      </w:r>
      <w:r w:rsidR="00E54D94">
        <w:rPr>
          <w:rFonts w:ascii="Tahoma" w:hAnsi="Tahoma" w:cs="Tahoma"/>
        </w:rPr>
        <w:t xml:space="preserve">feelings of nerves, worry and apprehension </w:t>
      </w:r>
      <w:r w:rsidR="00286022">
        <w:rPr>
          <w:rFonts w:ascii="Tahoma" w:hAnsi="Tahoma" w:cs="Tahoma"/>
        </w:rPr>
        <w:t xml:space="preserve">associated </w:t>
      </w:r>
      <w:r w:rsidR="00E54D94">
        <w:rPr>
          <w:rFonts w:ascii="Tahoma" w:hAnsi="Tahoma" w:cs="Tahoma"/>
        </w:rPr>
        <w:t>with students’ decision</w:t>
      </w:r>
      <w:r w:rsidR="004D6D88">
        <w:rPr>
          <w:rFonts w:ascii="Tahoma" w:hAnsi="Tahoma" w:cs="Tahoma"/>
        </w:rPr>
        <w:t xml:space="preserve"> to study a FD degree. </w:t>
      </w:r>
      <w:r w:rsidR="00883C9B">
        <w:rPr>
          <w:rFonts w:ascii="Tahoma" w:hAnsi="Tahoma" w:cs="Tahoma"/>
        </w:rPr>
        <w:t xml:space="preserve">Students spoke of specific anxieties surrounding the transition to </w:t>
      </w:r>
      <w:r w:rsidR="002112E1">
        <w:rPr>
          <w:rFonts w:ascii="Tahoma" w:hAnsi="Tahoma" w:cs="Tahoma"/>
        </w:rPr>
        <w:t>degree-level education:</w:t>
      </w:r>
    </w:p>
    <w:p w:rsidR="002112E1" w:rsidRDefault="002112E1" w:rsidP="008916E0">
      <w:pPr>
        <w:spacing w:after="0" w:line="360" w:lineRule="auto"/>
        <w:jc w:val="both"/>
        <w:rPr>
          <w:rFonts w:ascii="Tahoma" w:hAnsi="Tahoma" w:cs="Tahoma"/>
        </w:rPr>
      </w:pPr>
    </w:p>
    <w:p w:rsidR="002112E1" w:rsidRDefault="002112E1" w:rsidP="000818F0">
      <w:pPr>
        <w:spacing w:after="0" w:line="240" w:lineRule="auto"/>
        <w:ind w:left="851" w:right="805"/>
        <w:jc w:val="both"/>
        <w:rPr>
          <w:rFonts w:ascii="Tahoma" w:hAnsi="Tahoma" w:cs="Tahoma"/>
        </w:rPr>
      </w:pPr>
      <w:r>
        <w:rPr>
          <w:rFonts w:ascii="Tahoma" w:hAnsi="Tahoma" w:cs="Tahoma"/>
        </w:rPr>
        <w:t>“</w:t>
      </w:r>
      <w:r w:rsidR="00422055">
        <w:rPr>
          <w:rFonts w:ascii="Tahoma" w:hAnsi="Tahoma" w:cs="Tahoma"/>
        </w:rPr>
        <w:t xml:space="preserve">I will stay here [at </w:t>
      </w:r>
      <w:r w:rsidR="00032547">
        <w:rPr>
          <w:rFonts w:ascii="Tahoma" w:hAnsi="Tahoma" w:cs="Tahoma"/>
        </w:rPr>
        <w:t>FEC</w:t>
      </w:r>
      <w:r w:rsidR="00422055">
        <w:rPr>
          <w:rFonts w:ascii="Tahoma" w:hAnsi="Tahoma" w:cs="Tahoma"/>
        </w:rPr>
        <w:t xml:space="preserve">] </w:t>
      </w:r>
      <w:r w:rsidR="00E43735">
        <w:rPr>
          <w:rFonts w:ascii="Tahoma" w:hAnsi="Tahoma" w:cs="Tahoma"/>
        </w:rPr>
        <w:t>to do my Foundation Degree because it is too big of a step to go to university</w:t>
      </w:r>
      <w:r w:rsidR="00F639AD">
        <w:rPr>
          <w:rFonts w:ascii="Tahoma" w:hAnsi="Tahoma" w:cs="Tahoma"/>
        </w:rPr>
        <w:t xml:space="preserve">… </w:t>
      </w:r>
      <w:r w:rsidR="00570C6E">
        <w:rPr>
          <w:rFonts w:ascii="Tahoma" w:hAnsi="Tahoma" w:cs="Tahoma"/>
        </w:rPr>
        <w:t xml:space="preserve">I know this place so why would I stress myself out with </w:t>
      </w:r>
      <w:r w:rsidR="00D364B4">
        <w:rPr>
          <w:rFonts w:ascii="Tahoma" w:hAnsi="Tahoma" w:cs="Tahoma"/>
        </w:rPr>
        <w:t>uni?</w:t>
      </w:r>
      <w:r w:rsidR="00870ECD">
        <w:rPr>
          <w:rFonts w:ascii="Tahoma" w:hAnsi="Tahoma" w:cs="Tahoma"/>
        </w:rPr>
        <w:t xml:space="preserve">... </w:t>
      </w:r>
      <w:r w:rsidR="00252F62">
        <w:rPr>
          <w:rFonts w:ascii="Tahoma" w:hAnsi="Tahoma" w:cs="Tahoma"/>
        </w:rPr>
        <w:t>S</w:t>
      </w:r>
      <w:r w:rsidR="00870ECD">
        <w:rPr>
          <w:rFonts w:ascii="Tahoma" w:hAnsi="Tahoma" w:cs="Tahoma"/>
        </w:rPr>
        <w:t xml:space="preserve">till </w:t>
      </w:r>
      <w:r w:rsidR="005C45FF">
        <w:rPr>
          <w:rFonts w:ascii="Tahoma" w:hAnsi="Tahoma" w:cs="Tahoma"/>
        </w:rPr>
        <w:t>worries me</w:t>
      </w:r>
      <w:r w:rsidR="00A8181C">
        <w:rPr>
          <w:rFonts w:ascii="Tahoma" w:hAnsi="Tahoma" w:cs="Tahoma"/>
        </w:rPr>
        <w:t xml:space="preserve"> </w:t>
      </w:r>
      <w:r w:rsidR="00870ECD">
        <w:rPr>
          <w:rFonts w:ascii="Tahoma" w:hAnsi="Tahoma" w:cs="Tahoma"/>
        </w:rPr>
        <w:t>though</w:t>
      </w:r>
      <w:r w:rsidR="00233104">
        <w:rPr>
          <w:rFonts w:ascii="Tahoma" w:hAnsi="Tahoma" w:cs="Tahoma"/>
        </w:rPr>
        <w:t>…</w:t>
      </w:r>
      <w:r>
        <w:rPr>
          <w:rFonts w:ascii="Tahoma" w:hAnsi="Tahoma" w:cs="Tahoma"/>
        </w:rPr>
        <w:t>”</w:t>
      </w:r>
    </w:p>
    <w:p w:rsidR="004503F4" w:rsidRDefault="004503F4" w:rsidP="000818F0">
      <w:pPr>
        <w:spacing w:after="0" w:line="240" w:lineRule="auto"/>
        <w:ind w:left="851" w:right="805"/>
        <w:jc w:val="both"/>
        <w:rPr>
          <w:rFonts w:ascii="Tahoma" w:hAnsi="Tahoma" w:cs="Tahoma"/>
        </w:rPr>
      </w:pPr>
    </w:p>
    <w:p w:rsidR="00C76895" w:rsidRDefault="002112E1" w:rsidP="000818F0">
      <w:pPr>
        <w:spacing w:after="0" w:line="240" w:lineRule="auto"/>
        <w:ind w:left="851" w:right="805"/>
        <w:jc w:val="both"/>
        <w:rPr>
          <w:rFonts w:ascii="Tahoma" w:hAnsi="Tahoma" w:cs="Tahoma"/>
        </w:rPr>
      </w:pPr>
      <w:r>
        <w:rPr>
          <w:rFonts w:ascii="Tahoma" w:hAnsi="Tahoma" w:cs="Tahoma"/>
        </w:rPr>
        <w:t>“</w:t>
      </w:r>
      <w:r w:rsidR="007363E0">
        <w:rPr>
          <w:rFonts w:ascii="Tahoma" w:hAnsi="Tahoma" w:cs="Tahoma"/>
        </w:rPr>
        <w:t>It is scary going on to a Foundation Degree</w:t>
      </w:r>
      <w:r w:rsidR="00DA7B12">
        <w:rPr>
          <w:rFonts w:ascii="Tahoma" w:hAnsi="Tahoma" w:cs="Tahoma"/>
        </w:rPr>
        <w:t>, I don’t know what is required of me</w:t>
      </w:r>
      <w:r w:rsidR="00797F68">
        <w:rPr>
          <w:rFonts w:ascii="Tahoma" w:hAnsi="Tahoma" w:cs="Tahoma"/>
        </w:rPr>
        <w:t xml:space="preserve">… </w:t>
      </w:r>
      <w:r w:rsidR="00DA7B12">
        <w:rPr>
          <w:rFonts w:ascii="Tahoma" w:hAnsi="Tahoma" w:cs="Tahoma"/>
        </w:rPr>
        <w:t>Will I be able to cope with the course</w:t>
      </w:r>
      <w:r w:rsidR="009F1085">
        <w:rPr>
          <w:rFonts w:ascii="Tahoma" w:hAnsi="Tahoma" w:cs="Tahoma"/>
        </w:rPr>
        <w:t xml:space="preserve"> [level]</w:t>
      </w:r>
      <w:r w:rsidR="00DA7B12">
        <w:rPr>
          <w:rFonts w:ascii="Tahoma" w:hAnsi="Tahoma" w:cs="Tahoma"/>
        </w:rPr>
        <w:t>?</w:t>
      </w:r>
      <w:r w:rsidR="00797F68">
        <w:rPr>
          <w:rFonts w:ascii="Tahoma" w:hAnsi="Tahoma" w:cs="Tahoma"/>
        </w:rPr>
        <w:t>...</w:t>
      </w:r>
      <w:r w:rsidR="00DA7B12">
        <w:rPr>
          <w:rFonts w:ascii="Tahoma" w:hAnsi="Tahoma" w:cs="Tahoma"/>
        </w:rPr>
        <w:t xml:space="preserve"> What if I fail?</w:t>
      </w:r>
      <w:r>
        <w:rPr>
          <w:rFonts w:ascii="Tahoma" w:hAnsi="Tahoma" w:cs="Tahoma"/>
        </w:rPr>
        <w:t>”</w:t>
      </w:r>
    </w:p>
    <w:p w:rsidR="00C76895" w:rsidRDefault="00C76895" w:rsidP="008916E0">
      <w:pPr>
        <w:spacing w:after="0" w:line="360" w:lineRule="auto"/>
        <w:jc w:val="both"/>
        <w:rPr>
          <w:rFonts w:ascii="Tahoma" w:hAnsi="Tahoma" w:cs="Tahoma"/>
        </w:rPr>
      </w:pPr>
    </w:p>
    <w:p w:rsidR="008F5D9D" w:rsidRDefault="004F4E25" w:rsidP="00675CE9">
      <w:pPr>
        <w:spacing w:line="360" w:lineRule="auto"/>
        <w:rPr>
          <w:rFonts w:ascii="Tahoma" w:hAnsi="Tahoma" w:cs="Tahoma"/>
        </w:rPr>
      </w:pPr>
      <w:r w:rsidRPr="004F4E25">
        <w:rPr>
          <w:rFonts w:ascii="Tahoma" w:hAnsi="Tahoma" w:cs="Tahoma"/>
        </w:rPr>
        <w:t>Gill</w:t>
      </w:r>
      <w:r w:rsidR="00C8555D" w:rsidRPr="004F4E25">
        <w:rPr>
          <w:rFonts w:ascii="Tahoma" w:hAnsi="Tahoma" w:cs="Tahoma"/>
        </w:rPr>
        <w:t>’s</w:t>
      </w:r>
      <w:r w:rsidR="0015558E" w:rsidRPr="004F4E25">
        <w:rPr>
          <w:rFonts w:ascii="Tahoma" w:hAnsi="Tahoma" w:cs="Tahoma"/>
        </w:rPr>
        <w:t xml:space="preserve"> (2017)</w:t>
      </w:r>
      <w:r w:rsidR="0015558E">
        <w:rPr>
          <w:rFonts w:ascii="Tahoma" w:hAnsi="Tahoma" w:cs="Tahoma"/>
        </w:rPr>
        <w:t xml:space="preserve"> research on the transition of students to </w:t>
      </w:r>
      <w:r w:rsidR="001D5C13">
        <w:rPr>
          <w:rFonts w:ascii="Tahoma" w:hAnsi="Tahoma" w:cs="Tahoma"/>
        </w:rPr>
        <w:t>a</w:t>
      </w:r>
      <w:r w:rsidR="00032547">
        <w:rPr>
          <w:rFonts w:ascii="Tahoma" w:hAnsi="Tahoma" w:cs="Tahoma"/>
        </w:rPr>
        <w:t>n</w:t>
      </w:r>
      <w:r w:rsidR="001D5C13">
        <w:rPr>
          <w:rFonts w:ascii="Tahoma" w:hAnsi="Tahoma" w:cs="Tahoma"/>
        </w:rPr>
        <w:t xml:space="preserve"> </w:t>
      </w:r>
      <w:r w:rsidR="0015558E">
        <w:rPr>
          <w:rFonts w:ascii="Tahoma" w:hAnsi="Tahoma" w:cs="Tahoma"/>
        </w:rPr>
        <w:t>HE</w:t>
      </w:r>
      <w:r w:rsidR="000B5771">
        <w:rPr>
          <w:rFonts w:ascii="Tahoma" w:hAnsi="Tahoma" w:cs="Tahoma"/>
        </w:rPr>
        <w:t xml:space="preserve">I </w:t>
      </w:r>
      <w:r w:rsidR="001D5C13">
        <w:rPr>
          <w:rFonts w:ascii="Tahoma" w:hAnsi="Tahoma" w:cs="Tahoma"/>
        </w:rPr>
        <w:t xml:space="preserve">from a FEC </w:t>
      </w:r>
      <w:r w:rsidR="000B5771">
        <w:rPr>
          <w:rFonts w:ascii="Tahoma" w:hAnsi="Tahoma" w:cs="Tahoma"/>
        </w:rPr>
        <w:t xml:space="preserve">found similar results, with students </w:t>
      </w:r>
      <w:r w:rsidR="001404BF">
        <w:rPr>
          <w:rFonts w:ascii="Tahoma" w:hAnsi="Tahoma" w:cs="Tahoma"/>
        </w:rPr>
        <w:t xml:space="preserve">deeming the process of transitioning to </w:t>
      </w:r>
      <w:r w:rsidR="00034B35">
        <w:rPr>
          <w:rFonts w:ascii="Tahoma" w:hAnsi="Tahoma" w:cs="Tahoma"/>
        </w:rPr>
        <w:t>HE</w:t>
      </w:r>
      <w:r w:rsidR="001404BF">
        <w:rPr>
          <w:rFonts w:ascii="Tahoma" w:hAnsi="Tahoma" w:cs="Tahoma"/>
        </w:rPr>
        <w:t xml:space="preserve"> as an anxious process. </w:t>
      </w:r>
      <w:r w:rsidR="007C1F2E">
        <w:rPr>
          <w:rFonts w:ascii="Tahoma" w:hAnsi="Tahoma" w:cs="Tahoma"/>
        </w:rPr>
        <w:t>It appears that</w:t>
      </w:r>
      <w:r w:rsidR="00A8181C">
        <w:rPr>
          <w:rFonts w:ascii="Tahoma" w:hAnsi="Tahoma" w:cs="Tahoma"/>
        </w:rPr>
        <w:t xml:space="preserve"> </w:t>
      </w:r>
      <w:r w:rsidR="00ED12C9">
        <w:rPr>
          <w:rFonts w:ascii="Tahoma" w:hAnsi="Tahoma" w:cs="Tahoma"/>
        </w:rPr>
        <w:t xml:space="preserve">regardless of </w:t>
      </w:r>
      <w:r w:rsidR="0040601E">
        <w:rPr>
          <w:rFonts w:ascii="Tahoma" w:hAnsi="Tahoma" w:cs="Tahoma"/>
        </w:rPr>
        <w:t xml:space="preserve">whether the students are progressing to </w:t>
      </w:r>
      <w:r w:rsidR="00987203">
        <w:rPr>
          <w:rFonts w:ascii="Tahoma" w:hAnsi="Tahoma" w:cs="Tahoma"/>
        </w:rPr>
        <w:t>a</w:t>
      </w:r>
      <w:r w:rsidR="00032547">
        <w:rPr>
          <w:rFonts w:ascii="Tahoma" w:hAnsi="Tahoma" w:cs="Tahoma"/>
        </w:rPr>
        <w:t>n HEI</w:t>
      </w:r>
      <w:r w:rsidR="0040601E">
        <w:rPr>
          <w:rFonts w:ascii="Tahoma" w:hAnsi="Tahoma" w:cs="Tahoma"/>
        </w:rPr>
        <w:t xml:space="preserve"> or not</w:t>
      </w:r>
      <w:r w:rsidR="00ED12C9">
        <w:rPr>
          <w:rFonts w:ascii="Tahoma" w:hAnsi="Tahoma" w:cs="Tahoma"/>
        </w:rPr>
        <w:t xml:space="preserve">, </w:t>
      </w:r>
      <w:r w:rsidR="00C5082D">
        <w:rPr>
          <w:rFonts w:ascii="Tahoma" w:hAnsi="Tahoma" w:cs="Tahoma"/>
        </w:rPr>
        <w:t xml:space="preserve">the thought of progressing </w:t>
      </w:r>
      <w:r w:rsidR="00ED12C9">
        <w:rPr>
          <w:rFonts w:ascii="Tahoma" w:hAnsi="Tahoma" w:cs="Tahoma"/>
        </w:rPr>
        <w:t xml:space="preserve">to a new course at a higher academic level </w:t>
      </w:r>
      <w:r w:rsidR="00C5384A">
        <w:rPr>
          <w:rFonts w:ascii="Tahoma" w:hAnsi="Tahoma" w:cs="Tahoma"/>
        </w:rPr>
        <w:t>generates its own anxiety</w:t>
      </w:r>
      <w:r w:rsidR="00C5082D">
        <w:rPr>
          <w:rFonts w:ascii="Tahoma" w:hAnsi="Tahoma" w:cs="Tahoma"/>
        </w:rPr>
        <w:t>.</w:t>
      </w:r>
      <w:r w:rsidR="00A8181C">
        <w:rPr>
          <w:rFonts w:ascii="Tahoma" w:hAnsi="Tahoma" w:cs="Tahoma"/>
        </w:rPr>
        <w:t xml:space="preserve"> </w:t>
      </w:r>
      <w:r w:rsidR="002A5496" w:rsidRPr="002A5496">
        <w:rPr>
          <w:rFonts w:ascii="Tahoma" w:hAnsi="Tahoma" w:cs="Tahoma"/>
        </w:rPr>
        <w:t xml:space="preserve">Pinheiro (2004) believes that </w:t>
      </w:r>
      <w:r w:rsidR="00F567D1">
        <w:rPr>
          <w:rFonts w:ascii="Tahoma" w:hAnsi="Tahoma" w:cs="Tahoma"/>
        </w:rPr>
        <w:t xml:space="preserve">the </w:t>
      </w:r>
      <w:r w:rsidR="002A5496" w:rsidRPr="002A5496">
        <w:rPr>
          <w:rFonts w:ascii="Tahoma" w:hAnsi="Tahoma" w:cs="Tahoma"/>
        </w:rPr>
        <w:t>transition to HE</w:t>
      </w:r>
      <w:r w:rsidR="00F567D1">
        <w:rPr>
          <w:rFonts w:ascii="Tahoma" w:hAnsi="Tahoma" w:cs="Tahoma"/>
        </w:rPr>
        <w:t xml:space="preserve"> level education</w:t>
      </w:r>
      <w:r w:rsidR="002A5496" w:rsidRPr="002A5496">
        <w:rPr>
          <w:rFonts w:ascii="Tahoma" w:hAnsi="Tahoma" w:cs="Tahoma"/>
        </w:rPr>
        <w:t xml:space="preserve"> is a difficult process because of the simultaneous educational, ecological and developmental changes faced by students.</w:t>
      </w:r>
      <w:r w:rsidR="008057B7">
        <w:rPr>
          <w:rFonts w:ascii="Tahoma" w:hAnsi="Tahoma" w:cs="Tahoma"/>
        </w:rPr>
        <w:t xml:space="preserve"> This </w:t>
      </w:r>
      <w:r w:rsidR="00987203">
        <w:rPr>
          <w:rFonts w:ascii="Tahoma" w:hAnsi="Tahoma" w:cs="Tahoma"/>
        </w:rPr>
        <w:t>may have been</w:t>
      </w:r>
      <w:r w:rsidR="009A7CD6">
        <w:rPr>
          <w:rFonts w:ascii="Tahoma" w:hAnsi="Tahoma" w:cs="Tahoma"/>
        </w:rPr>
        <w:t xml:space="preserve"> evident in</w:t>
      </w:r>
      <w:r w:rsidR="008057B7">
        <w:rPr>
          <w:rFonts w:ascii="Tahoma" w:hAnsi="Tahoma" w:cs="Tahoma"/>
        </w:rPr>
        <w:t xml:space="preserve"> the </w:t>
      </w:r>
      <w:r w:rsidR="0032221D">
        <w:rPr>
          <w:rFonts w:ascii="Tahoma" w:hAnsi="Tahoma" w:cs="Tahoma"/>
        </w:rPr>
        <w:t>findings, where the first order theme</w:t>
      </w:r>
      <w:r w:rsidR="00A8181C">
        <w:rPr>
          <w:rFonts w:ascii="Tahoma" w:hAnsi="Tahoma" w:cs="Tahoma"/>
        </w:rPr>
        <w:t xml:space="preserve"> </w:t>
      </w:r>
      <w:r w:rsidR="009A7CD6">
        <w:rPr>
          <w:rFonts w:ascii="Tahoma" w:hAnsi="Tahoma" w:cs="Tahoma"/>
        </w:rPr>
        <w:t xml:space="preserve">of </w:t>
      </w:r>
      <w:r w:rsidR="00107FDC">
        <w:rPr>
          <w:rFonts w:ascii="Tahoma" w:hAnsi="Tahoma" w:cs="Tahoma"/>
        </w:rPr>
        <w:t>‘F</w:t>
      </w:r>
      <w:r w:rsidR="00EF5DC1">
        <w:rPr>
          <w:rFonts w:ascii="Tahoma" w:hAnsi="Tahoma" w:cs="Tahoma"/>
        </w:rPr>
        <w:t xml:space="preserve">ears </w:t>
      </w:r>
      <w:r w:rsidR="00107FDC">
        <w:rPr>
          <w:rFonts w:ascii="Tahoma" w:hAnsi="Tahoma" w:cs="Tahoma"/>
        </w:rPr>
        <w:t>S</w:t>
      </w:r>
      <w:r w:rsidR="00EF5DC1">
        <w:rPr>
          <w:rFonts w:ascii="Tahoma" w:hAnsi="Tahoma" w:cs="Tahoma"/>
        </w:rPr>
        <w:t xml:space="preserve">urrounding the </w:t>
      </w:r>
      <w:r w:rsidR="00107FDC">
        <w:rPr>
          <w:rFonts w:ascii="Tahoma" w:hAnsi="Tahoma" w:cs="Tahoma"/>
        </w:rPr>
        <w:t>N</w:t>
      </w:r>
      <w:r w:rsidR="00EF5DC1">
        <w:rPr>
          <w:rFonts w:ascii="Tahoma" w:hAnsi="Tahoma" w:cs="Tahoma"/>
        </w:rPr>
        <w:t xml:space="preserve">ext </w:t>
      </w:r>
      <w:r w:rsidR="00107FDC">
        <w:rPr>
          <w:rFonts w:ascii="Tahoma" w:hAnsi="Tahoma" w:cs="Tahoma"/>
        </w:rPr>
        <w:t>L</w:t>
      </w:r>
      <w:r w:rsidR="00EF5DC1">
        <w:rPr>
          <w:rFonts w:ascii="Tahoma" w:hAnsi="Tahoma" w:cs="Tahoma"/>
        </w:rPr>
        <w:t xml:space="preserve">evel of </w:t>
      </w:r>
      <w:r w:rsidR="00107FDC">
        <w:rPr>
          <w:rFonts w:ascii="Tahoma" w:hAnsi="Tahoma" w:cs="Tahoma"/>
        </w:rPr>
        <w:t>S</w:t>
      </w:r>
      <w:r w:rsidR="00EF5DC1">
        <w:rPr>
          <w:rFonts w:ascii="Tahoma" w:hAnsi="Tahoma" w:cs="Tahoma"/>
        </w:rPr>
        <w:t>tudy</w:t>
      </w:r>
      <w:r w:rsidR="00107FDC">
        <w:rPr>
          <w:rFonts w:ascii="Tahoma" w:hAnsi="Tahoma" w:cs="Tahoma"/>
        </w:rPr>
        <w:t xml:space="preserve">’ encompassed the largest number of </w:t>
      </w:r>
      <w:r w:rsidR="00741E77">
        <w:rPr>
          <w:rFonts w:ascii="Tahoma" w:hAnsi="Tahoma" w:cs="Tahoma"/>
        </w:rPr>
        <w:t>data-codes (n=13) of any</w:t>
      </w:r>
      <w:r w:rsidR="00536078">
        <w:rPr>
          <w:rFonts w:ascii="Tahoma" w:hAnsi="Tahoma" w:cs="Tahoma"/>
        </w:rPr>
        <w:t xml:space="preserve"> emerging theme.</w:t>
      </w:r>
      <w:bookmarkStart w:id="1" w:name="_Hlk526168128"/>
    </w:p>
    <w:p w:rsidR="001652E9" w:rsidRDefault="000B5E2F" w:rsidP="00E24148">
      <w:pPr>
        <w:spacing w:after="0" w:line="360" w:lineRule="auto"/>
        <w:rPr>
          <w:rFonts w:ascii="Tahoma" w:hAnsi="Tahoma" w:cs="Tahoma"/>
        </w:rPr>
      </w:pPr>
      <w:r w:rsidRPr="00AC60B2">
        <w:rPr>
          <w:rFonts w:ascii="Tahoma" w:hAnsi="Tahoma" w:cs="Tahoma"/>
        </w:rPr>
        <w:t xml:space="preserve">A source </w:t>
      </w:r>
      <w:r w:rsidR="000D643D" w:rsidRPr="00AC60B2">
        <w:rPr>
          <w:rFonts w:ascii="Tahoma" w:hAnsi="Tahoma" w:cs="Tahoma"/>
        </w:rPr>
        <w:t xml:space="preserve">of anxiety for students was the </w:t>
      </w:r>
      <w:r w:rsidR="00B06C2A" w:rsidRPr="00AC60B2">
        <w:rPr>
          <w:rFonts w:ascii="Tahoma" w:hAnsi="Tahoma" w:cs="Tahoma"/>
        </w:rPr>
        <w:t>perception that</w:t>
      </w:r>
      <w:r w:rsidR="00A8181C" w:rsidRPr="00AC60B2">
        <w:rPr>
          <w:rFonts w:ascii="Tahoma" w:hAnsi="Tahoma" w:cs="Tahoma"/>
        </w:rPr>
        <w:t xml:space="preserve"> </w:t>
      </w:r>
      <w:r w:rsidR="006A3585" w:rsidRPr="00AC60B2">
        <w:rPr>
          <w:rFonts w:ascii="Tahoma" w:hAnsi="Tahoma" w:cs="Tahoma"/>
        </w:rPr>
        <w:t xml:space="preserve">transition to an </w:t>
      </w:r>
      <w:r w:rsidR="00FE169A" w:rsidRPr="00AC60B2">
        <w:rPr>
          <w:rFonts w:ascii="Tahoma" w:hAnsi="Tahoma" w:cs="Tahoma"/>
        </w:rPr>
        <w:t>aca</w:t>
      </w:r>
      <w:r w:rsidR="005E3C6A" w:rsidRPr="00AC60B2">
        <w:rPr>
          <w:rFonts w:ascii="Tahoma" w:hAnsi="Tahoma" w:cs="Tahoma"/>
        </w:rPr>
        <w:t>demic</w:t>
      </w:r>
      <w:r w:rsidR="00A8181C">
        <w:rPr>
          <w:rFonts w:ascii="Tahoma" w:hAnsi="Tahoma" w:cs="Tahoma"/>
        </w:rPr>
        <w:t xml:space="preserve"> </w:t>
      </w:r>
      <w:r w:rsidR="006A3585">
        <w:rPr>
          <w:rFonts w:ascii="Tahoma" w:hAnsi="Tahoma" w:cs="Tahoma"/>
        </w:rPr>
        <w:t xml:space="preserve">course </w:t>
      </w:r>
      <w:r w:rsidR="008850E6">
        <w:rPr>
          <w:rFonts w:ascii="Tahoma" w:hAnsi="Tahoma" w:cs="Tahoma"/>
        </w:rPr>
        <w:t xml:space="preserve">at a higher academic level </w:t>
      </w:r>
      <w:r w:rsidR="00B06C2A">
        <w:rPr>
          <w:rFonts w:ascii="Tahoma" w:hAnsi="Tahoma" w:cs="Tahoma"/>
        </w:rPr>
        <w:t xml:space="preserve">would result in </w:t>
      </w:r>
      <w:r w:rsidR="0043516F">
        <w:rPr>
          <w:rFonts w:ascii="Tahoma" w:hAnsi="Tahoma" w:cs="Tahoma"/>
        </w:rPr>
        <w:t>increase</w:t>
      </w:r>
      <w:r w:rsidR="00AC60B2">
        <w:rPr>
          <w:rFonts w:ascii="Tahoma" w:hAnsi="Tahoma" w:cs="Tahoma"/>
        </w:rPr>
        <w:t>d</w:t>
      </w:r>
      <w:r w:rsidR="0043516F">
        <w:rPr>
          <w:rFonts w:ascii="Tahoma" w:hAnsi="Tahoma" w:cs="Tahoma"/>
        </w:rPr>
        <w:t xml:space="preserve"> workload</w:t>
      </w:r>
      <w:r w:rsidR="00245DD9">
        <w:rPr>
          <w:rFonts w:ascii="Tahoma" w:hAnsi="Tahoma" w:cs="Tahoma"/>
        </w:rPr>
        <w:t>. S</w:t>
      </w:r>
      <w:r w:rsidR="000C5534">
        <w:rPr>
          <w:rFonts w:ascii="Tahoma" w:hAnsi="Tahoma" w:cs="Tahoma"/>
        </w:rPr>
        <w:t>pecific academic skills, s</w:t>
      </w:r>
      <w:r w:rsidR="00407B64">
        <w:rPr>
          <w:rFonts w:ascii="Tahoma" w:hAnsi="Tahoma" w:cs="Tahoma"/>
        </w:rPr>
        <w:t>uch as referencing, reading and writing</w:t>
      </w:r>
      <w:r w:rsidR="00B76190">
        <w:rPr>
          <w:rFonts w:ascii="Tahoma" w:hAnsi="Tahoma" w:cs="Tahoma"/>
        </w:rPr>
        <w:t xml:space="preserve"> were </w:t>
      </w:r>
      <w:r w:rsidR="008F5D9D">
        <w:rPr>
          <w:rFonts w:ascii="Tahoma" w:hAnsi="Tahoma" w:cs="Tahoma"/>
        </w:rPr>
        <w:t xml:space="preserve">also </w:t>
      </w:r>
      <w:r w:rsidR="00AC60B2">
        <w:rPr>
          <w:rFonts w:ascii="Tahoma" w:hAnsi="Tahoma" w:cs="Tahoma"/>
        </w:rPr>
        <w:t xml:space="preserve">a </w:t>
      </w:r>
      <w:r w:rsidR="00B76190">
        <w:rPr>
          <w:rFonts w:ascii="Tahoma" w:hAnsi="Tahoma" w:cs="Tahoma"/>
        </w:rPr>
        <w:t>cause for concern</w:t>
      </w:r>
      <w:r w:rsidR="003718A4">
        <w:rPr>
          <w:rFonts w:ascii="Tahoma" w:hAnsi="Tahoma" w:cs="Tahoma"/>
        </w:rPr>
        <w:t>.</w:t>
      </w:r>
      <w:bookmarkEnd w:id="1"/>
      <w:r w:rsidR="00A8181C">
        <w:rPr>
          <w:rFonts w:ascii="Tahoma" w:hAnsi="Tahoma" w:cs="Tahoma"/>
        </w:rPr>
        <w:t xml:space="preserve"> </w:t>
      </w:r>
      <w:r w:rsidR="00D93CA8">
        <w:rPr>
          <w:rFonts w:ascii="Tahoma" w:hAnsi="Tahoma" w:cs="Tahoma"/>
        </w:rPr>
        <w:t>A student noted</w:t>
      </w:r>
      <w:r w:rsidR="00032547">
        <w:rPr>
          <w:rFonts w:ascii="Tahoma" w:hAnsi="Tahoma" w:cs="Tahoma"/>
        </w:rPr>
        <w:t>:</w:t>
      </w:r>
    </w:p>
    <w:p w:rsidR="00D93CA8" w:rsidRDefault="00D93CA8" w:rsidP="008916E0">
      <w:pPr>
        <w:spacing w:after="0" w:line="360" w:lineRule="auto"/>
        <w:jc w:val="both"/>
        <w:rPr>
          <w:rFonts w:ascii="Tahoma" w:hAnsi="Tahoma" w:cs="Tahoma"/>
        </w:rPr>
      </w:pPr>
    </w:p>
    <w:p w:rsidR="00D93CA8" w:rsidRDefault="00D93CA8" w:rsidP="000818F0">
      <w:pPr>
        <w:spacing w:after="0" w:line="240" w:lineRule="auto"/>
        <w:ind w:left="851" w:right="805"/>
        <w:jc w:val="both"/>
        <w:rPr>
          <w:rFonts w:ascii="Tahoma" w:hAnsi="Tahoma" w:cs="Tahoma"/>
        </w:rPr>
      </w:pPr>
      <w:r>
        <w:rPr>
          <w:rFonts w:ascii="Tahoma" w:hAnsi="Tahoma" w:cs="Tahoma"/>
        </w:rPr>
        <w:t>“I hope that its not as hard as I think</w:t>
      </w:r>
      <w:r w:rsidR="00040A50">
        <w:rPr>
          <w:rFonts w:ascii="Tahoma" w:hAnsi="Tahoma" w:cs="Tahoma"/>
        </w:rPr>
        <w:t>… I’m not great at writing</w:t>
      </w:r>
      <w:r w:rsidR="00D862C6">
        <w:rPr>
          <w:rFonts w:ascii="Tahoma" w:hAnsi="Tahoma" w:cs="Tahoma"/>
        </w:rPr>
        <w:t xml:space="preserve"> [academically] </w:t>
      </w:r>
      <w:r w:rsidR="00040A50">
        <w:rPr>
          <w:rFonts w:ascii="Tahoma" w:hAnsi="Tahoma" w:cs="Tahoma"/>
        </w:rPr>
        <w:t xml:space="preserve">and </w:t>
      </w:r>
      <w:r w:rsidR="0019628A">
        <w:rPr>
          <w:rFonts w:ascii="Tahoma" w:hAnsi="Tahoma" w:cs="Tahoma"/>
        </w:rPr>
        <w:t>I’ve</w:t>
      </w:r>
      <w:r w:rsidR="00040A50">
        <w:rPr>
          <w:rFonts w:ascii="Tahoma" w:hAnsi="Tahoma" w:cs="Tahoma"/>
        </w:rPr>
        <w:t xml:space="preserve"> never </w:t>
      </w:r>
      <w:r w:rsidR="0019628A">
        <w:rPr>
          <w:rFonts w:ascii="Tahoma" w:hAnsi="Tahoma" w:cs="Tahoma"/>
        </w:rPr>
        <w:t xml:space="preserve">referenced anything that hasn’t been copied and pasted from the </w:t>
      </w:r>
      <w:r w:rsidR="00E308C1">
        <w:rPr>
          <w:rFonts w:ascii="Tahoma" w:hAnsi="Tahoma" w:cs="Tahoma"/>
        </w:rPr>
        <w:t>‘</w:t>
      </w:r>
      <w:r w:rsidR="0019628A">
        <w:rPr>
          <w:rFonts w:ascii="Tahoma" w:hAnsi="Tahoma" w:cs="Tahoma"/>
        </w:rPr>
        <w:t>net</w:t>
      </w:r>
      <w:r w:rsidR="00032547">
        <w:rPr>
          <w:rFonts w:ascii="Tahoma" w:hAnsi="Tahoma" w:cs="Tahoma"/>
        </w:rPr>
        <w:t>’.</w:t>
      </w:r>
      <w:r w:rsidR="0019628A">
        <w:rPr>
          <w:rFonts w:ascii="Tahoma" w:hAnsi="Tahoma" w:cs="Tahoma"/>
        </w:rPr>
        <w:t>”</w:t>
      </w:r>
    </w:p>
    <w:p w:rsidR="001652E9" w:rsidRDefault="001652E9" w:rsidP="008916E0">
      <w:pPr>
        <w:spacing w:after="0" w:line="360" w:lineRule="auto"/>
        <w:jc w:val="both"/>
        <w:rPr>
          <w:rFonts w:ascii="Tahoma" w:hAnsi="Tahoma" w:cs="Tahoma"/>
        </w:rPr>
      </w:pPr>
    </w:p>
    <w:p w:rsidR="00103435" w:rsidRDefault="00133770" w:rsidP="00E24148">
      <w:pPr>
        <w:spacing w:after="0" w:line="360" w:lineRule="auto"/>
        <w:rPr>
          <w:rFonts w:ascii="Tahoma" w:hAnsi="Tahoma" w:cs="Tahoma"/>
        </w:rPr>
      </w:pPr>
      <w:r>
        <w:rPr>
          <w:rFonts w:ascii="Tahoma" w:hAnsi="Tahoma" w:cs="Tahoma"/>
        </w:rPr>
        <w:t xml:space="preserve">These findings are </w:t>
      </w:r>
      <w:r w:rsidR="00FA10AE">
        <w:rPr>
          <w:rFonts w:ascii="Tahoma" w:hAnsi="Tahoma" w:cs="Tahoma"/>
        </w:rPr>
        <w:t>similar</w:t>
      </w:r>
      <w:r w:rsidR="00A8181C">
        <w:rPr>
          <w:rFonts w:ascii="Tahoma" w:hAnsi="Tahoma" w:cs="Tahoma"/>
        </w:rPr>
        <w:t xml:space="preserve"> </w:t>
      </w:r>
      <w:r w:rsidR="00FA10AE">
        <w:rPr>
          <w:rFonts w:ascii="Tahoma" w:hAnsi="Tahoma" w:cs="Tahoma"/>
        </w:rPr>
        <w:t>to</w:t>
      </w:r>
      <w:r w:rsidR="00A8181C">
        <w:rPr>
          <w:rFonts w:ascii="Tahoma" w:hAnsi="Tahoma" w:cs="Tahoma"/>
        </w:rPr>
        <w:t xml:space="preserve"> </w:t>
      </w:r>
      <w:r w:rsidR="00E85118">
        <w:rPr>
          <w:rFonts w:ascii="Tahoma" w:hAnsi="Tahoma" w:cs="Tahoma"/>
        </w:rPr>
        <w:t xml:space="preserve">those of </w:t>
      </w:r>
      <w:r w:rsidR="004F4E25" w:rsidRPr="004F4E25">
        <w:rPr>
          <w:rFonts w:ascii="Tahoma" w:hAnsi="Tahoma" w:cs="Tahoma"/>
        </w:rPr>
        <w:t>Gill</w:t>
      </w:r>
      <w:r w:rsidRPr="004F4E25">
        <w:rPr>
          <w:rFonts w:ascii="Tahoma" w:hAnsi="Tahoma" w:cs="Tahoma"/>
        </w:rPr>
        <w:t xml:space="preserve"> (2018)</w:t>
      </w:r>
      <w:r w:rsidR="00B10B86">
        <w:rPr>
          <w:rFonts w:ascii="Tahoma" w:hAnsi="Tahoma" w:cs="Tahoma"/>
        </w:rPr>
        <w:t xml:space="preserve"> </w:t>
      </w:r>
      <w:r w:rsidR="00CF6505">
        <w:rPr>
          <w:rFonts w:ascii="Tahoma" w:hAnsi="Tahoma" w:cs="Tahoma"/>
        </w:rPr>
        <w:t>where students were anxious about the increase in academ</w:t>
      </w:r>
      <w:r w:rsidR="006C18A0">
        <w:rPr>
          <w:rFonts w:ascii="Tahoma" w:hAnsi="Tahoma" w:cs="Tahoma"/>
        </w:rPr>
        <w:t>ic</w:t>
      </w:r>
      <w:r w:rsidR="00CF6505">
        <w:rPr>
          <w:rFonts w:ascii="Tahoma" w:hAnsi="Tahoma" w:cs="Tahoma"/>
        </w:rPr>
        <w:t xml:space="preserve"> level and the </w:t>
      </w:r>
      <w:r w:rsidR="006C18A0">
        <w:rPr>
          <w:rFonts w:ascii="Tahoma" w:hAnsi="Tahoma" w:cs="Tahoma"/>
        </w:rPr>
        <w:t xml:space="preserve">strict </w:t>
      </w:r>
      <w:r w:rsidR="00CF6505">
        <w:rPr>
          <w:rFonts w:ascii="Tahoma" w:hAnsi="Tahoma" w:cs="Tahoma"/>
        </w:rPr>
        <w:t xml:space="preserve">academic </w:t>
      </w:r>
      <w:r w:rsidR="0034518A">
        <w:rPr>
          <w:rFonts w:ascii="Tahoma" w:hAnsi="Tahoma" w:cs="Tahoma"/>
        </w:rPr>
        <w:t xml:space="preserve">policies and </w:t>
      </w:r>
      <w:r w:rsidR="00CD3340">
        <w:rPr>
          <w:rFonts w:ascii="Tahoma" w:hAnsi="Tahoma" w:cs="Tahoma"/>
        </w:rPr>
        <w:t>regulations</w:t>
      </w:r>
      <w:r w:rsidR="0034518A">
        <w:rPr>
          <w:rFonts w:ascii="Tahoma" w:hAnsi="Tahoma" w:cs="Tahoma"/>
        </w:rPr>
        <w:t xml:space="preserve"> that </w:t>
      </w:r>
      <w:r w:rsidR="0034518A" w:rsidRPr="0044196B">
        <w:rPr>
          <w:rFonts w:ascii="Tahoma" w:hAnsi="Tahoma" w:cs="Tahoma"/>
        </w:rPr>
        <w:t>govern</w:t>
      </w:r>
      <w:r w:rsidR="007608F0" w:rsidRPr="0044196B">
        <w:rPr>
          <w:rFonts w:ascii="Tahoma" w:hAnsi="Tahoma" w:cs="Tahoma"/>
        </w:rPr>
        <w:t xml:space="preserve"> HE</w:t>
      </w:r>
      <w:r w:rsidR="007C54DB" w:rsidRPr="0044196B">
        <w:rPr>
          <w:rFonts w:ascii="Tahoma" w:hAnsi="Tahoma" w:cs="Tahoma"/>
        </w:rPr>
        <w:t>,</w:t>
      </w:r>
      <w:r w:rsidR="007608F0" w:rsidRPr="0044196B">
        <w:rPr>
          <w:rFonts w:ascii="Tahoma" w:hAnsi="Tahoma" w:cs="Tahoma"/>
        </w:rPr>
        <w:t xml:space="preserve"> </w:t>
      </w:r>
      <w:r w:rsidR="007C54DB" w:rsidRPr="0044196B">
        <w:rPr>
          <w:rFonts w:ascii="Tahoma" w:hAnsi="Tahoma" w:cs="Tahoma"/>
        </w:rPr>
        <w:t xml:space="preserve">as well as </w:t>
      </w:r>
      <w:r w:rsidR="008900B6" w:rsidRPr="0044196B">
        <w:rPr>
          <w:rFonts w:ascii="Tahoma" w:hAnsi="Tahoma" w:cs="Tahoma"/>
        </w:rPr>
        <w:t>the</w:t>
      </w:r>
      <w:r w:rsidR="00A8181C" w:rsidRPr="0044196B">
        <w:rPr>
          <w:rFonts w:ascii="Tahoma" w:hAnsi="Tahoma" w:cs="Tahoma"/>
        </w:rPr>
        <w:t xml:space="preserve"> </w:t>
      </w:r>
      <w:r w:rsidR="007608F0" w:rsidRPr="0044196B">
        <w:rPr>
          <w:rFonts w:ascii="Tahoma" w:hAnsi="Tahoma" w:cs="Tahoma"/>
        </w:rPr>
        <w:t>assessment</w:t>
      </w:r>
      <w:r w:rsidR="008900B6" w:rsidRPr="0044196B">
        <w:rPr>
          <w:rFonts w:ascii="Tahoma" w:hAnsi="Tahoma" w:cs="Tahoma"/>
        </w:rPr>
        <w:t xml:space="preserve"> procedures</w:t>
      </w:r>
      <w:r w:rsidR="0034518A" w:rsidRPr="0044196B">
        <w:rPr>
          <w:rFonts w:ascii="Tahoma" w:hAnsi="Tahoma" w:cs="Tahoma"/>
        </w:rPr>
        <w:t xml:space="preserve">. </w:t>
      </w:r>
      <w:r w:rsidR="004C5285" w:rsidRPr="0044196B">
        <w:rPr>
          <w:rFonts w:ascii="Tahoma" w:hAnsi="Tahoma" w:cs="Tahoma"/>
        </w:rPr>
        <w:t>Both Christensen and Ey</w:t>
      </w:r>
      <w:r w:rsidR="00FF14EF" w:rsidRPr="0044196B">
        <w:rPr>
          <w:rFonts w:ascii="Tahoma" w:hAnsi="Tahoma" w:cs="Tahoma"/>
        </w:rPr>
        <w:t>r</w:t>
      </w:r>
      <w:r w:rsidR="004C5285" w:rsidRPr="0044196B">
        <w:rPr>
          <w:rFonts w:ascii="Tahoma" w:hAnsi="Tahoma" w:cs="Tahoma"/>
        </w:rPr>
        <w:t>ing</w:t>
      </w:r>
      <w:r w:rsidR="004C5285">
        <w:rPr>
          <w:rFonts w:ascii="Tahoma" w:hAnsi="Tahoma" w:cs="Tahoma"/>
        </w:rPr>
        <w:t xml:space="preserve"> (</w:t>
      </w:r>
      <w:r w:rsidR="00FF14EF">
        <w:rPr>
          <w:rFonts w:ascii="Tahoma" w:hAnsi="Tahoma" w:cs="Tahoma"/>
        </w:rPr>
        <w:t xml:space="preserve">2011) and </w:t>
      </w:r>
      <w:r w:rsidR="004F4E25" w:rsidRPr="004F4E25">
        <w:rPr>
          <w:rFonts w:ascii="Tahoma" w:hAnsi="Tahoma" w:cs="Tahoma"/>
        </w:rPr>
        <w:t>Gill</w:t>
      </w:r>
      <w:r w:rsidR="00FF14EF" w:rsidRPr="004F4E25">
        <w:rPr>
          <w:rFonts w:ascii="Tahoma" w:hAnsi="Tahoma" w:cs="Tahoma"/>
        </w:rPr>
        <w:t xml:space="preserve"> (2018)</w:t>
      </w:r>
      <w:r w:rsidR="00FF14EF">
        <w:rPr>
          <w:rFonts w:ascii="Tahoma" w:hAnsi="Tahoma" w:cs="Tahoma"/>
        </w:rPr>
        <w:t xml:space="preserve"> </w:t>
      </w:r>
      <w:r w:rsidR="00430140">
        <w:rPr>
          <w:rFonts w:ascii="Tahoma" w:hAnsi="Tahoma" w:cs="Tahoma"/>
        </w:rPr>
        <w:t xml:space="preserve">suggest </w:t>
      </w:r>
      <w:r w:rsidR="00830D49">
        <w:rPr>
          <w:rFonts w:ascii="Tahoma" w:hAnsi="Tahoma" w:cs="Tahoma"/>
        </w:rPr>
        <w:t>this phenomenon</w:t>
      </w:r>
      <w:r w:rsidR="003C6425">
        <w:rPr>
          <w:rFonts w:ascii="Tahoma" w:hAnsi="Tahoma" w:cs="Tahoma"/>
        </w:rPr>
        <w:t xml:space="preserve"> </w:t>
      </w:r>
      <w:r w:rsidR="00586BEE">
        <w:rPr>
          <w:rFonts w:ascii="Tahoma" w:hAnsi="Tahoma" w:cs="Tahoma"/>
        </w:rPr>
        <w:t xml:space="preserve">could be attributed to </w:t>
      </w:r>
      <w:r w:rsidR="00D365D0">
        <w:rPr>
          <w:rFonts w:ascii="Tahoma" w:hAnsi="Tahoma" w:cs="Tahoma"/>
        </w:rPr>
        <w:t xml:space="preserve">the changing standards of awarding bodies, with </w:t>
      </w:r>
      <w:r w:rsidR="00586BEE">
        <w:rPr>
          <w:rFonts w:ascii="Tahoma" w:hAnsi="Tahoma" w:cs="Tahoma"/>
        </w:rPr>
        <w:t xml:space="preserve">Pearson BTEC </w:t>
      </w:r>
      <w:r w:rsidR="00176258">
        <w:rPr>
          <w:rFonts w:ascii="Tahoma" w:hAnsi="Tahoma" w:cs="Tahoma"/>
        </w:rPr>
        <w:t xml:space="preserve">having their own set of </w:t>
      </w:r>
      <w:r w:rsidR="00516EBD">
        <w:rPr>
          <w:rFonts w:ascii="Tahoma" w:hAnsi="Tahoma" w:cs="Tahoma"/>
        </w:rPr>
        <w:t xml:space="preserve">vocational oriented </w:t>
      </w:r>
      <w:r w:rsidR="00176258">
        <w:rPr>
          <w:rFonts w:ascii="Tahoma" w:hAnsi="Tahoma" w:cs="Tahoma"/>
        </w:rPr>
        <w:t xml:space="preserve">standards and </w:t>
      </w:r>
      <w:r w:rsidR="00D25A63">
        <w:rPr>
          <w:rFonts w:ascii="Tahoma" w:hAnsi="Tahoma" w:cs="Tahoma"/>
        </w:rPr>
        <w:t>measures for educational performance and universities having their own</w:t>
      </w:r>
      <w:r w:rsidR="003C6425">
        <w:rPr>
          <w:rFonts w:ascii="Tahoma" w:hAnsi="Tahoma" w:cs="Tahoma"/>
        </w:rPr>
        <w:t xml:space="preserve"> </w:t>
      </w:r>
      <w:r w:rsidR="00AC60B2">
        <w:rPr>
          <w:rFonts w:ascii="Tahoma" w:hAnsi="Tahoma" w:cs="Tahoma"/>
        </w:rPr>
        <w:t xml:space="preserve">divergent </w:t>
      </w:r>
      <w:r w:rsidR="00516EBD">
        <w:rPr>
          <w:rFonts w:ascii="Tahoma" w:hAnsi="Tahoma" w:cs="Tahoma"/>
        </w:rPr>
        <w:t>academic</w:t>
      </w:r>
      <w:r w:rsidR="00CE69FA">
        <w:rPr>
          <w:rFonts w:ascii="Tahoma" w:hAnsi="Tahoma" w:cs="Tahoma"/>
        </w:rPr>
        <w:t>ally focused</w:t>
      </w:r>
      <w:r w:rsidR="003C6425">
        <w:rPr>
          <w:rFonts w:ascii="Tahoma" w:hAnsi="Tahoma" w:cs="Tahoma"/>
        </w:rPr>
        <w:t xml:space="preserve"> </w:t>
      </w:r>
      <w:r w:rsidR="00CE69FA">
        <w:rPr>
          <w:rFonts w:ascii="Tahoma" w:hAnsi="Tahoma" w:cs="Tahoma"/>
        </w:rPr>
        <w:t xml:space="preserve">standards related to </w:t>
      </w:r>
      <w:r w:rsidR="00516EBD">
        <w:rPr>
          <w:rFonts w:ascii="Tahoma" w:hAnsi="Tahoma" w:cs="Tahoma"/>
        </w:rPr>
        <w:t xml:space="preserve">educational </w:t>
      </w:r>
      <w:r w:rsidR="00CE69FA">
        <w:rPr>
          <w:rFonts w:ascii="Tahoma" w:hAnsi="Tahoma" w:cs="Tahoma"/>
        </w:rPr>
        <w:t>performance</w:t>
      </w:r>
      <w:r w:rsidR="00D6013C">
        <w:rPr>
          <w:rFonts w:ascii="Tahoma" w:hAnsi="Tahoma" w:cs="Tahoma"/>
        </w:rPr>
        <w:t xml:space="preserve">. </w:t>
      </w:r>
      <w:r w:rsidR="00BF17F1" w:rsidRPr="005363BE">
        <w:rPr>
          <w:rFonts w:ascii="Tahoma" w:hAnsi="Tahoma" w:cs="Tahoma"/>
        </w:rPr>
        <w:t>Bandias et al. (2011)</w:t>
      </w:r>
      <w:r w:rsidR="007C54DB">
        <w:rPr>
          <w:rFonts w:ascii="Tahoma" w:hAnsi="Tahoma" w:cs="Tahoma"/>
        </w:rPr>
        <w:t xml:space="preserve"> allude to this, highlighting that</w:t>
      </w:r>
      <w:r w:rsidR="00BF17F1" w:rsidRPr="005363BE">
        <w:rPr>
          <w:rFonts w:ascii="Tahoma" w:hAnsi="Tahoma" w:cs="Tahoma"/>
        </w:rPr>
        <w:t xml:space="preserve"> there are distinct differences in the approach that FE and HE plan and deliver their curricula, and the systems in which they employ</w:t>
      </w:r>
      <w:r w:rsidR="00A5614F">
        <w:rPr>
          <w:rFonts w:ascii="Tahoma" w:hAnsi="Tahoma" w:cs="Tahoma"/>
        </w:rPr>
        <w:t xml:space="preserve">. </w:t>
      </w:r>
      <w:r w:rsidR="003623D5">
        <w:rPr>
          <w:rFonts w:ascii="Tahoma" w:hAnsi="Tahoma" w:cs="Tahoma"/>
        </w:rPr>
        <w:t>Therefore,</w:t>
      </w:r>
      <w:r w:rsidR="00A5614F">
        <w:rPr>
          <w:rFonts w:ascii="Tahoma" w:hAnsi="Tahoma" w:cs="Tahoma"/>
        </w:rPr>
        <w:t xml:space="preserve"> the students</w:t>
      </w:r>
      <w:r w:rsidR="003C6425">
        <w:rPr>
          <w:rFonts w:ascii="Tahoma" w:hAnsi="Tahoma" w:cs="Tahoma"/>
        </w:rPr>
        <w:t xml:space="preserve"> </w:t>
      </w:r>
      <w:r w:rsidR="00204CDE">
        <w:rPr>
          <w:rFonts w:ascii="Tahoma" w:hAnsi="Tahoma" w:cs="Tahoma"/>
        </w:rPr>
        <w:t xml:space="preserve">perceived </w:t>
      </w:r>
      <w:r w:rsidR="00A5614F">
        <w:rPr>
          <w:rFonts w:ascii="Tahoma" w:hAnsi="Tahoma" w:cs="Tahoma"/>
        </w:rPr>
        <w:t xml:space="preserve">differences </w:t>
      </w:r>
      <w:r w:rsidR="00076AE6">
        <w:rPr>
          <w:rFonts w:ascii="Tahoma" w:hAnsi="Tahoma" w:cs="Tahoma"/>
        </w:rPr>
        <w:t xml:space="preserve">of </w:t>
      </w:r>
      <w:r w:rsidR="00A5614F">
        <w:rPr>
          <w:rFonts w:ascii="Tahoma" w:hAnsi="Tahoma" w:cs="Tahoma"/>
        </w:rPr>
        <w:t xml:space="preserve">the </w:t>
      </w:r>
      <w:r w:rsidR="005363BE">
        <w:rPr>
          <w:rFonts w:ascii="Tahoma" w:hAnsi="Tahoma" w:cs="Tahoma"/>
        </w:rPr>
        <w:t xml:space="preserve">somewhat tangible </w:t>
      </w:r>
      <w:r w:rsidR="00C80A40">
        <w:rPr>
          <w:rFonts w:ascii="Tahoma" w:hAnsi="Tahoma" w:cs="Tahoma"/>
        </w:rPr>
        <w:t>gap between the two educational sectors</w:t>
      </w:r>
      <w:r w:rsidR="003C6425">
        <w:rPr>
          <w:rFonts w:ascii="Tahoma" w:hAnsi="Tahoma" w:cs="Tahoma"/>
        </w:rPr>
        <w:t xml:space="preserve"> </w:t>
      </w:r>
      <w:r w:rsidR="00BF17F1">
        <w:rPr>
          <w:rFonts w:ascii="Tahoma" w:hAnsi="Tahoma" w:cs="Tahoma"/>
        </w:rPr>
        <w:t>ma</w:t>
      </w:r>
      <w:r w:rsidR="00A5614F">
        <w:rPr>
          <w:rFonts w:ascii="Tahoma" w:hAnsi="Tahoma" w:cs="Tahoma"/>
        </w:rPr>
        <w:t>y add more pressure an</w:t>
      </w:r>
      <w:r w:rsidR="00076AE6">
        <w:rPr>
          <w:rFonts w:ascii="Tahoma" w:hAnsi="Tahoma" w:cs="Tahoma"/>
        </w:rPr>
        <w:t>d</w:t>
      </w:r>
      <w:r w:rsidR="00A5614F">
        <w:rPr>
          <w:rFonts w:ascii="Tahoma" w:hAnsi="Tahoma" w:cs="Tahoma"/>
        </w:rPr>
        <w:t xml:space="preserve"> anxiety to the transitional process</w:t>
      </w:r>
      <w:r w:rsidR="008C47B4">
        <w:rPr>
          <w:rFonts w:ascii="Tahoma" w:hAnsi="Tahoma" w:cs="Tahoma"/>
        </w:rPr>
        <w:t xml:space="preserve"> </w:t>
      </w:r>
      <w:r w:rsidR="008C47B4" w:rsidRPr="004F4E25">
        <w:rPr>
          <w:rFonts w:ascii="Tahoma" w:hAnsi="Tahoma" w:cs="Tahoma"/>
        </w:rPr>
        <w:t>(</w:t>
      </w:r>
      <w:r w:rsidR="004F4E25" w:rsidRPr="004F4E25">
        <w:rPr>
          <w:rFonts w:ascii="Tahoma" w:hAnsi="Tahoma" w:cs="Tahoma"/>
        </w:rPr>
        <w:t>Gill</w:t>
      </w:r>
      <w:r w:rsidR="008C47B4" w:rsidRPr="004F4E25">
        <w:rPr>
          <w:rFonts w:ascii="Tahoma" w:hAnsi="Tahoma" w:cs="Tahoma"/>
        </w:rPr>
        <w:t>, 2017).</w:t>
      </w:r>
      <w:r w:rsidR="004F4E25">
        <w:rPr>
          <w:rFonts w:ascii="Tahoma" w:hAnsi="Tahoma" w:cs="Tahoma"/>
        </w:rPr>
        <w:t xml:space="preserve"> </w:t>
      </w:r>
      <w:r w:rsidR="00C956CE">
        <w:rPr>
          <w:rFonts w:ascii="Tahoma" w:hAnsi="Tahoma" w:cs="Tahoma"/>
        </w:rPr>
        <w:t xml:space="preserve">In fact, </w:t>
      </w:r>
      <w:r w:rsidR="004F4E25" w:rsidRPr="004F4E25">
        <w:rPr>
          <w:rFonts w:ascii="Tahoma" w:hAnsi="Tahoma" w:cs="Tahoma"/>
        </w:rPr>
        <w:t xml:space="preserve">Gill </w:t>
      </w:r>
      <w:r w:rsidR="00C956CE" w:rsidRPr="004F4E25">
        <w:rPr>
          <w:rFonts w:ascii="Tahoma" w:hAnsi="Tahoma" w:cs="Tahoma"/>
        </w:rPr>
        <w:t>(2017)</w:t>
      </w:r>
      <w:r w:rsidR="00C956CE">
        <w:rPr>
          <w:rFonts w:ascii="Tahoma" w:hAnsi="Tahoma" w:cs="Tahoma"/>
        </w:rPr>
        <w:t xml:space="preserve"> </w:t>
      </w:r>
      <w:r w:rsidR="007C54DB">
        <w:rPr>
          <w:rFonts w:ascii="Tahoma" w:hAnsi="Tahoma" w:cs="Tahoma"/>
        </w:rPr>
        <w:t xml:space="preserve">further </w:t>
      </w:r>
      <w:r w:rsidR="00C956CE">
        <w:rPr>
          <w:rFonts w:ascii="Tahoma" w:hAnsi="Tahoma" w:cs="Tahoma"/>
        </w:rPr>
        <w:t>identified th</w:t>
      </w:r>
      <w:r w:rsidR="00CE1A62">
        <w:rPr>
          <w:rFonts w:ascii="Tahoma" w:hAnsi="Tahoma" w:cs="Tahoma"/>
        </w:rPr>
        <w:t xml:space="preserve">at </w:t>
      </w:r>
      <w:r w:rsidR="008E1437">
        <w:rPr>
          <w:rFonts w:ascii="Tahoma" w:hAnsi="Tahoma" w:cs="Tahoma"/>
        </w:rPr>
        <w:t xml:space="preserve">academic skills were a source of anxiety for prospective students, </w:t>
      </w:r>
      <w:r w:rsidR="002043AB">
        <w:rPr>
          <w:rFonts w:ascii="Tahoma" w:hAnsi="Tahoma" w:cs="Tahoma"/>
        </w:rPr>
        <w:t xml:space="preserve">stating that </w:t>
      </w:r>
      <w:r w:rsidR="00C956CE">
        <w:rPr>
          <w:rFonts w:ascii="Tahoma" w:hAnsi="Tahoma" w:cs="Tahoma"/>
        </w:rPr>
        <w:t>w</w:t>
      </w:r>
      <w:r w:rsidR="00C956CE" w:rsidRPr="00C956CE">
        <w:rPr>
          <w:rFonts w:ascii="Tahoma" w:hAnsi="Tahoma" w:cs="Tahoma"/>
        </w:rPr>
        <w:t xml:space="preserve">riting styles, referencing, word-limits, and proof-reading </w:t>
      </w:r>
      <w:r w:rsidR="00CE1A62">
        <w:rPr>
          <w:rFonts w:ascii="Tahoma" w:hAnsi="Tahoma" w:cs="Tahoma"/>
        </w:rPr>
        <w:t xml:space="preserve">were key </w:t>
      </w:r>
      <w:r w:rsidR="00C956CE" w:rsidRPr="00C956CE">
        <w:rPr>
          <w:rFonts w:ascii="Tahoma" w:hAnsi="Tahoma" w:cs="Tahoma"/>
        </w:rPr>
        <w:t xml:space="preserve">standards </w:t>
      </w:r>
      <w:r w:rsidR="00CE1A62">
        <w:rPr>
          <w:rFonts w:ascii="Tahoma" w:hAnsi="Tahoma" w:cs="Tahoma"/>
        </w:rPr>
        <w:t xml:space="preserve">that </w:t>
      </w:r>
      <w:r w:rsidR="007C54DB">
        <w:rPr>
          <w:rFonts w:ascii="Tahoma" w:hAnsi="Tahoma" w:cs="Tahoma"/>
        </w:rPr>
        <w:t>were different</w:t>
      </w:r>
      <w:r w:rsidR="00C956CE" w:rsidRPr="00C956CE">
        <w:rPr>
          <w:rFonts w:ascii="Tahoma" w:hAnsi="Tahoma" w:cs="Tahoma"/>
        </w:rPr>
        <w:t xml:space="preserve"> </w:t>
      </w:r>
      <w:r w:rsidR="00CE1A62">
        <w:rPr>
          <w:rFonts w:ascii="Tahoma" w:hAnsi="Tahoma" w:cs="Tahoma"/>
        </w:rPr>
        <w:t xml:space="preserve">between </w:t>
      </w:r>
      <w:r w:rsidR="00930327">
        <w:rPr>
          <w:rFonts w:ascii="Tahoma" w:hAnsi="Tahoma" w:cs="Tahoma"/>
        </w:rPr>
        <w:t>students HEI and FEC experience</w:t>
      </w:r>
      <w:r w:rsidR="00C956CE" w:rsidRPr="00C956CE">
        <w:rPr>
          <w:rFonts w:ascii="Tahoma" w:hAnsi="Tahoma" w:cs="Tahoma"/>
        </w:rPr>
        <w:t xml:space="preserve">, where there was an </w:t>
      </w:r>
      <w:r w:rsidR="009C5D62" w:rsidRPr="00C956CE">
        <w:rPr>
          <w:rFonts w:ascii="Tahoma" w:hAnsi="Tahoma" w:cs="Tahoma"/>
        </w:rPr>
        <w:t>acknowledged</w:t>
      </w:r>
      <w:r w:rsidR="00C956CE" w:rsidRPr="00C956CE">
        <w:rPr>
          <w:rFonts w:ascii="Tahoma" w:hAnsi="Tahoma" w:cs="Tahoma"/>
        </w:rPr>
        <w:t xml:space="preserve"> leniency with academic standards </w:t>
      </w:r>
      <w:r w:rsidR="00006B6C">
        <w:rPr>
          <w:rFonts w:ascii="Tahoma" w:hAnsi="Tahoma" w:cs="Tahoma"/>
        </w:rPr>
        <w:t>in</w:t>
      </w:r>
      <w:r w:rsidR="009C5D62">
        <w:rPr>
          <w:rFonts w:ascii="Tahoma" w:hAnsi="Tahoma" w:cs="Tahoma"/>
        </w:rPr>
        <w:t xml:space="preserve"> FE </w:t>
      </w:r>
      <w:r w:rsidR="00C956CE" w:rsidRPr="00C956CE">
        <w:rPr>
          <w:rFonts w:ascii="Tahoma" w:hAnsi="Tahoma" w:cs="Tahoma"/>
        </w:rPr>
        <w:t xml:space="preserve">compared to </w:t>
      </w:r>
      <w:r w:rsidR="00AC60B2">
        <w:rPr>
          <w:rFonts w:ascii="Tahoma" w:hAnsi="Tahoma" w:cs="Tahoma"/>
        </w:rPr>
        <w:t>HE</w:t>
      </w:r>
      <w:r w:rsidR="007C668E">
        <w:rPr>
          <w:rFonts w:ascii="Tahoma" w:hAnsi="Tahoma" w:cs="Tahoma"/>
        </w:rPr>
        <w:t>.</w:t>
      </w:r>
      <w:r w:rsidR="006259E2">
        <w:rPr>
          <w:rFonts w:ascii="Tahoma" w:hAnsi="Tahoma" w:cs="Tahoma"/>
        </w:rPr>
        <w:t xml:space="preserve"> However, </w:t>
      </w:r>
      <w:r w:rsidR="00637B63">
        <w:rPr>
          <w:rFonts w:ascii="Tahoma" w:hAnsi="Tahoma" w:cs="Tahoma"/>
        </w:rPr>
        <w:t>Wilkins et al. (2013)</w:t>
      </w:r>
      <w:r w:rsidR="00145ECC">
        <w:rPr>
          <w:rFonts w:ascii="Tahoma" w:hAnsi="Tahoma" w:cs="Tahoma"/>
        </w:rPr>
        <w:t xml:space="preserve"> counter</w:t>
      </w:r>
      <w:r w:rsidR="00190FF8">
        <w:rPr>
          <w:rFonts w:ascii="Tahoma" w:hAnsi="Tahoma" w:cs="Tahoma"/>
        </w:rPr>
        <w:t xml:space="preserve">s this </w:t>
      </w:r>
      <w:r w:rsidR="00B5346D">
        <w:rPr>
          <w:rFonts w:ascii="Tahoma" w:hAnsi="Tahoma" w:cs="Tahoma"/>
        </w:rPr>
        <w:t xml:space="preserve">notion </w:t>
      </w:r>
      <w:r w:rsidR="00190FF8">
        <w:rPr>
          <w:rFonts w:ascii="Tahoma" w:hAnsi="Tahoma" w:cs="Tahoma"/>
        </w:rPr>
        <w:t>of FE</w:t>
      </w:r>
      <w:r w:rsidR="001E0574">
        <w:rPr>
          <w:rFonts w:ascii="Tahoma" w:hAnsi="Tahoma" w:cs="Tahoma"/>
        </w:rPr>
        <w:t xml:space="preserve"> having more lenient standards, stating </w:t>
      </w:r>
      <w:r w:rsidR="007125C7">
        <w:rPr>
          <w:rFonts w:ascii="Tahoma" w:hAnsi="Tahoma" w:cs="Tahoma"/>
        </w:rPr>
        <w:t xml:space="preserve">that </w:t>
      </w:r>
      <w:r w:rsidR="00145ECC" w:rsidRPr="00145ECC">
        <w:rPr>
          <w:rFonts w:ascii="Tahoma" w:hAnsi="Tahoma" w:cs="Tahoma"/>
        </w:rPr>
        <w:t xml:space="preserve">with the emergence </w:t>
      </w:r>
      <w:r w:rsidR="00AC60B2">
        <w:rPr>
          <w:rFonts w:ascii="Tahoma" w:hAnsi="Tahoma" w:cs="Tahoma"/>
        </w:rPr>
        <w:t xml:space="preserve">and popularity </w:t>
      </w:r>
      <w:r w:rsidR="00145ECC" w:rsidRPr="00145ECC">
        <w:rPr>
          <w:rFonts w:ascii="Tahoma" w:hAnsi="Tahoma" w:cs="Tahoma"/>
        </w:rPr>
        <w:t xml:space="preserve">of HE and FE partnerships in recent times, </w:t>
      </w:r>
      <w:r w:rsidR="00442EE8">
        <w:rPr>
          <w:rFonts w:ascii="Tahoma" w:hAnsi="Tahoma" w:cs="Tahoma"/>
        </w:rPr>
        <w:t xml:space="preserve">FE is </w:t>
      </w:r>
      <w:r w:rsidR="00145ECC" w:rsidRPr="00145ECC">
        <w:rPr>
          <w:rFonts w:ascii="Tahoma" w:hAnsi="Tahoma" w:cs="Tahoma"/>
        </w:rPr>
        <w:t xml:space="preserve">increasingly delivering higher levels of education that can </w:t>
      </w:r>
      <w:r w:rsidR="001138AF">
        <w:rPr>
          <w:rFonts w:ascii="Tahoma" w:hAnsi="Tahoma" w:cs="Tahoma"/>
        </w:rPr>
        <w:t xml:space="preserve">often </w:t>
      </w:r>
      <w:r w:rsidR="00145ECC" w:rsidRPr="00145ECC">
        <w:rPr>
          <w:rFonts w:ascii="Tahoma" w:hAnsi="Tahoma" w:cs="Tahoma"/>
        </w:rPr>
        <w:t>rival HE</w:t>
      </w:r>
      <w:r w:rsidR="00CE07E3">
        <w:rPr>
          <w:rFonts w:ascii="Tahoma" w:hAnsi="Tahoma" w:cs="Tahoma"/>
        </w:rPr>
        <w:t>Is</w:t>
      </w:r>
      <w:r w:rsidR="00442EE8">
        <w:rPr>
          <w:rFonts w:ascii="Tahoma" w:hAnsi="Tahoma" w:cs="Tahoma"/>
        </w:rPr>
        <w:t>.</w:t>
      </w:r>
    </w:p>
    <w:p w:rsidR="00025654" w:rsidRDefault="00414E6A" w:rsidP="00675CE9">
      <w:pPr>
        <w:spacing w:before="240" w:after="0" w:line="360" w:lineRule="auto"/>
        <w:rPr>
          <w:rFonts w:ascii="Tahoma" w:hAnsi="Tahoma" w:cs="Tahoma"/>
        </w:rPr>
      </w:pPr>
      <w:r>
        <w:rPr>
          <w:rFonts w:ascii="Tahoma" w:hAnsi="Tahoma" w:cs="Tahoma"/>
        </w:rPr>
        <w:t>Students also mentioned th</w:t>
      </w:r>
      <w:r w:rsidR="008F3078">
        <w:rPr>
          <w:rFonts w:ascii="Tahoma" w:hAnsi="Tahoma" w:cs="Tahoma"/>
        </w:rPr>
        <w:t xml:space="preserve">eir fears surrounding how they would be assessed, specifically </w:t>
      </w:r>
      <w:r w:rsidR="00337120">
        <w:rPr>
          <w:rFonts w:ascii="Tahoma" w:hAnsi="Tahoma" w:cs="Tahoma"/>
        </w:rPr>
        <w:t>discussing</w:t>
      </w:r>
      <w:r w:rsidR="008F3078">
        <w:rPr>
          <w:rFonts w:ascii="Tahoma" w:hAnsi="Tahoma" w:cs="Tahoma"/>
        </w:rPr>
        <w:t xml:space="preserve"> traditional examinations. </w:t>
      </w:r>
    </w:p>
    <w:p w:rsidR="00025654" w:rsidRDefault="00025654" w:rsidP="008916E0">
      <w:pPr>
        <w:spacing w:after="0" w:line="360" w:lineRule="auto"/>
        <w:jc w:val="both"/>
        <w:rPr>
          <w:rFonts w:ascii="Tahoma" w:hAnsi="Tahoma" w:cs="Tahoma"/>
        </w:rPr>
      </w:pPr>
    </w:p>
    <w:p w:rsidR="00025654" w:rsidRDefault="00AD46EC" w:rsidP="000818F0">
      <w:pPr>
        <w:spacing w:after="0" w:line="240" w:lineRule="auto"/>
        <w:ind w:left="851" w:right="805"/>
        <w:jc w:val="both"/>
        <w:rPr>
          <w:rFonts w:ascii="Tahoma" w:hAnsi="Tahoma" w:cs="Tahoma"/>
        </w:rPr>
      </w:pPr>
      <w:r>
        <w:rPr>
          <w:rFonts w:ascii="Tahoma" w:hAnsi="Tahoma" w:cs="Tahoma"/>
        </w:rPr>
        <w:t>“… the reason I chose a BTEC is because there were less exams than A-Level’s</w:t>
      </w:r>
      <w:r w:rsidR="00C6036B">
        <w:rPr>
          <w:rFonts w:ascii="Tahoma" w:hAnsi="Tahoma" w:cs="Tahoma"/>
        </w:rPr>
        <w:t>… if there are</w:t>
      </w:r>
      <w:r w:rsidR="00747F52">
        <w:rPr>
          <w:rFonts w:ascii="Tahoma" w:hAnsi="Tahoma" w:cs="Tahoma"/>
        </w:rPr>
        <w:t xml:space="preserve"> </w:t>
      </w:r>
      <w:r w:rsidR="00026D8B">
        <w:rPr>
          <w:rFonts w:ascii="Tahoma" w:hAnsi="Tahoma" w:cs="Tahoma"/>
        </w:rPr>
        <w:t xml:space="preserve">a lot of </w:t>
      </w:r>
      <w:r w:rsidR="0010654F">
        <w:rPr>
          <w:rFonts w:ascii="Tahoma" w:hAnsi="Tahoma" w:cs="Tahoma"/>
        </w:rPr>
        <w:t xml:space="preserve">exams on the degree then I’m </w:t>
      </w:r>
      <w:r w:rsidR="009B6591">
        <w:rPr>
          <w:rFonts w:ascii="Tahoma" w:hAnsi="Tahoma" w:cs="Tahoma"/>
        </w:rPr>
        <w:t>in trouble</w:t>
      </w:r>
      <w:r w:rsidR="0010654F">
        <w:rPr>
          <w:rFonts w:ascii="Tahoma" w:hAnsi="Tahoma" w:cs="Tahoma"/>
        </w:rPr>
        <w:t>…”</w:t>
      </w:r>
    </w:p>
    <w:p w:rsidR="00025654" w:rsidRDefault="00025654" w:rsidP="008916E0">
      <w:pPr>
        <w:spacing w:after="0" w:line="360" w:lineRule="auto"/>
        <w:jc w:val="both"/>
        <w:rPr>
          <w:rFonts w:ascii="Tahoma" w:hAnsi="Tahoma" w:cs="Tahoma"/>
        </w:rPr>
      </w:pPr>
    </w:p>
    <w:p w:rsidR="00414E6A" w:rsidRDefault="008F3078" w:rsidP="00E24148">
      <w:pPr>
        <w:spacing w:after="0" w:line="360" w:lineRule="auto"/>
        <w:rPr>
          <w:rFonts w:ascii="Tahoma" w:hAnsi="Tahoma" w:cs="Tahoma"/>
        </w:rPr>
      </w:pPr>
      <w:r>
        <w:rPr>
          <w:rFonts w:ascii="Tahoma" w:hAnsi="Tahoma" w:cs="Tahoma"/>
        </w:rPr>
        <w:t xml:space="preserve">Whilst </w:t>
      </w:r>
      <w:r w:rsidR="00063069">
        <w:rPr>
          <w:rFonts w:ascii="Tahoma" w:hAnsi="Tahoma" w:cs="Tahoma"/>
        </w:rPr>
        <w:t xml:space="preserve">BTEC courses limit the number of examinations as part of their </w:t>
      </w:r>
      <w:r w:rsidR="00337120">
        <w:rPr>
          <w:rFonts w:ascii="Tahoma" w:hAnsi="Tahoma" w:cs="Tahoma"/>
        </w:rPr>
        <w:t>assessment strategy</w:t>
      </w:r>
      <w:r w:rsidR="00063069">
        <w:rPr>
          <w:rFonts w:ascii="Tahoma" w:hAnsi="Tahoma" w:cs="Tahoma"/>
        </w:rPr>
        <w:t xml:space="preserve"> due to the vocational and </w:t>
      </w:r>
      <w:r w:rsidR="00980589">
        <w:rPr>
          <w:rFonts w:ascii="Tahoma" w:hAnsi="Tahoma" w:cs="Tahoma"/>
        </w:rPr>
        <w:t>skill-based</w:t>
      </w:r>
      <w:r w:rsidR="003C6425">
        <w:rPr>
          <w:rFonts w:ascii="Tahoma" w:hAnsi="Tahoma" w:cs="Tahoma"/>
        </w:rPr>
        <w:t xml:space="preserve"> </w:t>
      </w:r>
      <w:r w:rsidR="00DB0A6F">
        <w:rPr>
          <w:rFonts w:ascii="Tahoma" w:hAnsi="Tahoma" w:cs="Tahoma"/>
        </w:rPr>
        <w:t xml:space="preserve">focus </w:t>
      </w:r>
      <w:r w:rsidR="00063069">
        <w:rPr>
          <w:rFonts w:ascii="Tahoma" w:hAnsi="Tahoma" w:cs="Tahoma"/>
        </w:rPr>
        <w:t xml:space="preserve">of their </w:t>
      </w:r>
      <w:r w:rsidR="00FC46F4">
        <w:rPr>
          <w:rFonts w:ascii="Tahoma" w:hAnsi="Tahoma" w:cs="Tahoma"/>
        </w:rPr>
        <w:t xml:space="preserve">qualifications, HE </w:t>
      </w:r>
      <w:r w:rsidR="00CC4B30">
        <w:rPr>
          <w:rFonts w:ascii="Tahoma" w:hAnsi="Tahoma" w:cs="Tahoma"/>
        </w:rPr>
        <w:t>has a very different</w:t>
      </w:r>
      <w:r w:rsidR="005B1D6B">
        <w:rPr>
          <w:rFonts w:ascii="Tahoma" w:hAnsi="Tahoma" w:cs="Tahoma"/>
        </w:rPr>
        <w:t>, more traditional</w:t>
      </w:r>
      <w:r w:rsidR="003C6425">
        <w:rPr>
          <w:rFonts w:ascii="Tahoma" w:hAnsi="Tahoma" w:cs="Tahoma"/>
        </w:rPr>
        <w:t xml:space="preserve"> </w:t>
      </w:r>
      <w:r w:rsidR="0067696A">
        <w:rPr>
          <w:rFonts w:ascii="Tahoma" w:hAnsi="Tahoma" w:cs="Tahoma"/>
        </w:rPr>
        <w:t xml:space="preserve">assessment </w:t>
      </w:r>
      <w:r w:rsidR="00CC4B30">
        <w:rPr>
          <w:rFonts w:ascii="Tahoma" w:hAnsi="Tahoma" w:cs="Tahoma"/>
        </w:rPr>
        <w:t>focus</w:t>
      </w:r>
      <w:r w:rsidR="00FC46F4">
        <w:rPr>
          <w:rFonts w:ascii="Tahoma" w:hAnsi="Tahoma" w:cs="Tahoma"/>
        </w:rPr>
        <w:t>.</w:t>
      </w:r>
      <w:r w:rsidR="003C6425">
        <w:rPr>
          <w:rFonts w:ascii="Tahoma" w:hAnsi="Tahoma" w:cs="Tahoma"/>
        </w:rPr>
        <w:t xml:space="preserve"> </w:t>
      </w:r>
      <w:r w:rsidR="00C2340D" w:rsidRPr="00C2340D">
        <w:rPr>
          <w:rFonts w:ascii="Tahoma" w:hAnsi="Tahoma" w:cs="Tahoma"/>
        </w:rPr>
        <w:t xml:space="preserve">Often </w:t>
      </w:r>
      <w:r w:rsidR="00C2340D" w:rsidRPr="00D9773B">
        <w:rPr>
          <w:rFonts w:ascii="Tahoma" w:hAnsi="Tahoma" w:cs="Tahoma"/>
        </w:rPr>
        <w:t>VET qualifications</w:t>
      </w:r>
      <w:r w:rsidR="00C2340D" w:rsidRPr="00C2340D">
        <w:rPr>
          <w:rFonts w:ascii="Tahoma" w:hAnsi="Tahoma" w:cs="Tahoma"/>
        </w:rPr>
        <w:t xml:space="preserve"> are accredited by awarding bodies,</w:t>
      </w:r>
      <w:r w:rsidR="003C6425">
        <w:rPr>
          <w:rFonts w:ascii="Tahoma" w:hAnsi="Tahoma" w:cs="Tahoma"/>
        </w:rPr>
        <w:t xml:space="preserve"> </w:t>
      </w:r>
      <w:r w:rsidR="00C2340D" w:rsidRPr="00C2340D">
        <w:rPr>
          <w:rFonts w:ascii="Tahoma" w:hAnsi="Tahoma" w:cs="Tahoma"/>
        </w:rPr>
        <w:t>whereas universities set their own standards and measures of educational performance, which</w:t>
      </w:r>
      <w:r w:rsidR="003C6425">
        <w:rPr>
          <w:rFonts w:ascii="Tahoma" w:hAnsi="Tahoma" w:cs="Tahoma"/>
        </w:rPr>
        <w:t xml:space="preserve"> </w:t>
      </w:r>
      <w:r w:rsidR="00C2340D" w:rsidRPr="00C2340D">
        <w:rPr>
          <w:rFonts w:ascii="Tahoma" w:hAnsi="Tahoma" w:cs="Tahoma"/>
        </w:rPr>
        <w:t>are not necessarily governed by industry or vocation</w:t>
      </w:r>
      <w:r w:rsidR="00C2340D">
        <w:rPr>
          <w:rFonts w:ascii="Tahoma" w:hAnsi="Tahoma" w:cs="Tahoma"/>
        </w:rPr>
        <w:t xml:space="preserve"> (Christensen &amp; Ey</w:t>
      </w:r>
      <w:r w:rsidR="00980589">
        <w:rPr>
          <w:rFonts w:ascii="Tahoma" w:hAnsi="Tahoma" w:cs="Tahoma"/>
        </w:rPr>
        <w:t>r</w:t>
      </w:r>
      <w:r w:rsidR="00C2340D">
        <w:rPr>
          <w:rFonts w:ascii="Tahoma" w:hAnsi="Tahoma" w:cs="Tahoma"/>
        </w:rPr>
        <w:t>ing, 201</w:t>
      </w:r>
      <w:r w:rsidR="00980589">
        <w:rPr>
          <w:rFonts w:ascii="Tahoma" w:hAnsi="Tahoma" w:cs="Tahoma"/>
        </w:rPr>
        <w:t>1</w:t>
      </w:r>
      <w:r w:rsidR="00C2340D">
        <w:rPr>
          <w:rFonts w:ascii="Tahoma" w:hAnsi="Tahoma" w:cs="Tahoma"/>
        </w:rPr>
        <w:t>).</w:t>
      </w:r>
      <w:r w:rsidR="007C54DB">
        <w:rPr>
          <w:rFonts w:ascii="Tahoma" w:hAnsi="Tahoma" w:cs="Tahoma"/>
        </w:rPr>
        <w:t xml:space="preserve"> </w:t>
      </w:r>
      <w:r w:rsidR="00124F33">
        <w:rPr>
          <w:rFonts w:ascii="Tahoma" w:hAnsi="Tahoma" w:cs="Tahoma"/>
        </w:rPr>
        <w:t xml:space="preserve">However, </w:t>
      </w:r>
      <w:r w:rsidR="003D6EC7">
        <w:rPr>
          <w:rFonts w:ascii="Tahoma" w:hAnsi="Tahoma" w:cs="Tahoma"/>
        </w:rPr>
        <w:t xml:space="preserve">in recent times </w:t>
      </w:r>
      <w:r w:rsidR="00124F33">
        <w:rPr>
          <w:rFonts w:ascii="Tahoma" w:hAnsi="Tahoma" w:cs="Tahoma"/>
        </w:rPr>
        <w:t xml:space="preserve">HE has undergone somewhat of a revolution, moving </w:t>
      </w:r>
      <w:r w:rsidR="00DB1FD7">
        <w:rPr>
          <w:rFonts w:ascii="Tahoma" w:hAnsi="Tahoma" w:cs="Tahoma"/>
        </w:rPr>
        <w:t xml:space="preserve">further </w:t>
      </w:r>
      <w:r w:rsidR="00124F33">
        <w:rPr>
          <w:rFonts w:ascii="Tahoma" w:hAnsi="Tahoma" w:cs="Tahoma"/>
        </w:rPr>
        <w:t xml:space="preserve">away from the traditional and </w:t>
      </w:r>
      <w:r w:rsidR="003D6EC7">
        <w:rPr>
          <w:rFonts w:ascii="Tahoma" w:hAnsi="Tahoma" w:cs="Tahoma"/>
        </w:rPr>
        <w:t>towards</w:t>
      </w:r>
      <w:r w:rsidR="003C6425">
        <w:rPr>
          <w:rFonts w:ascii="Tahoma" w:hAnsi="Tahoma" w:cs="Tahoma"/>
        </w:rPr>
        <w:t xml:space="preserve"> </w:t>
      </w:r>
      <w:r w:rsidR="003D6EC7">
        <w:rPr>
          <w:rFonts w:ascii="Tahoma" w:hAnsi="Tahoma" w:cs="Tahoma"/>
        </w:rPr>
        <w:t xml:space="preserve">more student-centred </w:t>
      </w:r>
      <w:r w:rsidR="00AA73D2">
        <w:rPr>
          <w:rFonts w:ascii="Tahoma" w:hAnsi="Tahoma" w:cs="Tahoma"/>
        </w:rPr>
        <w:t xml:space="preserve">assessment formats, such as portfolios and </w:t>
      </w:r>
      <w:r w:rsidR="00144212">
        <w:rPr>
          <w:rFonts w:ascii="Tahoma" w:hAnsi="Tahoma" w:cs="Tahoma"/>
        </w:rPr>
        <w:t>project work (</w:t>
      </w:r>
      <w:r w:rsidR="00920711">
        <w:rPr>
          <w:rFonts w:ascii="Tahoma" w:hAnsi="Tahoma" w:cs="Tahoma"/>
        </w:rPr>
        <w:t>Flores</w:t>
      </w:r>
      <w:r w:rsidR="003C6425">
        <w:rPr>
          <w:rFonts w:ascii="Tahoma" w:hAnsi="Tahoma" w:cs="Tahoma"/>
        </w:rPr>
        <w:t xml:space="preserve"> </w:t>
      </w:r>
      <w:r w:rsidR="00633E7D" w:rsidRPr="00657EED">
        <w:rPr>
          <w:rFonts w:ascii="Tahoma" w:hAnsi="Tahoma" w:cs="Tahoma"/>
          <w:i/>
        </w:rPr>
        <w:t>et al</w:t>
      </w:r>
      <w:r w:rsidR="00633E7D">
        <w:rPr>
          <w:rFonts w:ascii="Tahoma" w:hAnsi="Tahoma" w:cs="Tahoma"/>
        </w:rPr>
        <w:t xml:space="preserve">., </w:t>
      </w:r>
      <w:r w:rsidR="00657EED">
        <w:rPr>
          <w:rFonts w:ascii="Tahoma" w:hAnsi="Tahoma" w:cs="Tahoma"/>
        </w:rPr>
        <w:t>2015</w:t>
      </w:r>
      <w:r w:rsidR="00144212">
        <w:rPr>
          <w:rFonts w:ascii="Tahoma" w:hAnsi="Tahoma" w:cs="Tahoma"/>
        </w:rPr>
        <w:t>).</w:t>
      </w:r>
      <w:r w:rsidR="007C54DB">
        <w:rPr>
          <w:rFonts w:ascii="Tahoma" w:hAnsi="Tahoma" w:cs="Tahoma"/>
        </w:rPr>
        <w:t xml:space="preserve"> </w:t>
      </w:r>
      <w:r w:rsidR="00504B77">
        <w:rPr>
          <w:rFonts w:ascii="Tahoma" w:hAnsi="Tahoma" w:cs="Tahoma"/>
        </w:rPr>
        <w:t xml:space="preserve">Tam </w:t>
      </w:r>
      <w:r w:rsidR="00546FD3">
        <w:rPr>
          <w:rFonts w:ascii="Tahoma" w:hAnsi="Tahoma" w:cs="Tahoma"/>
        </w:rPr>
        <w:t>(201</w:t>
      </w:r>
      <w:r w:rsidR="00990BAD">
        <w:rPr>
          <w:rFonts w:ascii="Tahoma" w:hAnsi="Tahoma" w:cs="Tahoma"/>
        </w:rPr>
        <w:t xml:space="preserve">4) </w:t>
      </w:r>
      <w:r w:rsidR="00504B77">
        <w:rPr>
          <w:rFonts w:ascii="Tahoma" w:hAnsi="Tahoma" w:cs="Tahoma"/>
        </w:rPr>
        <w:t xml:space="preserve">deems this paradigm shift away from traditional </w:t>
      </w:r>
      <w:r w:rsidR="002B1312">
        <w:rPr>
          <w:rFonts w:ascii="Tahoma" w:hAnsi="Tahoma" w:cs="Tahoma"/>
        </w:rPr>
        <w:t xml:space="preserve">philosophy, </w:t>
      </w:r>
      <w:r w:rsidR="00504B77">
        <w:rPr>
          <w:rFonts w:ascii="Tahoma" w:hAnsi="Tahoma" w:cs="Tahoma"/>
        </w:rPr>
        <w:t xml:space="preserve">structure and framework to a more </w:t>
      </w:r>
      <w:r w:rsidR="005D33FC">
        <w:rPr>
          <w:rFonts w:ascii="Tahoma" w:hAnsi="Tahoma" w:cs="Tahoma"/>
        </w:rPr>
        <w:t>student-centred</w:t>
      </w:r>
      <w:r w:rsidR="00504B77">
        <w:rPr>
          <w:rFonts w:ascii="Tahoma" w:hAnsi="Tahoma" w:cs="Tahoma"/>
        </w:rPr>
        <w:t xml:space="preserve"> approach </w:t>
      </w:r>
      <w:r w:rsidR="002F6BC5">
        <w:rPr>
          <w:rFonts w:ascii="Tahoma" w:hAnsi="Tahoma" w:cs="Tahoma"/>
        </w:rPr>
        <w:t xml:space="preserve">as </w:t>
      </w:r>
      <w:r w:rsidR="00406D9D">
        <w:rPr>
          <w:rFonts w:ascii="Tahoma" w:hAnsi="Tahoma" w:cs="Tahoma"/>
        </w:rPr>
        <w:t>a way to</w:t>
      </w:r>
      <w:r w:rsidR="003C6425">
        <w:rPr>
          <w:rFonts w:ascii="Tahoma" w:hAnsi="Tahoma" w:cs="Tahoma"/>
        </w:rPr>
        <w:t xml:space="preserve"> </w:t>
      </w:r>
      <w:r w:rsidR="00867B20">
        <w:rPr>
          <w:rFonts w:ascii="Tahoma" w:hAnsi="Tahoma" w:cs="Tahoma"/>
        </w:rPr>
        <w:t>create and sustain an effective learning environment</w:t>
      </w:r>
      <w:r w:rsidR="00AE1F0C">
        <w:rPr>
          <w:rFonts w:ascii="Tahoma" w:hAnsi="Tahoma" w:cs="Tahoma"/>
        </w:rPr>
        <w:t>, where the teacher is implicit</w:t>
      </w:r>
      <w:r w:rsidR="000C3D28">
        <w:rPr>
          <w:rFonts w:ascii="Tahoma" w:hAnsi="Tahoma" w:cs="Tahoma"/>
        </w:rPr>
        <w:t xml:space="preserve"> and acts to facilitate learning. </w:t>
      </w:r>
      <w:r w:rsidR="00432B9D">
        <w:rPr>
          <w:rFonts w:ascii="Tahoma" w:hAnsi="Tahoma" w:cs="Tahoma"/>
        </w:rPr>
        <w:t xml:space="preserve">Here </w:t>
      </w:r>
      <w:r w:rsidR="00432B9D" w:rsidRPr="00432B9D">
        <w:rPr>
          <w:rFonts w:ascii="Tahoma" w:hAnsi="Tahoma" w:cs="Tahoma"/>
        </w:rPr>
        <w:t>the emphasis is</w:t>
      </w:r>
      <w:r w:rsidR="003C6425">
        <w:rPr>
          <w:rFonts w:ascii="Tahoma" w:hAnsi="Tahoma" w:cs="Tahoma"/>
        </w:rPr>
        <w:t xml:space="preserve"> </w:t>
      </w:r>
      <w:r w:rsidR="00432B9D" w:rsidRPr="00432B9D">
        <w:rPr>
          <w:rFonts w:ascii="Tahoma" w:hAnsi="Tahoma" w:cs="Tahoma"/>
        </w:rPr>
        <w:t>on what the students are expected to be able to do at the end of the learning experience</w:t>
      </w:r>
      <w:r w:rsidR="00EA36B1">
        <w:rPr>
          <w:rFonts w:ascii="Tahoma" w:hAnsi="Tahoma" w:cs="Tahoma"/>
        </w:rPr>
        <w:t xml:space="preserve">, not how well they can absorb taught material, </w:t>
      </w:r>
      <w:r w:rsidR="00291637">
        <w:rPr>
          <w:rFonts w:ascii="Tahoma" w:hAnsi="Tahoma" w:cs="Tahoma"/>
        </w:rPr>
        <w:t xml:space="preserve">which is </w:t>
      </w:r>
      <w:r w:rsidR="00310C67">
        <w:rPr>
          <w:rFonts w:ascii="Tahoma" w:hAnsi="Tahoma" w:cs="Tahoma"/>
        </w:rPr>
        <w:t xml:space="preserve">a skill </w:t>
      </w:r>
      <w:r w:rsidR="00291637">
        <w:rPr>
          <w:rFonts w:ascii="Tahoma" w:hAnsi="Tahoma" w:cs="Tahoma"/>
        </w:rPr>
        <w:t xml:space="preserve">predominantly required </w:t>
      </w:r>
      <w:r w:rsidR="00EA36B1">
        <w:rPr>
          <w:rFonts w:ascii="Tahoma" w:hAnsi="Tahoma" w:cs="Tahoma"/>
        </w:rPr>
        <w:t>for examinations</w:t>
      </w:r>
      <w:r w:rsidR="00432B9D">
        <w:rPr>
          <w:rFonts w:ascii="Tahoma" w:hAnsi="Tahoma" w:cs="Tahoma"/>
        </w:rPr>
        <w:t xml:space="preserve">. </w:t>
      </w:r>
      <w:r w:rsidR="0030452B">
        <w:rPr>
          <w:rFonts w:ascii="Tahoma" w:hAnsi="Tahoma" w:cs="Tahoma"/>
        </w:rPr>
        <w:t>Despite th</w:t>
      </w:r>
      <w:r w:rsidR="005E4775">
        <w:rPr>
          <w:rFonts w:ascii="Tahoma" w:hAnsi="Tahoma" w:cs="Tahoma"/>
        </w:rPr>
        <w:t xml:space="preserve">is more contemporary </w:t>
      </w:r>
      <w:r w:rsidR="00985708">
        <w:rPr>
          <w:rFonts w:ascii="Tahoma" w:hAnsi="Tahoma" w:cs="Tahoma"/>
        </w:rPr>
        <w:t xml:space="preserve">approach to </w:t>
      </w:r>
      <w:r w:rsidR="00AF40F0">
        <w:rPr>
          <w:rFonts w:ascii="Tahoma" w:hAnsi="Tahoma" w:cs="Tahoma"/>
        </w:rPr>
        <w:t xml:space="preserve">learning </w:t>
      </w:r>
      <w:r w:rsidR="00985708">
        <w:rPr>
          <w:rFonts w:ascii="Tahoma" w:hAnsi="Tahoma" w:cs="Tahoma"/>
        </w:rPr>
        <w:t xml:space="preserve">being </w:t>
      </w:r>
      <w:r w:rsidR="00983A4D">
        <w:rPr>
          <w:rFonts w:ascii="Tahoma" w:hAnsi="Tahoma" w:cs="Tahoma"/>
        </w:rPr>
        <w:t>adopted by some in</w:t>
      </w:r>
      <w:r w:rsidR="00985708">
        <w:rPr>
          <w:rFonts w:ascii="Tahoma" w:hAnsi="Tahoma" w:cs="Tahoma"/>
        </w:rPr>
        <w:t xml:space="preserve"> HE</w:t>
      </w:r>
      <w:r w:rsidR="0030452B">
        <w:rPr>
          <w:rFonts w:ascii="Tahoma" w:hAnsi="Tahoma" w:cs="Tahoma"/>
        </w:rPr>
        <w:t xml:space="preserve">, </w:t>
      </w:r>
      <w:r w:rsidR="00BE608C">
        <w:rPr>
          <w:rFonts w:ascii="Tahoma" w:hAnsi="Tahoma" w:cs="Tahoma"/>
        </w:rPr>
        <w:t xml:space="preserve">examinations are still </w:t>
      </w:r>
      <w:r w:rsidR="005E148E">
        <w:rPr>
          <w:rFonts w:ascii="Tahoma" w:hAnsi="Tahoma" w:cs="Tahoma"/>
        </w:rPr>
        <w:t>used</w:t>
      </w:r>
      <w:r w:rsidR="003C6425">
        <w:rPr>
          <w:rFonts w:ascii="Tahoma" w:hAnsi="Tahoma" w:cs="Tahoma"/>
        </w:rPr>
        <w:t xml:space="preserve"> </w:t>
      </w:r>
      <w:r w:rsidR="00983A4D">
        <w:rPr>
          <w:rFonts w:ascii="Tahoma" w:hAnsi="Tahoma" w:cs="Tahoma"/>
        </w:rPr>
        <w:t xml:space="preserve">routinely </w:t>
      </w:r>
      <w:r w:rsidR="00BE608C">
        <w:rPr>
          <w:rFonts w:ascii="Tahoma" w:hAnsi="Tahoma" w:cs="Tahoma"/>
        </w:rPr>
        <w:t>throughout academia</w:t>
      </w:r>
      <w:r w:rsidR="008533D8">
        <w:rPr>
          <w:rFonts w:ascii="Tahoma" w:hAnsi="Tahoma" w:cs="Tahoma"/>
        </w:rPr>
        <w:t xml:space="preserve"> for summative assessment purposes</w:t>
      </w:r>
      <w:r w:rsidR="00643FC4">
        <w:rPr>
          <w:rFonts w:ascii="Tahoma" w:hAnsi="Tahoma" w:cs="Tahoma"/>
        </w:rPr>
        <w:t>.</w:t>
      </w:r>
      <w:r w:rsidR="003C6425">
        <w:rPr>
          <w:rFonts w:ascii="Tahoma" w:hAnsi="Tahoma" w:cs="Tahoma"/>
        </w:rPr>
        <w:t xml:space="preserve"> </w:t>
      </w:r>
      <w:r w:rsidR="00643FC4">
        <w:rPr>
          <w:rFonts w:ascii="Tahoma" w:hAnsi="Tahoma" w:cs="Tahoma"/>
        </w:rPr>
        <w:t>A</w:t>
      </w:r>
      <w:r w:rsidR="007F1119">
        <w:rPr>
          <w:rFonts w:ascii="Tahoma" w:hAnsi="Tahoma" w:cs="Tahoma"/>
        </w:rPr>
        <w:t xml:space="preserve">s a </w:t>
      </w:r>
      <w:r w:rsidR="005E148E">
        <w:rPr>
          <w:rFonts w:ascii="Tahoma" w:hAnsi="Tahoma" w:cs="Tahoma"/>
        </w:rPr>
        <w:t>result,</w:t>
      </w:r>
      <w:r w:rsidR="003C6425">
        <w:rPr>
          <w:rFonts w:ascii="Tahoma" w:hAnsi="Tahoma" w:cs="Tahoma"/>
        </w:rPr>
        <w:t xml:space="preserve"> </w:t>
      </w:r>
      <w:r w:rsidR="0030452B">
        <w:rPr>
          <w:rFonts w:ascii="Tahoma" w:hAnsi="Tahoma" w:cs="Tahoma"/>
        </w:rPr>
        <w:t xml:space="preserve">students </w:t>
      </w:r>
      <w:r w:rsidR="007C54DB">
        <w:rPr>
          <w:rFonts w:ascii="Tahoma" w:hAnsi="Tahoma" w:cs="Tahoma"/>
        </w:rPr>
        <w:t xml:space="preserve">are anxious about these </w:t>
      </w:r>
      <w:r w:rsidR="000B038E">
        <w:rPr>
          <w:rFonts w:ascii="Tahoma" w:hAnsi="Tahoma" w:cs="Tahoma"/>
        </w:rPr>
        <w:t xml:space="preserve">methods of </w:t>
      </w:r>
      <w:r w:rsidR="007F1119">
        <w:rPr>
          <w:rFonts w:ascii="Tahoma" w:hAnsi="Tahoma" w:cs="Tahoma"/>
        </w:rPr>
        <w:t>assessment</w:t>
      </w:r>
      <w:r w:rsidR="001E096D">
        <w:rPr>
          <w:rFonts w:ascii="Tahoma" w:hAnsi="Tahoma" w:cs="Tahoma"/>
        </w:rPr>
        <w:t xml:space="preserve">, with </w:t>
      </w:r>
      <w:r w:rsidR="00743DFC">
        <w:rPr>
          <w:rFonts w:ascii="Tahoma" w:hAnsi="Tahoma" w:cs="Tahoma"/>
        </w:rPr>
        <w:t xml:space="preserve">traditional written examinations </w:t>
      </w:r>
      <w:r w:rsidR="007C54DB">
        <w:rPr>
          <w:rFonts w:ascii="Tahoma" w:hAnsi="Tahoma" w:cs="Tahoma"/>
        </w:rPr>
        <w:t>perceived</w:t>
      </w:r>
      <w:r w:rsidR="00F00C80">
        <w:rPr>
          <w:rFonts w:ascii="Tahoma" w:hAnsi="Tahoma" w:cs="Tahoma"/>
        </w:rPr>
        <w:t xml:space="preserve"> as not being </w:t>
      </w:r>
      <w:r w:rsidR="00743DFC">
        <w:rPr>
          <w:rFonts w:ascii="Tahoma" w:hAnsi="Tahoma" w:cs="Tahoma"/>
        </w:rPr>
        <w:t xml:space="preserve">fair </w:t>
      </w:r>
      <w:r w:rsidR="00F00C80">
        <w:rPr>
          <w:rFonts w:ascii="Tahoma" w:hAnsi="Tahoma" w:cs="Tahoma"/>
        </w:rPr>
        <w:t xml:space="preserve">or </w:t>
      </w:r>
      <w:r w:rsidR="00743DFC">
        <w:rPr>
          <w:rFonts w:ascii="Tahoma" w:hAnsi="Tahoma" w:cs="Tahoma"/>
        </w:rPr>
        <w:t xml:space="preserve">effective </w:t>
      </w:r>
      <w:r w:rsidR="00F00C80">
        <w:rPr>
          <w:rFonts w:ascii="Tahoma" w:hAnsi="Tahoma" w:cs="Tahoma"/>
        </w:rPr>
        <w:t xml:space="preserve">for learning </w:t>
      </w:r>
      <w:r w:rsidR="006314E1">
        <w:rPr>
          <w:rFonts w:ascii="Tahoma" w:hAnsi="Tahoma" w:cs="Tahoma"/>
        </w:rPr>
        <w:t xml:space="preserve">by students </w:t>
      </w:r>
      <w:r w:rsidR="00DA06BF">
        <w:rPr>
          <w:rFonts w:ascii="Tahoma" w:hAnsi="Tahoma" w:cs="Tahoma"/>
        </w:rPr>
        <w:t xml:space="preserve">who are assessed in this manner </w:t>
      </w:r>
      <w:r w:rsidR="006314E1">
        <w:rPr>
          <w:rFonts w:ascii="Tahoma" w:hAnsi="Tahoma" w:cs="Tahoma"/>
        </w:rPr>
        <w:t xml:space="preserve">(Flores </w:t>
      </w:r>
      <w:r w:rsidR="006314E1" w:rsidRPr="00657EED">
        <w:rPr>
          <w:rFonts w:ascii="Tahoma" w:hAnsi="Tahoma" w:cs="Tahoma"/>
          <w:i/>
        </w:rPr>
        <w:t>et al</w:t>
      </w:r>
      <w:r w:rsidR="006314E1">
        <w:rPr>
          <w:rFonts w:ascii="Tahoma" w:hAnsi="Tahoma" w:cs="Tahoma"/>
        </w:rPr>
        <w:t>., 2015)</w:t>
      </w:r>
      <w:r w:rsidR="00DA06BF">
        <w:rPr>
          <w:rFonts w:ascii="Tahoma" w:hAnsi="Tahoma" w:cs="Tahoma"/>
        </w:rPr>
        <w:t xml:space="preserve">, let alone those students that </w:t>
      </w:r>
      <w:r w:rsidR="00122098">
        <w:rPr>
          <w:rFonts w:ascii="Tahoma" w:hAnsi="Tahoma" w:cs="Tahoma"/>
        </w:rPr>
        <w:t xml:space="preserve">are </w:t>
      </w:r>
      <w:r w:rsidR="006C0441">
        <w:rPr>
          <w:rFonts w:ascii="Tahoma" w:hAnsi="Tahoma" w:cs="Tahoma"/>
        </w:rPr>
        <w:t xml:space="preserve">not </w:t>
      </w:r>
      <w:r w:rsidR="00527534">
        <w:rPr>
          <w:rFonts w:ascii="Tahoma" w:hAnsi="Tahoma" w:cs="Tahoma"/>
        </w:rPr>
        <w:t xml:space="preserve">familiar with </w:t>
      </w:r>
      <w:r w:rsidR="00DA06BF">
        <w:rPr>
          <w:rFonts w:ascii="Tahoma" w:hAnsi="Tahoma" w:cs="Tahoma"/>
        </w:rPr>
        <w:t xml:space="preserve">this </w:t>
      </w:r>
      <w:r w:rsidR="00DD142E">
        <w:rPr>
          <w:rFonts w:ascii="Tahoma" w:hAnsi="Tahoma" w:cs="Tahoma"/>
        </w:rPr>
        <w:t xml:space="preserve">type of </w:t>
      </w:r>
      <w:r w:rsidR="00DA06BF">
        <w:rPr>
          <w:rFonts w:ascii="Tahoma" w:hAnsi="Tahoma" w:cs="Tahoma"/>
        </w:rPr>
        <w:t>assessment method</w:t>
      </w:r>
      <w:r w:rsidR="007C54DB">
        <w:rPr>
          <w:rFonts w:ascii="Tahoma" w:hAnsi="Tahoma" w:cs="Tahoma"/>
        </w:rPr>
        <w:t>,</w:t>
      </w:r>
      <w:r w:rsidR="00DA06BF">
        <w:rPr>
          <w:rFonts w:ascii="Tahoma" w:hAnsi="Tahoma" w:cs="Tahoma"/>
        </w:rPr>
        <w:t xml:space="preserve"> </w:t>
      </w:r>
      <w:r w:rsidR="007C54DB">
        <w:rPr>
          <w:rFonts w:ascii="Tahoma" w:hAnsi="Tahoma" w:cs="Tahoma"/>
        </w:rPr>
        <w:t xml:space="preserve">such as </w:t>
      </w:r>
      <w:r w:rsidR="00DA06BF">
        <w:rPr>
          <w:rFonts w:ascii="Tahoma" w:hAnsi="Tahoma" w:cs="Tahoma"/>
        </w:rPr>
        <w:t>BTEC</w:t>
      </w:r>
      <w:r w:rsidR="00F863DA">
        <w:rPr>
          <w:rFonts w:ascii="Tahoma" w:hAnsi="Tahoma" w:cs="Tahoma"/>
        </w:rPr>
        <w:t xml:space="preserve"> students</w:t>
      </w:r>
      <w:r w:rsidR="00DA06BF">
        <w:rPr>
          <w:rFonts w:ascii="Tahoma" w:hAnsi="Tahoma" w:cs="Tahoma"/>
        </w:rPr>
        <w:t>.</w:t>
      </w:r>
    </w:p>
    <w:p w:rsidR="00FC39E4" w:rsidRDefault="00EE1B56" w:rsidP="00675CE9">
      <w:pPr>
        <w:spacing w:before="240" w:after="0" w:line="360" w:lineRule="auto"/>
        <w:rPr>
          <w:rFonts w:ascii="Tahoma" w:hAnsi="Tahoma" w:cs="Tahoma"/>
        </w:rPr>
      </w:pPr>
      <w:r>
        <w:rPr>
          <w:rFonts w:ascii="Tahoma" w:hAnsi="Tahoma" w:cs="Tahoma"/>
        </w:rPr>
        <w:t>The</w:t>
      </w:r>
      <w:r w:rsidR="00182E48">
        <w:rPr>
          <w:rFonts w:ascii="Tahoma" w:hAnsi="Tahoma" w:cs="Tahoma"/>
        </w:rPr>
        <w:t xml:space="preserve"> </w:t>
      </w:r>
      <w:r w:rsidR="00FF3261">
        <w:rPr>
          <w:rFonts w:ascii="Tahoma" w:hAnsi="Tahoma" w:cs="Tahoma"/>
        </w:rPr>
        <w:t xml:space="preserve">findings identified that the </w:t>
      </w:r>
      <w:r w:rsidR="008C4D48">
        <w:rPr>
          <w:rFonts w:ascii="Tahoma" w:hAnsi="Tahoma" w:cs="Tahoma"/>
        </w:rPr>
        <w:t>f</w:t>
      </w:r>
      <w:r w:rsidR="00FC39E4">
        <w:rPr>
          <w:rFonts w:ascii="Tahoma" w:hAnsi="Tahoma" w:cs="Tahoma"/>
        </w:rPr>
        <w:t>ear of failure</w:t>
      </w:r>
      <w:r w:rsidR="003C6425">
        <w:rPr>
          <w:rFonts w:ascii="Tahoma" w:hAnsi="Tahoma" w:cs="Tahoma"/>
        </w:rPr>
        <w:t xml:space="preserve"> </w:t>
      </w:r>
      <w:r w:rsidR="005E4137">
        <w:rPr>
          <w:rFonts w:ascii="Tahoma" w:hAnsi="Tahoma" w:cs="Tahoma"/>
        </w:rPr>
        <w:t>was significant</w:t>
      </w:r>
      <w:r w:rsidR="00FF3261">
        <w:rPr>
          <w:rFonts w:ascii="Tahoma" w:hAnsi="Tahoma" w:cs="Tahoma"/>
        </w:rPr>
        <w:t xml:space="preserve"> amongst </w:t>
      </w:r>
      <w:r w:rsidR="00182E48">
        <w:rPr>
          <w:rFonts w:ascii="Tahoma" w:hAnsi="Tahoma" w:cs="Tahoma"/>
        </w:rPr>
        <w:t>students;</w:t>
      </w:r>
      <w:r w:rsidR="00AD5AAD">
        <w:rPr>
          <w:rFonts w:ascii="Tahoma" w:hAnsi="Tahoma" w:cs="Tahoma"/>
        </w:rPr>
        <w:t xml:space="preserve"> </w:t>
      </w:r>
      <w:r w:rsidR="00FF3261">
        <w:rPr>
          <w:rFonts w:ascii="Tahoma" w:hAnsi="Tahoma" w:cs="Tahoma"/>
        </w:rPr>
        <w:t xml:space="preserve">it </w:t>
      </w:r>
      <w:r w:rsidR="00AD5AAD">
        <w:rPr>
          <w:rFonts w:ascii="Tahoma" w:hAnsi="Tahoma" w:cs="Tahoma"/>
        </w:rPr>
        <w:t xml:space="preserve">manifested </w:t>
      </w:r>
      <w:r w:rsidR="00042CD8">
        <w:rPr>
          <w:rFonts w:ascii="Tahoma" w:hAnsi="Tahoma" w:cs="Tahoma"/>
        </w:rPr>
        <w:t xml:space="preserve">itself in anxiety and </w:t>
      </w:r>
      <w:r w:rsidR="005E7FC9">
        <w:rPr>
          <w:rFonts w:ascii="Tahoma" w:hAnsi="Tahoma" w:cs="Tahoma"/>
        </w:rPr>
        <w:t>trepidation about th</w:t>
      </w:r>
      <w:r w:rsidR="00042CD8">
        <w:rPr>
          <w:rFonts w:ascii="Tahoma" w:hAnsi="Tahoma" w:cs="Tahoma"/>
        </w:rPr>
        <w:t>e</w:t>
      </w:r>
      <w:r w:rsidR="005E7FC9">
        <w:rPr>
          <w:rFonts w:ascii="Tahoma" w:hAnsi="Tahoma" w:cs="Tahoma"/>
        </w:rPr>
        <w:t xml:space="preserve"> transition to HE.</w:t>
      </w:r>
      <w:r w:rsidR="006B27BC">
        <w:rPr>
          <w:rFonts w:ascii="Tahoma" w:hAnsi="Tahoma" w:cs="Tahoma"/>
        </w:rPr>
        <w:t xml:space="preserve"> Morgan and Sisak (2016) </w:t>
      </w:r>
      <w:r w:rsidR="00384AC6">
        <w:rPr>
          <w:rFonts w:ascii="Tahoma" w:hAnsi="Tahoma" w:cs="Tahoma"/>
        </w:rPr>
        <w:t>describe that f</w:t>
      </w:r>
      <w:r w:rsidR="006B27BC" w:rsidRPr="006B27BC">
        <w:rPr>
          <w:rFonts w:ascii="Tahoma" w:hAnsi="Tahoma" w:cs="Tahoma"/>
        </w:rPr>
        <w:t xml:space="preserve">ear of failure may </w:t>
      </w:r>
      <w:r w:rsidR="007D7AF9" w:rsidRPr="006B27BC">
        <w:rPr>
          <w:rFonts w:ascii="Tahoma" w:hAnsi="Tahoma" w:cs="Tahoma"/>
        </w:rPr>
        <w:t>be</w:t>
      </w:r>
      <w:r w:rsidR="006B27BC" w:rsidRPr="006B27BC">
        <w:rPr>
          <w:rFonts w:ascii="Tahoma" w:hAnsi="Tahoma" w:cs="Tahoma"/>
        </w:rPr>
        <w:t xml:space="preserve"> a form of loss aversion</w:t>
      </w:r>
      <w:r w:rsidR="008D34E9">
        <w:rPr>
          <w:rFonts w:ascii="Tahoma" w:hAnsi="Tahoma" w:cs="Tahoma"/>
        </w:rPr>
        <w:t xml:space="preserve"> and f</w:t>
      </w:r>
      <w:r w:rsidR="006B27BC" w:rsidRPr="006B27BC">
        <w:rPr>
          <w:rFonts w:ascii="Tahoma" w:hAnsi="Tahoma" w:cs="Tahoma"/>
        </w:rPr>
        <w:t xml:space="preserve">or those </w:t>
      </w:r>
      <w:r w:rsidR="008D34E9">
        <w:rPr>
          <w:rFonts w:ascii="Tahoma" w:hAnsi="Tahoma" w:cs="Tahoma"/>
        </w:rPr>
        <w:t xml:space="preserve">students </w:t>
      </w:r>
      <w:r w:rsidR="006B27BC" w:rsidRPr="006B27BC">
        <w:rPr>
          <w:rFonts w:ascii="Tahoma" w:hAnsi="Tahoma" w:cs="Tahoma"/>
        </w:rPr>
        <w:t>harbouring such fears, failures weigh more heavily</w:t>
      </w:r>
      <w:r w:rsidR="003C6425">
        <w:rPr>
          <w:rFonts w:ascii="Tahoma" w:hAnsi="Tahoma" w:cs="Tahoma"/>
        </w:rPr>
        <w:t xml:space="preserve"> </w:t>
      </w:r>
      <w:r w:rsidR="006B27BC" w:rsidRPr="006B27BC">
        <w:rPr>
          <w:rFonts w:ascii="Tahoma" w:hAnsi="Tahoma" w:cs="Tahoma"/>
        </w:rPr>
        <w:t xml:space="preserve">than </w:t>
      </w:r>
      <w:r w:rsidR="00695E7E">
        <w:rPr>
          <w:rFonts w:ascii="Tahoma" w:hAnsi="Tahoma" w:cs="Tahoma"/>
        </w:rPr>
        <w:t>successes</w:t>
      </w:r>
      <w:r w:rsidR="004960C8">
        <w:rPr>
          <w:rFonts w:ascii="Tahoma" w:hAnsi="Tahoma" w:cs="Tahoma"/>
        </w:rPr>
        <w:t>.</w:t>
      </w:r>
      <w:r w:rsidR="003C6425">
        <w:rPr>
          <w:rFonts w:ascii="Tahoma" w:hAnsi="Tahoma" w:cs="Tahoma"/>
        </w:rPr>
        <w:t xml:space="preserve"> </w:t>
      </w:r>
      <w:r w:rsidR="004960C8">
        <w:rPr>
          <w:rFonts w:ascii="Tahoma" w:hAnsi="Tahoma" w:cs="Tahoma"/>
        </w:rPr>
        <w:t>B</w:t>
      </w:r>
      <w:r w:rsidR="006B27BC" w:rsidRPr="006B27BC">
        <w:rPr>
          <w:rFonts w:ascii="Tahoma" w:hAnsi="Tahoma" w:cs="Tahoma"/>
        </w:rPr>
        <w:t>oth of which are measured relative to some reference point</w:t>
      </w:r>
      <w:r w:rsidR="0078106A">
        <w:rPr>
          <w:rFonts w:ascii="Tahoma" w:hAnsi="Tahoma" w:cs="Tahoma"/>
        </w:rPr>
        <w:t>,</w:t>
      </w:r>
      <w:r w:rsidR="008B5E91">
        <w:rPr>
          <w:rFonts w:ascii="Tahoma" w:hAnsi="Tahoma" w:cs="Tahoma"/>
        </w:rPr>
        <w:t xml:space="preserve"> which in this instance </w:t>
      </w:r>
      <w:r w:rsidR="004960C8">
        <w:rPr>
          <w:rFonts w:ascii="Tahoma" w:hAnsi="Tahoma" w:cs="Tahoma"/>
        </w:rPr>
        <w:t>may be</w:t>
      </w:r>
      <w:r w:rsidR="003C6425">
        <w:rPr>
          <w:rFonts w:ascii="Tahoma" w:hAnsi="Tahoma" w:cs="Tahoma"/>
        </w:rPr>
        <w:t xml:space="preserve"> </w:t>
      </w:r>
      <w:r w:rsidR="00F57347">
        <w:rPr>
          <w:rFonts w:ascii="Tahoma" w:hAnsi="Tahoma" w:cs="Tahoma"/>
        </w:rPr>
        <w:t xml:space="preserve">the unknown of </w:t>
      </w:r>
      <w:r w:rsidR="00AD5AAD">
        <w:rPr>
          <w:rFonts w:ascii="Tahoma" w:hAnsi="Tahoma" w:cs="Tahoma"/>
        </w:rPr>
        <w:t xml:space="preserve">a more </w:t>
      </w:r>
      <w:r w:rsidR="00F57347">
        <w:rPr>
          <w:rFonts w:ascii="Tahoma" w:hAnsi="Tahoma" w:cs="Tahoma"/>
        </w:rPr>
        <w:t xml:space="preserve">academic </w:t>
      </w:r>
      <w:r w:rsidR="00AD5AAD">
        <w:rPr>
          <w:rFonts w:ascii="Tahoma" w:hAnsi="Tahoma" w:cs="Tahoma"/>
        </w:rPr>
        <w:t xml:space="preserve">focused </w:t>
      </w:r>
      <w:r w:rsidR="00F57347">
        <w:rPr>
          <w:rFonts w:ascii="Tahoma" w:hAnsi="Tahoma" w:cs="Tahoma"/>
        </w:rPr>
        <w:t>education</w:t>
      </w:r>
      <w:r w:rsidR="006B27BC" w:rsidRPr="006B27BC">
        <w:rPr>
          <w:rFonts w:ascii="Tahoma" w:hAnsi="Tahoma" w:cs="Tahoma"/>
        </w:rPr>
        <w:t xml:space="preserve">. </w:t>
      </w:r>
      <w:r w:rsidR="006C7C32">
        <w:rPr>
          <w:rFonts w:ascii="Tahoma" w:hAnsi="Tahoma" w:cs="Tahoma"/>
        </w:rPr>
        <w:t xml:space="preserve">Whilst little information exists that focuses on students and fear of failure, </w:t>
      </w:r>
      <w:r w:rsidR="007F27C9">
        <w:rPr>
          <w:rFonts w:ascii="Tahoma" w:hAnsi="Tahoma" w:cs="Tahoma"/>
        </w:rPr>
        <w:t>within entrepreneurship t</w:t>
      </w:r>
      <w:r w:rsidR="00F04B9F" w:rsidRPr="00F04B9F">
        <w:rPr>
          <w:rFonts w:ascii="Tahoma" w:hAnsi="Tahoma" w:cs="Tahoma"/>
        </w:rPr>
        <w:t>he effect of fear of failure on entry decisions is unambiguously negative</w:t>
      </w:r>
      <w:r w:rsidR="008568E2">
        <w:rPr>
          <w:rFonts w:ascii="Tahoma" w:hAnsi="Tahoma" w:cs="Tahoma"/>
        </w:rPr>
        <w:t>.</w:t>
      </w:r>
      <w:r w:rsidR="003C6425">
        <w:rPr>
          <w:rFonts w:ascii="Tahoma" w:hAnsi="Tahoma" w:cs="Tahoma"/>
        </w:rPr>
        <w:t xml:space="preserve"> </w:t>
      </w:r>
      <w:r w:rsidR="008568E2">
        <w:rPr>
          <w:rFonts w:ascii="Tahoma" w:hAnsi="Tahoma" w:cs="Tahoma"/>
        </w:rPr>
        <w:t xml:space="preserve">Therefore, if </w:t>
      </w:r>
      <w:r w:rsidR="00143F06">
        <w:rPr>
          <w:rFonts w:ascii="Tahoma" w:hAnsi="Tahoma" w:cs="Tahoma"/>
        </w:rPr>
        <w:t xml:space="preserve">commonalities exist, </w:t>
      </w:r>
      <w:r w:rsidR="00FC6B20">
        <w:rPr>
          <w:rFonts w:ascii="Tahoma" w:hAnsi="Tahoma" w:cs="Tahoma"/>
        </w:rPr>
        <w:t xml:space="preserve">a </w:t>
      </w:r>
      <w:r w:rsidR="00F04B9F" w:rsidRPr="00F04B9F">
        <w:rPr>
          <w:rFonts w:ascii="Tahoma" w:hAnsi="Tahoma" w:cs="Tahoma"/>
        </w:rPr>
        <w:t xml:space="preserve">higher fear of failure </w:t>
      </w:r>
      <w:r w:rsidR="00B21C1C">
        <w:rPr>
          <w:rFonts w:ascii="Tahoma" w:hAnsi="Tahoma" w:cs="Tahoma"/>
        </w:rPr>
        <w:t xml:space="preserve">may </w:t>
      </w:r>
      <w:r w:rsidR="00F04B9F" w:rsidRPr="00F04B9F">
        <w:rPr>
          <w:rFonts w:ascii="Tahoma" w:hAnsi="Tahoma" w:cs="Tahoma"/>
        </w:rPr>
        <w:t>discourage</w:t>
      </w:r>
      <w:r w:rsidR="003C6425">
        <w:rPr>
          <w:rFonts w:ascii="Tahoma" w:hAnsi="Tahoma" w:cs="Tahoma"/>
        </w:rPr>
        <w:t xml:space="preserve"> </w:t>
      </w:r>
      <w:r w:rsidR="00F04B9F" w:rsidRPr="00F04B9F">
        <w:rPr>
          <w:rFonts w:ascii="Tahoma" w:hAnsi="Tahoma" w:cs="Tahoma"/>
        </w:rPr>
        <w:t xml:space="preserve">entry into </w:t>
      </w:r>
      <w:r w:rsidR="003F03CD">
        <w:rPr>
          <w:rFonts w:ascii="Tahoma" w:hAnsi="Tahoma" w:cs="Tahoma"/>
        </w:rPr>
        <w:t>HE</w:t>
      </w:r>
      <w:r w:rsidR="00D42ACB">
        <w:rPr>
          <w:rFonts w:ascii="Tahoma" w:hAnsi="Tahoma" w:cs="Tahoma"/>
        </w:rPr>
        <w:t xml:space="preserve"> for students studying sport and exercise courses</w:t>
      </w:r>
      <w:r w:rsidR="008B705A">
        <w:rPr>
          <w:rFonts w:ascii="Tahoma" w:hAnsi="Tahoma" w:cs="Tahoma"/>
        </w:rPr>
        <w:t xml:space="preserve">. Sogunro (2014) </w:t>
      </w:r>
      <w:r w:rsidR="00BC3DF7">
        <w:rPr>
          <w:rFonts w:ascii="Tahoma" w:hAnsi="Tahoma" w:cs="Tahoma"/>
        </w:rPr>
        <w:t>counters this notion</w:t>
      </w:r>
      <w:r w:rsidR="00941627">
        <w:rPr>
          <w:rFonts w:ascii="Tahoma" w:hAnsi="Tahoma" w:cs="Tahoma"/>
        </w:rPr>
        <w:t>,</w:t>
      </w:r>
      <w:r w:rsidR="003C6425">
        <w:rPr>
          <w:rFonts w:ascii="Tahoma" w:hAnsi="Tahoma" w:cs="Tahoma"/>
        </w:rPr>
        <w:t xml:space="preserve"> </w:t>
      </w:r>
      <w:r w:rsidR="00420575">
        <w:rPr>
          <w:rFonts w:ascii="Tahoma" w:hAnsi="Tahoma" w:cs="Tahoma"/>
        </w:rPr>
        <w:t xml:space="preserve">whilst supporting the fact </w:t>
      </w:r>
      <w:r w:rsidR="00210220">
        <w:rPr>
          <w:rFonts w:ascii="Tahoma" w:hAnsi="Tahoma" w:cs="Tahoma"/>
        </w:rPr>
        <w:t xml:space="preserve">that </w:t>
      </w:r>
      <w:r w:rsidR="00566B94">
        <w:rPr>
          <w:rFonts w:ascii="Tahoma" w:hAnsi="Tahoma" w:cs="Tahoma"/>
        </w:rPr>
        <w:t xml:space="preserve">the </w:t>
      </w:r>
      <w:r w:rsidR="00B90AF8">
        <w:rPr>
          <w:rFonts w:ascii="Tahoma" w:hAnsi="Tahoma" w:cs="Tahoma"/>
        </w:rPr>
        <w:t>anxieties</w:t>
      </w:r>
      <w:r w:rsidR="00420575">
        <w:rPr>
          <w:rFonts w:ascii="Tahoma" w:hAnsi="Tahoma" w:cs="Tahoma"/>
        </w:rPr>
        <w:t xml:space="preserve"> and </w:t>
      </w:r>
      <w:r w:rsidR="00210220">
        <w:rPr>
          <w:rFonts w:ascii="Tahoma" w:hAnsi="Tahoma" w:cs="Tahoma"/>
        </w:rPr>
        <w:t>fear of failure that students bring into the classroom</w:t>
      </w:r>
      <w:r w:rsidR="003C6425">
        <w:rPr>
          <w:rFonts w:ascii="Tahoma" w:hAnsi="Tahoma" w:cs="Tahoma"/>
        </w:rPr>
        <w:t xml:space="preserve"> </w:t>
      </w:r>
      <w:r w:rsidR="00CE4742">
        <w:rPr>
          <w:rFonts w:ascii="Tahoma" w:hAnsi="Tahoma" w:cs="Tahoma"/>
        </w:rPr>
        <w:t xml:space="preserve">can </w:t>
      </w:r>
      <w:r w:rsidR="00C5543B">
        <w:rPr>
          <w:rFonts w:ascii="Tahoma" w:hAnsi="Tahoma" w:cs="Tahoma"/>
        </w:rPr>
        <w:t xml:space="preserve">sometimes </w:t>
      </w:r>
      <w:r w:rsidR="00CE4742">
        <w:rPr>
          <w:rFonts w:ascii="Tahoma" w:hAnsi="Tahoma" w:cs="Tahoma"/>
        </w:rPr>
        <w:t>be</w:t>
      </w:r>
      <w:r w:rsidR="00AA1044">
        <w:rPr>
          <w:rFonts w:ascii="Tahoma" w:hAnsi="Tahoma" w:cs="Tahoma"/>
        </w:rPr>
        <w:t xml:space="preserve"> unnecessary baggage</w:t>
      </w:r>
      <w:r w:rsidR="00CE4742">
        <w:rPr>
          <w:rFonts w:ascii="Tahoma" w:hAnsi="Tahoma" w:cs="Tahoma"/>
        </w:rPr>
        <w:t xml:space="preserve">, </w:t>
      </w:r>
      <w:r w:rsidR="00566B94">
        <w:rPr>
          <w:rFonts w:ascii="Tahoma" w:hAnsi="Tahoma" w:cs="Tahoma"/>
        </w:rPr>
        <w:t>the</w:t>
      </w:r>
      <w:r w:rsidR="00A310BF">
        <w:rPr>
          <w:rFonts w:ascii="Tahoma" w:hAnsi="Tahoma" w:cs="Tahoma"/>
        </w:rPr>
        <w:t>se</w:t>
      </w:r>
      <w:r w:rsidR="00182E48">
        <w:rPr>
          <w:rFonts w:ascii="Tahoma" w:hAnsi="Tahoma" w:cs="Tahoma"/>
        </w:rPr>
        <w:t xml:space="preserve"> </w:t>
      </w:r>
      <w:r w:rsidR="00211639">
        <w:rPr>
          <w:rFonts w:ascii="Tahoma" w:hAnsi="Tahoma" w:cs="Tahoma"/>
        </w:rPr>
        <w:t>traits</w:t>
      </w:r>
      <w:r w:rsidR="00566B94">
        <w:rPr>
          <w:rFonts w:ascii="Tahoma" w:hAnsi="Tahoma" w:cs="Tahoma"/>
        </w:rPr>
        <w:t xml:space="preserve"> can </w:t>
      </w:r>
      <w:r w:rsidR="00CE4742">
        <w:rPr>
          <w:rFonts w:ascii="Tahoma" w:hAnsi="Tahoma" w:cs="Tahoma"/>
        </w:rPr>
        <w:t xml:space="preserve">also </w:t>
      </w:r>
      <w:r w:rsidR="00DF70EE">
        <w:rPr>
          <w:rFonts w:ascii="Tahoma" w:hAnsi="Tahoma" w:cs="Tahoma"/>
        </w:rPr>
        <w:t xml:space="preserve">have great </w:t>
      </w:r>
      <w:r w:rsidR="00CE4742">
        <w:rPr>
          <w:rFonts w:ascii="Tahoma" w:hAnsi="Tahoma" w:cs="Tahoma"/>
        </w:rPr>
        <w:t xml:space="preserve">motivational </w:t>
      </w:r>
      <w:r w:rsidR="00DF70EE">
        <w:rPr>
          <w:rFonts w:ascii="Tahoma" w:hAnsi="Tahoma" w:cs="Tahoma"/>
        </w:rPr>
        <w:t xml:space="preserve">potential </w:t>
      </w:r>
      <w:r w:rsidR="00CE4742">
        <w:rPr>
          <w:rFonts w:ascii="Tahoma" w:hAnsi="Tahoma" w:cs="Tahoma"/>
        </w:rPr>
        <w:t>to allow a student to succeed.</w:t>
      </w:r>
      <w:r w:rsidR="003C6425">
        <w:rPr>
          <w:rFonts w:ascii="Tahoma" w:hAnsi="Tahoma" w:cs="Tahoma"/>
        </w:rPr>
        <w:t xml:space="preserve"> </w:t>
      </w:r>
      <w:r w:rsidR="00941627">
        <w:rPr>
          <w:rFonts w:ascii="Tahoma" w:hAnsi="Tahoma" w:cs="Tahoma"/>
        </w:rPr>
        <w:t>S</w:t>
      </w:r>
      <w:r w:rsidR="00566B94">
        <w:rPr>
          <w:rFonts w:ascii="Tahoma" w:hAnsi="Tahoma" w:cs="Tahoma"/>
        </w:rPr>
        <w:t>tudents are clearly aspirational</w:t>
      </w:r>
      <w:r w:rsidR="00D61566">
        <w:rPr>
          <w:rFonts w:ascii="Tahoma" w:hAnsi="Tahoma" w:cs="Tahoma"/>
        </w:rPr>
        <w:t xml:space="preserve"> about their education and employability</w:t>
      </w:r>
      <w:r w:rsidR="00BE607F">
        <w:rPr>
          <w:rFonts w:ascii="Tahoma" w:hAnsi="Tahoma" w:cs="Tahoma"/>
        </w:rPr>
        <w:t xml:space="preserve">, </w:t>
      </w:r>
      <w:r w:rsidR="0052383F">
        <w:rPr>
          <w:rFonts w:ascii="Tahoma" w:hAnsi="Tahoma" w:cs="Tahoma"/>
        </w:rPr>
        <w:t>whilst</w:t>
      </w:r>
      <w:r w:rsidR="003C6425">
        <w:rPr>
          <w:rFonts w:ascii="Tahoma" w:hAnsi="Tahoma" w:cs="Tahoma"/>
        </w:rPr>
        <w:t xml:space="preserve"> </w:t>
      </w:r>
      <w:r w:rsidR="00714558">
        <w:rPr>
          <w:rFonts w:ascii="Tahoma" w:hAnsi="Tahoma" w:cs="Tahoma"/>
        </w:rPr>
        <w:t>it is natural to have some doubts surrounding new experiences and environments</w:t>
      </w:r>
      <w:r w:rsidR="00647ADC">
        <w:rPr>
          <w:rFonts w:ascii="Tahoma" w:hAnsi="Tahoma" w:cs="Tahoma"/>
        </w:rPr>
        <w:t>,</w:t>
      </w:r>
      <w:r w:rsidR="00BC6509">
        <w:rPr>
          <w:rFonts w:ascii="Tahoma" w:hAnsi="Tahoma" w:cs="Tahoma"/>
        </w:rPr>
        <w:t xml:space="preserve"> the students are positive about </w:t>
      </w:r>
      <w:r w:rsidR="00B1541F">
        <w:rPr>
          <w:rFonts w:ascii="Tahoma" w:hAnsi="Tahoma" w:cs="Tahoma"/>
        </w:rPr>
        <w:t xml:space="preserve">improving their </w:t>
      </w:r>
      <w:r w:rsidR="00F72385">
        <w:rPr>
          <w:rFonts w:ascii="Tahoma" w:hAnsi="Tahoma" w:cs="Tahoma"/>
        </w:rPr>
        <w:t>prospects</w:t>
      </w:r>
      <w:r w:rsidR="0052383F">
        <w:rPr>
          <w:rFonts w:ascii="Tahoma" w:hAnsi="Tahoma" w:cs="Tahoma"/>
        </w:rPr>
        <w:t xml:space="preserve"> by studying a FD</w:t>
      </w:r>
      <w:r w:rsidR="00B1541F">
        <w:rPr>
          <w:rFonts w:ascii="Tahoma" w:hAnsi="Tahoma" w:cs="Tahoma"/>
        </w:rPr>
        <w:t>.</w:t>
      </w:r>
      <w:r w:rsidR="00FB7757">
        <w:rPr>
          <w:rFonts w:ascii="Tahoma" w:hAnsi="Tahoma" w:cs="Tahoma"/>
        </w:rPr>
        <w:t xml:space="preserve"> This </w:t>
      </w:r>
      <w:r w:rsidR="00F82DDA">
        <w:rPr>
          <w:rFonts w:ascii="Tahoma" w:hAnsi="Tahoma" w:cs="Tahoma"/>
        </w:rPr>
        <w:t>reflects</w:t>
      </w:r>
      <w:r w:rsidR="003C6425">
        <w:rPr>
          <w:rFonts w:ascii="Tahoma" w:hAnsi="Tahoma" w:cs="Tahoma"/>
        </w:rPr>
        <w:t xml:space="preserve"> </w:t>
      </w:r>
      <w:r w:rsidR="004F4E25">
        <w:rPr>
          <w:rFonts w:ascii="Tahoma" w:hAnsi="Tahoma" w:cs="Tahoma"/>
        </w:rPr>
        <w:t>Gill</w:t>
      </w:r>
      <w:r w:rsidR="00FB7757">
        <w:rPr>
          <w:rFonts w:ascii="Tahoma" w:hAnsi="Tahoma" w:cs="Tahoma"/>
        </w:rPr>
        <w:t xml:space="preserve">’s (2018) findings, where students perceive the benefits of studying for a </w:t>
      </w:r>
      <w:r w:rsidR="00F72385">
        <w:rPr>
          <w:rFonts w:ascii="Tahoma" w:hAnsi="Tahoma" w:cs="Tahoma"/>
        </w:rPr>
        <w:t>higher-level</w:t>
      </w:r>
      <w:r w:rsidR="00FB7757">
        <w:rPr>
          <w:rFonts w:ascii="Tahoma" w:hAnsi="Tahoma" w:cs="Tahoma"/>
        </w:rPr>
        <w:t xml:space="preserve"> qualification</w:t>
      </w:r>
      <w:r w:rsidR="007E4A60">
        <w:rPr>
          <w:rFonts w:ascii="Tahoma" w:hAnsi="Tahoma" w:cs="Tahoma"/>
        </w:rPr>
        <w:t xml:space="preserve"> clearly outweigh the </w:t>
      </w:r>
      <w:r w:rsidR="00672C97">
        <w:rPr>
          <w:rFonts w:ascii="Tahoma" w:hAnsi="Tahoma" w:cs="Tahoma"/>
        </w:rPr>
        <w:t xml:space="preserve">anxieties surrounding the </w:t>
      </w:r>
      <w:r w:rsidR="00C11D20">
        <w:rPr>
          <w:rFonts w:ascii="Tahoma" w:hAnsi="Tahoma" w:cs="Tahoma"/>
        </w:rPr>
        <w:t>transition</w:t>
      </w:r>
      <w:r w:rsidR="00672C97">
        <w:rPr>
          <w:rFonts w:ascii="Tahoma" w:hAnsi="Tahoma" w:cs="Tahoma"/>
        </w:rPr>
        <w:t>.</w:t>
      </w:r>
    </w:p>
    <w:p w:rsidR="00672C97" w:rsidRDefault="00672C97" w:rsidP="008916E0">
      <w:pPr>
        <w:spacing w:after="0" w:line="360" w:lineRule="auto"/>
        <w:jc w:val="both"/>
        <w:rPr>
          <w:rFonts w:ascii="Tahoma" w:hAnsi="Tahoma" w:cs="Tahoma"/>
        </w:rPr>
      </w:pPr>
    </w:p>
    <w:p w:rsidR="00672C97" w:rsidRPr="0033083F" w:rsidRDefault="00672C97" w:rsidP="000818F0">
      <w:pPr>
        <w:spacing w:after="0" w:line="240" w:lineRule="auto"/>
        <w:rPr>
          <w:rFonts w:ascii="Tahoma" w:hAnsi="Tahoma" w:cs="Tahoma"/>
          <w:b/>
          <w:i/>
          <w:sz w:val="24"/>
        </w:rPr>
      </w:pPr>
      <w:r w:rsidRPr="0033083F">
        <w:rPr>
          <w:rFonts w:ascii="Tahoma" w:hAnsi="Tahoma" w:cs="Tahoma"/>
          <w:b/>
          <w:i/>
          <w:sz w:val="24"/>
        </w:rPr>
        <w:t>Differences are Expected Between the Academic Levels and Students Must Make Changes to Meet the Perceived Demands</w:t>
      </w:r>
    </w:p>
    <w:p w:rsidR="000818F0" w:rsidRPr="00207086" w:rsidRDefault="000818F0" w:rsidP="000818F0">
      <w:pPr>
        <w:spacing w:after="0" w:line="240" w:lineRule="auto"/>
        <w:rPr>
          <w:rFonts w:ascii="Tahoma" w:hAnsi="Tahoma" w:cs="Tahoma"/>
          <w:b/>
          <w:sz w:val="24"/>
        </w:rPr>
      </w:pPr>
    </w:p>
    <w:p w:rsidR="00E87AF0" w:rsidRDefault="00123022" w:rsidP="00E24148">
      <w:pPr>
        <w:spacing w:after="0" w:line="360" w:lineRule="auto"/>
        <w:rPr>
          <w:rFonts w:ascii="Tahoma" w:hAnsi="Tahoma" w:cs="Tahoma"/>
        </w:rPr>
      </w:pPr>
      <w:r>
        <w:rPr>
          <w:rFonts w:ascii="Tahoma" w:hAnsi="Tahoma" w:cs="Tahoma"/>
        </w:rPr>
        <w:t>A</w:t>
      </w:r>
      <w:r w:rsidR="003C6425">
        <w:rPr>
          <w:rFonts w:ascii="Tahoma" w:hAnsi="Tahoma" w:cs="Tahoma"/>
        </w:rPr>
        <w:t xml:space="preserve"> </w:t>
      </w:r>
      <w:r w:rsidR="007C2315">
        <w:rPr>
          <w:rFonts w:ascii="Tahoma" w:hAnsi="Tahoma" w:cs="Tahoma"/>
        </w:rPr>
        <w:t xml:space="preserve">perception </w:t>
      </w:r>
      <w:r>
        <w:rPr>
          <w:rFonts w:ascii="Tahoma" w:hAnsi="Tahoma" w:cs="Tahoma"/>
        </w:rPr>
        <w:t xml:space="preserve">exists </w:t>
      </w:r>
      <w:r w:rsidR="007C2315">
        <w:rPr>
          <w:rFonts w:ascii="Tahoma" w:hAnsi="Tahoma" w:cs="Tahoma"/>
        </w:rPr>
        <w:t>that there will be significant differences betwee</w:t>
      </w:r>
      <w:r w:rsidR="00AA3F40">
        <w:rPr>
          <w:rFonts w:ascii="Tahoma" w:hAnsi="Tahoma" w:cs="Tahoma"/>
        </w:rPr>
        <w:t>n the two</w:t>
      </w:r>
      <w:r w:rsidR="007A1BD0">
        <w:rPr>
          <w:rFonts w:ascii="Tahoma" w:hAnsi="Tahoma" w:cs="Tahoma"/>
        </w:rPr>
        <w:t xml:space="preserve"> educational environments</w:t>
      </w:r>
      <w:r w:rsidR="007A6B85">
        <w:rPr>
          <w:rFonts w:ascii="Tahoma" w:hAnsi="Tahoma" w:cs="Tahoma"/>
        </w:rPr>
        <w:t xml:space="preserve">, </w:t>
      </w:r>
      <w:r w:rsidR="007A1BD0">
        <w:rPr>
          <w:rFonts w:ascii="Tahoma" w:hAnsi="Tahoma" w:cs="Tahoma"/>
        </w:rPr>
        <w:t>with students having to make substantial changes</w:t>
      </w:r>
      <w:r w:rsidR="00ED314A">
        <w:rPr>
          <w:rFonts w:ascii="Tahoma" w:hAnsi="Tahoma" w:cs="Tahoma"/>
        </w:rPr>
        <w:t xml:space="preserve"> to ensure </w:t>
      </w:r>
      <w:r w:rsidR="0074500B">
        <w:rPr>
          <w:rFonts w:ascii="Tahoma" w:hAnsi="Tahoma" w:cs="Tahoma"/>
        </w:rPr>
        <w:t>a successful transition</w:t>
      </w:r>
      <w:r w:rsidR="003C6425">
        <w:rPr>
          <w:rFonts w:ascii="Tahoma" w:hAnsi="Tahoma" w:cs="Tahoma"/>
        </w:rPr>
        <w:t xml:space="preserve"> </w:t>
      </w:r>
      <w:r w:rsidR="00D565E4">
        <w:rPr>
          <w:rFonts w:ascii="Tahoma" w:hAnsi="Tahoma" w:cs="Tahoma"/>
        </w:rPr>
        <w:t xml:space="preserve">from FE </w:t>
      </w:r>
      <w:r w:rsidR="009024A2">
        <w:rPr>
          <w:rFonts w:ascii="Tahoma" w:hAnsi="Tahoma" w:cs="Tahoma"/>
        </w:rPr>
        <w:t xml:space="preserve">to </w:t>
      </w:r>
      <w:r w:rsidR="007A6B85">
        <w:rPr>
          <w:rFonts w:ascii="Tahoma" w:hAnsi="Tahoma" w:cs="Tahoma"/>
        </w:rPr>
        <w:t>HE</w:t>
      </w:r>
      <w:r w:rsidR="0074500B">
        <w:rPr>
          <w:rFonts w:ascii="Tahoma" w:hAnsi="Tahoma" w:cs="Tahoma"/>
        </w:rPr>
        <w:t xml:space="preserve">. Students spoke of specific </w:t>
      </w:r>
      <w:r w:rsidR="008B6B1A">
        <w:rPr>
          <w:rFonts w:ascii="Tahoma" w:hAnsi="Tahoma" w:cs="Tahoma"/>
        </w:rPr>
        <w:t>changes that they personally feel they would have to make</w:t>
      </w:r>
      <w:r w:rsidR="00F30E3C">
        <w:rPr>
          <w:rFonts w:ascii="Tahoma" w:hAnsi="Tahoma" w:cs="Tahoma"/>
        </w:rPr>
        <w:t>:</w:t>
      </w:r>
    </w:p>
    <w:p w:rsidR="00F30E3C" w:rsidRDefault="00F30E3C" w:rsidP="008916E0">
      <w:pPr>
        <w:spacing w:after="0" w:line="360" w:lineRule="auto"/>
        <w:jc w:val="both"/>
        <w:rPr>
          <w:rFonts w:ascii="Tahoma" w:hAnsi="Tahoma" w:cs="Tahoma"/>
        </w:rPr>
      </w:pPr>
    </w:p>
    <w:p w:rsidR="00F30E3C" w:rsidRDefault="00F30E3C" w:rsidP="000818F0">
      <w:pPr>
        <w:spacing w:after="0" w:line="240" w:lineRule="auto"/>
        <w:ind w:left="851" w:right="805"/>
        <w:jc w:val="both"/>
        <w:rPr>
          <w:rFonts w:ascii="Tahoma" w:hAnsi="Tahoma" w:cs="Tahoma"/>
        </w:rPr>
      </w:pPr>
      <w:r>
        <w:rPr>
          <w:rFonts w:ascii="Tahoma" w:hAnsi="Tahoma" w:cs="Tahoma"/>
        </w:rPr>
        <w:t xml:space="preserve">“… I’m </w:t>
      </w:r>
      <w:r w:rsidR="002C6757">
        <w:rPr>
          <w:rFonts w:ascii="Tahoma" w:hAnsi="Tahoma" w:cs="Tahoma"/>
        </w:rPr>
        <w:t>going to have to show more commitment to the course… I</w:t>
      </w:r>
      <w:r w:rsidR="00EC1E58">
        <w:rPr>
          <w:rFonts w:ascii="Tahoma" w:hAnsi="Tahoma" w:cs="Tahoma"/>
        </w:rPr>
        <w:t xml:space="preserve"> will pay for the </w:t>
      </w:r>
      <w:r w:rsidR="00033D14">
        <w:rPr>
          <w:rFonts w:ascii="Tahoma" w:hAnsi="Tahoma" w:cs="Tahoma"/>
        </w:rPr>
        <w:t>degree,</w:t>
      </w:r>
      <w:r w:rsidR="00EC1E58">
        <w:rPr>
          <w:rFonts w:ascii="Tahoma" w:hAnsi="Tahoma" w:cs="Tahoma"/>
        </w:rPr>
        <w:t xml:space="preserve"> so </w:t>
      </w:r>
      <w:r w:rsidR="000E7B7F">
        <w:rPr>
          <w:rFonts w:ascii="Tahoma" w:hAnsi="Tahoma" w:cs="Tahoma"/>
        </w:rPr>
        <w:t>I’ve</w:t>
      </w:r>
      <w:r w:rsidR="00EC1E58">
        <w:rPr>
          <w:rFonts w:ascii="Tahoma" w:hAnsi="Tahoma" w:cs="Tahoma"/>
        </w:rPr>
        <w:t xml:space="preserve"> got to be more dedicated and try harder”</w:t>
      </w:r>
    </w:p>
    <w:p w:rsidR="00BA068C" w:rsidRDefault="00BA068C" w:rsidP="000818F0">
      <w:pPr>
        <w:spacing w:after="0" w:line="240" w:lineRule="auto"/>
        <w:ind w:left="851" w:right="805"/>
        <w:jc w:val="both"/>
        <w:rPr>
          <w:rFonts w:ascii="Tahoma" w:hAnsi="Tahoma" w:cs="Tahoma"/>
        </w:rPr>
      </w:pPr>
    </w:p>
    <w:p w:rsidR="00BA068C" w:rsidRDefault="00BA068C" w:rsidP="000818F0">
      <w:pPr>
        <w:spacing w:after="0" w:line="240" w:lineRule="auto"/>
        <w:ind w:left="851" w:right="805"/>
        <w:jc w:val="both"/>
        <w:rPr>
          <w:rFonts w:ascii="Tahoma" w:hAnsi="Tahoma" w:cs="Tahoma"/>
        </w:rPr>
      </w:pPr>
      <w:r>
        <w:rPr>
          <w:rFonts w:ascii="Tahoma" w:hAnsi="Tahoma" w:cs="Tahoma"/>
        </w:rPr>
        <w:t>“</w:t>
      </w:r>
      <w:r w:rsidR="00E82B7B">
        <w:rPr>
          <w:rFonts w:ascii="Tahoma" w:hAnsi="Tahoma" w:cs="Tahoma"/>
        </w:rPr>
        <w:t xml:space="preserve">This will be the first time that I’ll have to pay for my education, </w:t>
      </w:r>
      <w:r w:rsidR="00213474">
        <w:rPr>
          <w:rFonts w:ascii="Tahoma" w:hAnsi="Tahoma" w:cs="Tahoma"/>
        </w:rPr>
        <w:t xml:space="preserve">I don’t want to go into </w:t>
      </w:r>
      <w:r w:rsidR="00AA4EFA">
        <w:rPr>
          <w:rFonts w:ascii="Tahoma" w:hAnsi="Tahoma" w:cs="Tahoma"/>
        </w:rPr>
        <w:t>debt,</w:t>
      </w:r>
      <w:r w:rsidR="003C6425">
        <w:rPr>
          <w:rFonts w:ascii="Tahoma" w:hAnsi="Tahoma" w:cs="Tahoma"/>
        </w:rPr>
        <w:t xml:space="preserve"> </w:t>
      </w:r>
      <w:r w:rsidR="00BC7131">
        <w:rPr>
          <w:rFonts w:ascii="Tahoma" w:hAnsi="Tahoma" w:cs="Tahoma"/>
        </w:rPr>
        <w:t xml:space="preserve">but I know </w:t>
      </w:r>
      <w:r w:rsidR="00AA4EFA">
        <w:rPr>
          <w:rFonts w:ascii="Tahoma" w:hAnsi="Tahoma" w:cs="Tahoma"/>
        </w:rPr>
        <w:t>I</w:t>
      </w:r>
      <w:r w:rsidR="00BC7131">
        <w:rPr>
          <w:rFonts w:ascii="Tahoma" w:hAnsi="Tahoma" w:cs="Tahoma"/>
        </w:rPr>
        <w:t xml:space="preserve"> will benefit </w:t>
      </w:r>
      <w:r w:rsidR="00AA4EFA">
        <w:rPr>
          <w:rFonts w:ascii="Tahoma" w:hAnsi="Tahoma" w:cs="Tahoma"/>
        </w:rPr>
        <w:t xml:space="preserve">in </w:t>
      </w:r>
      <w:r w:rsidR="00DE2A53">
        <w:rPr>
          <w:rFonts w:ascii="Tahoma" w:hAnsi="Tahoma" w:cs="Tahoma"/>
        </w:rPr>
        <w:t>the</w:t>
      </w:r>
      <w:r w:rsidR="00BC7131">
        <w:rPr>
          <w:rFonts w:ascii="Tahoma" w:hAnsi="Tahoma" w:cs="Tahoma"/>
        </w:rPr>
        <w:t xml:space="preserve"> future. … </w:t>
      </w:r>
      <w:r w:rsidR="005566F7">
        <w:rPr>
          <w:rFonts w:ascii="Tahoma" w:hAnsi="Tahoma" w:cs="Tahoma"/>
        </w:rPr>
        <w:t xml:space="preserve">I have to make sure that I turn up and work hard because </w:t>
      </w:r>
      <w:r w:rsidR="007D5CCC">
        <w:rPr>
          <w:rFonts w:ascii="Tahoma" w:hAnsi="Tahoma" w:cs="Tahoma"/>
        </w:rPr>
        <w:t>lots of</w:t>
      </w:r>
      <w:r w:rsidR="00740B72">
        <w:rPr>
          <w:rFonts w:ascii="Tahoma" w:hAnsi="Tahoma" w:cs="Tahoma"/>
        </w:rPr>
        <w:t xml:space="preserve"> reading, writing, deadlines, referencing… </w:t>
      </w:r>
      <w:r w:rsidR="00DE2A53">
        <w:rPr>
          <w:rFonts w:ascii="Tahoma" w:hAnsi="Tahoma" w:cs="Tahoma"/>
        </w:rPr>
        <w:t>it will be hard, no doubt</w:t>
      </w:r>
      <w:r w:rsidR="00740B72">
        <w:rPr>
          <w:rFonts w:ascii="Tahoma" w:hAnsi="Tahoma" w:cs="Tahoma"/>
        </w:rPr>
        <w:t>”</w:t>
      </w:r>
    </w:p>
    <w:p w:rsidR="00E87AF0" w:rsidRDefault="00E87AF0" w:rsidP="008916E0">
      <w:pPr>
        <w:spacing w:after="0" w:line="360" w:lineRule="auto"/>
        <w:jc w:val="both"/>
        <w:rPr>
          <w:rFonts w:ascii="Tahoma" w:hAnsi="Tahoma" w:cs="Tahoma"/>
        </w:rPr>
      </w:pPr>
    </w:p>
    <w:p w:rsidR="00E87AF0" w:rsidRDefault="00067191" w:rsidP="00E24148">
      <w:pPr>
        <w:spacing w:after="0" w:line="360" w:lineRule="auto"/>
        <w:rPr>
          <w:rFonts w:ascii="Tahoma" w:hAnsi="Tahoma" w:cs="Tahoma"/>
        </w:rPr>
      </w:pPr>
      <w:r>
        <w:rPr>
          <w:rFonts w:ascii="Tahoma" w:hAnsi="Tahoma" w:cs="Tahoma"/>
        </w:rPr>
        <w:t>This</w:t>
      </w:r>
      <w:r w:rsidR="009667AF">
        <w:rPr>
          <w:rFonts w:ascii="Tahoma" w:hAnsi="Tahoma" w:cs="Tahoma"/>
        </w:rPr>
        <w:t xml:space="preserve"> notion of paying </w:t>
      </w:r>
      <w:r w:rsidR="00652505">
        <w:rPr>
          <w:rFonts w:ascii="Tahoma" w:hAnsi="Tahoma" w:cs="Tahoma"/>
        </w:rPr>
        <w:t>to study</w:t>
      </w:r>
      <w:r w:rsidR="00F05802">
        <w:rPr>
          <w:rFonts w:ascii="Tahoma" w:hAnsi="Tahoma" w:cs="Tahoma"/>
        </w:rPr>
        <w:t>, possibly</w:t>
      </w:r>
      <w:r w:rsidR="003C6425">
        <w:rPr>
          <w:rFonts w:ascii="Tahoma" w:hAnsi="Tahoma" w:cs="Tahoma"/>
        </w:rPr>
        <w:t xml:space="preserve"> </w:t>
      </w:r>
      <w:r w:rsidR="00F05802">
        <w:rPr>
          <w:rFonts w:ascii="Tahoma" w:hAnsi="Tahoma" w:cs="Tahoma"/>
        </w:rPr>
        <w:t xml:space="preserve">for the first time in </w:t>
      </w:r>
      <w:r w:rsidR="00AE1DE9">
        <w:rPr>
          <w:rFonts w:ascii="Tahoma" w:hAnsi="Tahoma" w:cs="Tahoma"/>
        </w:rPr>
        <w:t>a student’s</w:t>
      </w:r>
      <w:r w:rsidR="00F05802">
        <w:rPr>
          <w:rFonts w:ascii="Tahoma" w:hAnsi="Tahoma" w:cs="Tahoma"/>
        </w:rPr>
        <w:t xml:space="preserve"> education</w:t>
      </w:r>
      <w:r w:rsidR="00AE1DE9">
        <w:rPr>
          <w:rFonts w:ascii="Tahoma" w:hAnsi="Tahoma" w:cs="Tahoma"/>
        </w:rPr>
        <w:t>al journey</w:t>
      </w:r>
      <w:r w:rsidR="00682CBE">
        <w:rPr>
          <w:rFonts w:ascii="Tahoma" w:hAnsi="Tahoma" w:cs="Tahoma"/>
        </w:rPr>
        <w:t>,</w:t>
      </w:r>
      <w:r w:rsidR="003C6425">
        <w:rPr>
          <w:rFonts w:ascii="Tahoma" w:hAnsi="Tahoma" w:cs="Tahoma"/>
        </w:rPr>
        <w:t xml:space="preserve"> </w:t>
      </w:r>
      <w:r w:rsidR="003953D3">
        <w:rPr>
          <w:rFonts w:ascii="Tahoma" w:hAnsi="Tahoma" w:cs="Tahoma"/>
        </w:rPr>
        <w:t xml:space="preserve">appears to </w:t>
      </w:r>
      <w:r w:rsidR="00682CBE">
        <w:rPr>
          <w:rFonts w:ascii="Tahoma" w:hAnsi="Tahoma" w:cs="Tahoma"/>
        </w:rPr>
        <w:t xml:space="preserve">be </w:t>
      </w:r>
      <w:r w:rsidR="003953D3">
        <w:rPr>
          <w:rFonts w:ascii="Tahoma" w:hAnsi="Tahoma" w:cs="Tahoma"/>
        </w:rPr>
        <w:t>a</w:t>
      </w:r>
      <w:r w:rsidR="003B0AD8">
        <w:rPr>
          <w:rFonts w:ascii="Tahoma" w:hAnsi="Tahoma" w:cs="Tahoma"/>
        </w:rPr>
        <w:t xml:space="preserve"> crucial </w:t>
      </w:r>
      <w:r w:rsidR="00682CBE">
        <w:rPr>
          <w:rFonts w:ascii="Tahoma" w:hAnsi="Tahoma" w:cs="Tahoma"/>
        </w:rPr>
        <w:t>motivator for</w:t>
      </w:r>
      <w:r w:rsidR="003C6425">
        <w:rPr>
          <w:rFonts w:ascii="Tahoma" w:hAnsi="Tahoma" w:cs="Tahoma"/>
        </w:rPr>
        <w:t xml:space="preserve"> </w:t>
      </w:r>
      <w:r w:rsidR="00F05802">
        <w:rPr>
          <w:rFonts w:ascii="Tahoma" w:hAnsi="Tahoma" w:cs="Tahoma"/>
        </w:rPr>
        <w:t xml:space="preserve">students </w:t>
      </w:r>
      <w:r w:rsidR="00682CBE">
        <w:rPr>
          <w:rFonts w:ascii="Tahoma" w:hAnsi="Tahoma" w:cs="Tahoma"/>
        </w:rPr>
        <w:t>to make specific changes to the</w:t>
      </w:r>
      <w:r w:rsidR="00B4243B">
        <w:rPr>
          <w:rFonts w:ascii="Tahoma" w:hAnsi="Tahoma" w:cs="Tahoma"/>
        </w:rPr>
        <w:t>ir</w:t>
      </w:r>
      <w:r w:rsidR="00682CBE">
        <w:rPr>
          <w:rFonts w:ascii="Tahoma" w:hAnsi="Tahoma" w:cs="Tahoma"/>
        </w:rPr>
        <w:t xml:space="preserve"> habits and </w:t>
      </w:r>
      <w:r w:rsidR="00255771">
        <w:rPr>
          <w:rFonts w:ascii="Tahoma" w:hAnsi="Tahoma" w:cs="Tahoma"/>
        </w:rPr>
        <w:t>work ethic</w:t>
      </w:r>
      <w:r w:rsidR="00401448">
        <w:rPr>
          <w:rFonts w:ascii="Tahoma" w:hAnsi="Tahoma" w:cs="Tahoma"/>
        </w:rPr>
        <w:t>.</w:t>
      </w:r>
      <w:r w:rsidR="003B0AD8">
        <w:rPr>
          <w:rFonts w:ascii="Tahoma" w:hAnsi="Tahoma" w:cs="Tahoma"/>
        </w:rPr>
        <w:t xml:space="preserve"> Walsh, </w:t>
      </w:r>
      <w:r w:rsidR="003953D3">
        <w:rPr>
          <w:rFonts w:ascii="Tahoma" w:hAnsi="Tahoma" w:cs="Tahoma"/>
        </w:rPr>
        <w:t>Cullinan and Flannery (2018)</w:t>
      </w:r>
      <w:r w:rsidR="007E7CAF">
        <w:rPr>
          <w:rFonts w:ascii="Tahoma" w:hAnsi="Tahoma" w:cs="Tahoma"/>
        </w:rPr>
        <w:t xml:space="preserve"> state that students are willing to pay for </w:t>
      </w:r>
      <w:r w:rsidR="00C8144A">
        <w:rPr>
          <w:rFonts w:ascii="Tahoma" w:hAnsi="Tahoma" w:cs="Tahoma"/>
        </w:rPr>
        <w:t xml:space="preserve">education and that the </w:t>
      </w:r>
      <w:r w:rsidR="008D2AEE">
        <w:rPr>
          <w:rFonts w:ascii="Tahoma" w:hAnsi="Tahoma" w:cs="Tahoma"/>
        </w:rPr>
        <w:t>students</w:t>
      </w:r>
      <w:r w:rsidR="007D7AF9">
        <w:rPr>
          <w:rFonts w:ascii="Tahoma" w:hAnsi="Tahoma" w:cs="Tahoma"/>
        </w:rPr>
        <w:t>’</w:t>
      </w:r>
      <w:r w:rsidR="00C8144A">
        <w:rPr>
          <w:rFonts w:ascii="Tahoma" w:hAnsi="Tahoma" w:cs="Tahoma"/>
        </w:rPr>
        <w:t xml:space="preserve"> academic ability is a key</w:t>
      </w:r>
      <w:r w:rsidR="005A39B0">
        <w:rPr>
          <w:rFonts w:ascii="Tahoma" w:hAnsi="Tahoma" w:cs="Tahoma"/>
        </w:rPr>
        <w:t xml:space="preserve"> factor</w:t>
      </w:r>
      <w:r w:rsidR="00024A3F">
        <w:rPr>
          <w:rFonts w:ascii="Tahoma" w:hAnsi="Tahoma" w:cs="Tahoma"/>
        </w:rPr>
        <w:t xml:space="preserve"> in the level of </w:t>
      </w:r>
      <w:r w:rsidR="006C26E1">
        <w:rPr>
          <w:rFonts w:ascii="Tahoma" w:hAnsi="Tahoma" w:cs="Tahoma"/>
        </w:rPr>
        <w:t>education studied</w:t>
      </w:r>
      <w:r w:rsidR="00BC7B0D">
        <w:rPr>
          <w:rFonts w:ascii="Tahoma" w:hAnsi="Tahoma" w:cs="Tahoma"/>
        </w:rPr>
        <w:t>. Higher ability students are willing to pay</w:t>
      </w:r>
      <w:r w:rsidR="007D7AF9">
        <w:rPr>
          <w:rFonts w:ascii="Tahoma" w:hAnsi="Tahoma" w:cs="Tahoma"/>
        </w:rPr>
        <w:t xml:space="preserve"> </w:t>
      </w:r>
      <w:r w:rsidR="00BC7B0D">
        <w:rPr>
          <w:rFonts w:ascii="Tahoma" w:hAnsi="Tahoma" w:cs="Tahoma"/>
        </w:rPr>
        <w:t xml:space="preserve">considerably </w:t>
      </w:r>
      <w:r w:rsidR="00940329">
        <w:rPr>
          <w:rFonts w:ascii="Tahoma" w:hAnsi="Tahoma" w:cs="Tahoma"/>
        </w:rPr>
        <w:t xml:space="preserve">more fees for higher-quality institutions, compared to lower ability students. </w:t>
      </w:r>
      <w:r w:rsidR="007D7AF9">
        <w:rPr>
          <w:rFonts w:ascii="Tahoma" w:hAnsi="Tahoma" w:cs="Tahoma"/>
        </w:rPr>
        <w:t>Many</w:t>
      </w:r>
      <w:r w:rsidR="00466D43">
        <w:rPr>
          <w:rFonts w:ascii="Tahoma" w:hAnsi="Tahoma" w:cs="Tahoma"/>
        </w:rPr>
        <w:t xml:space="preserve"> students progressing from </w:t>
      </w:r>
      <w:r w:rsidR="004571AB">
        <w:rPr>
          <w:rFonts w:ascii="Tahoma" w:hAnsi="Tahoma" w:cs="Tahoma"/>
        </w:rPr>
        <w:t xml:space="preserve">FE </w:t>
      </w:r>
      <w:r w:rsidR="00E25EAD">
        <w:rPr>
          <w:rFonts w:ascii="Tahoma" w:hAnsi="Tahoma" w:cs="Tahoma"/>
        </w:rPr>
        <w:t xml:space="preserve">are </w:t>
      </w:r>
      <w:r w:rsidR="00084FD5">
        <w:rPr>
          <w:rFonts w:ascii="Tahoma" w:hAnsi="Tahoma" w:cs="Tahoma"/>
        </w:rPr>
        <w:t xml:space="preserve">considered </w:t>
      </w:r>
      <w:r w:rsidR="00E25EAD">
        <w:rPr>
          <w:rFonts w:ascii="Tahoma" w:hAnsi="Tahoma" w:cs="Tahoma"/>
        </w:rPr>
        <w:t>non-traditional entrants to HE</w:t>
      </w:r>
      <w:r w:rsidR="004668B6">
        <w:rPr>
          <w:rFonts w:ascii="Tahoma" w:hAnsi="Tahoma" w:cs="Tahoma"/>
        </w:rPr>
        <w:t>, therefore,</w:t>
      </w:r>
      <w:r w:rsidR="003C6425">
        <w:rPr>
          <w:rFonts w:ascii="Tahoma" w:hAnsi="Tahoma" w:cs="Tahoma"/>
        </w:rPr>
        <w:t xml:space="preserve"> </w:t>
      </w:r>
      <w:r w:rsidR="008D2AEE">
        <w:rPr>
          <w:rFonts w:ascii="Tahoma" w:hAnsi="Tahoma" w:cs="Tahoma"/>
        </w:rPr>
        <w:t xml:space="preserve">they </w:t>
      </w:r>
      <w:r w:rsidR="00E2509A">
        <w:rPr>
          <w:rFonts w:ascii="Tahoma" w:hAnsi="Tahoma" w:cs="Tahoma"/>
        </w:rPr>
        <w:t xml:space="preserve">may </w:t>
      </w:r>
      <w:r w:rsidR="004668B6">
        <w:rPr>
          <w:rFonts w:ascii="Tahoma" w:hAnsi="Tahoma" w:cs="Tahoma"/>
        </w:rPr>
        <w:t xml:space="preserve">possibly </w:t>
      </w:r>
      <w:r w:rsidR="00E2509A">
        <w:rPr>
          <w:rFonts w:ascii="Tahoma" w:hAnsi="Tahoma" w:cs="Tahoma"/>
        </w:rPr>
        <w:t>be from lower socio-economic backgrounds</w:t>
      </w:r>
      <w:r w:rsidR="003226E1">
        <w:rPr>
          <w:rFonts w:ascii="Tahoma" w:hAnsi="Tahoma" w:cs="Tahoma"/>
        </w:rPr>
        <w:t xml:space="preserve"> (Yorke </w:t>
      </w:r>
      <w:r w:rsidR="00C45783">
        <w:rPr>
          <w:rFonts w:ascii="Tahoma" w:hAnsi="Tahoma" w:cs="Tahoma"/>
        </w:rPr>
        <w:t>&amp;</w:t>
      </w:r>
      <w:r w:rsidR="00581454">
        <w:rPr>
          <w:rFonts w:ascii="Tahoma" w:hAnsi="Tahoma" w:cs="Tahoma"/>
        </w:rPr>
        <w:t xml:space="preserve"> Thomas, 2003)</w:t>
      </w:r>
      <w:r w:rsidR="00E17380">
        <w:rPr>
          <w:rFonts w:ascii="Tahoma" w:hAnsi="Tahoma" w:cs="Tahoma"/>
        </w:rPr>
        <w:t>. These constraints</w:t>
      </w:r>
      <w:r w:rsidR="003C6425">
        <w:rPr>
          <w:rFonts w:ascii="Tahoma" w:hAnsi="Tahoma" w:cs="Tahoma"/>
        </w:rPr>
        <w:t xml:space="preserve"> </w:t>
      </w:r>
      <w:r w:rsidR="00FC6CCB">
        <w:rPr>
          <w:rFonts w:ascii="Tahoma" w:hAnsi="Tahoma" w:cs="Tahoma"/>
        </w:rPr>
        <w:t xml:space="preserve">may </w:t>
      </w:r>
      <w:r w:rsidR="00C93222">
        <w:rPr>
          <w:rFonts w:ascii="Tahoma" w:hAnsi="Tahoma" w:cs="Tahoma"/>
        </w:rPr>
        <w:t xml:space="preserve">inform </w:t>
      </w:r>
      <w:r w:rsidR="00A144E9">
        <w:rPr>
          <w:rFonts w:ascii="Tahoma" w:hAnsi="Tahoma" w:cs="Tahoma"/>
        </w:rPr>
        <w:t xml:space="preserve">their choice of </w:t>
      </w:r>
      <w:r w:rsidR="0050358A">
        <w:rPr>
          <w:rFonts w:ascii="Tahoma" w:hAnsi="Tahoma" w:cs="Tahoma"/>
        </w:rPr>
        <w:t xml:space="preserve">HE </w:t>
      </w:r>
      <w:r w:rsidR="007D7AF9">
        <w:rPr>
          <w:rFonts w:ascii="Tahoma" w:hAnsi="Tahoma" w:cs="Tahoma"/>
        </w:rPr>
        <w:t>studies</w:t>
      </w:r>
      <w:r w:rsidR="0050358A">
        <w:rPr>
          <w:rFonts w:ascii="Tahoma" w:hAnsi="Tahoma" w:cs="Tahoma"/>
        </w:rPr>
        <w:t>, with FD</w:t>
      </w:r>
      <w:r w:rsidR="007D7AF9">
        <w:rPr>
          <w:rFonts w:ascii="Tahoma" w:hAnsi="Tahoma" w:cs="Tahoma"/>
        </w:rPr>
        <w:t>s</w:t>
      </w:r>
      <w:r w:rsidR="0050358A">
        <w:rPr>
          <w:rFonts w:ascii="Tahoma" w:hAnsi="Tahoma" w:cs="Tahoma"/>
        </w:rPr>
        <w:t xml:space="preserve"> being </w:t>
      </w:r>
      <w:r w:rsidR="00BC03EC">
        <w:rPr>
          <w:rFonts w:ascii="Tahoma" w:hAnsi="Tahoma" w:cs="Tahoma"/>
        </w:rPr>
        <w:t xml:space="preserve">a </w:t>
      </w:r>
      <w:r w:rsidR="003B3F09">
        <w:rPr>
          <w:rFonts w:ascii="Tahoma" w:hAnsi="Tahoma" w:cs="Tahoma"/>
        </w:rPr>
        <w:t xml:space="preserve">considerably cheaper </w:t>
      </w:r>
      <w:r w:rsidR="00236DD4">
        <w:rPr>
          <w:rFonts w:ascii="Tahoma" w:hAnsi="Tahoma" w:cs="Tahoma"/>
        </w:rPr>
        <w:t xml:space="preserve">option to students </w:t>
      </w:r>
      <w:r w:rsidR="003B3F09">
        <w:rPr>
          <w:rFonts w:ascii="Tahoma" w:hAnsi="Tahoma" w:cs="Tahoma"/>
        </w:rPr>
        <w:t>than a</w:t>
      </w:r>
      <w:r w:rsidR="00BC03EC">
        <w:rPr>
          <w:rFonts w:ascii="Tahoma" w:hAnsi="Tahoma" w:cs="Tahoma"/>
        </w:rPr>
        <w:t>n</w:t>
      </w:r>
      <w:r w:rsidR="003B3F09">
        <w:rPr>
          <w:rFonts w:ascii="Tahoma" w:hAnsi="Tahoma" w:cs="Tahoma"/>
        </w:rPr>
        <w:t xml:space="preserve"> undergraduate degree</w:t>
      </w:r>
      <w:r w:rsidR="00C93222">
        <w:rPr>
          <w:rFonts w:ascii="Tahoma" w:hAnsi="Tahoma" w:cs="Tahoma"/>
        </w:rPr>
        <w:t xml:space="preserve"> at a</w:t>
      </w:r>
      <w:r w:rsidR="00453632">
        <w:rPr>
          <w:rFonts w:ascii="Tahoma" w:hAnsi="Tahoma" w:cs="Tahoma"/>
        </w:rPr>
        <w:t>n</w:t>
      </w:r>
      <w:r w:rsidR="00C93222">
        <w:rPr>
          <w:rFonts w:ascii="Tahoma" w:hAnsi="Tahoma" w:cs="Tahoma"/>
        </w:rPr>
        <w:t xml:space="preserve"> HEI</w:t>
      </w:r>
      <w:r w:rsidR="003B3F09">
        <w:rPr>
          <w:rFonts w:ascii="Tahoma" w:hAnsi="Tahoma" w:cs="Tahoma"/>
        </w:rPr>
        <w:t>.</w:t>
      </w:r>
      <w:r w:rsidR="00D4280C">
        <w:rPr>
          <w:rFonts w:ascii="Tahoma" w:hAnsi="Tahoma" w:cs="Tahoma"/>
        </w:rPr>
        <w:t xml:space="preserve"> It could be argued that there is less-risk </w:t>
      </w:r>
      <w:r w:rsidR="001236CB">
        <w:rPr>
          <w:rFonts w:ascii="Tahoma" w:hAnsi="Tahoma" w:cs="Tahoma"/>
        </w:rPr>
        <w:t xml:space="preserve">for students </w:t>
      </w:r>
      <w:r w:rsidR="006C44F7">
        <w:rPr>
          <w:rFonts w:ascii="Tahoma" w:hAnsi="Tahoma" w:cs="Tahoma"/>
        </w:rPr>
        <w:t xml:space="preserve">from both a personal and financial perspective </w:t>
      </w:r>
      <w:r w:rsidR="008415B0">
        <w:rPr>
          <w:rFonts w:ascii="Tahoma" w:hAnsi="Tahoma" w:cs="Tahoma"/>
        </w:rPr>
        <w:t xml:space="preserve">by choosing to study </w:t>
      </w:r>
      <w:r w:rsidR="009A59E9">
        <w:rPr>
          <w:rFonts w:ascii="Tahoma" w:hAnsi="Tahoma" w:cs="Tahoma"/>
        </w:rPr>
        <w:t>HE in a FE</w:t>
      </w:r>
      <w:r w:rsidR="00A72609">
        <w:rPr>
          <w:rFonts w:ascii="Tahoma" w:hAnsi="Tahoma" w:cs="Tahoma"/>
        </w:rPr>
        <w:t xml:space="preserve"> </w:t>
      </w:r>
      <w:r w:rsidR="00EE0DA2">
        <w:rPr>
          <w:rFonts w:ascii="Tahoma" w:hAnsi="Tahoma" w:cs="Tahoma"/>
        </w:rPr>
        <w:t>setting</w:t>
      </w:r>
      <w:r w:rsidR="009A59E9">
        <w:rPr>
          <w:rFonts w:ascii="Tahoma" w:hAnsi="Tahoma" w:cs="Tahoma"/>
        </w:rPr>
        <w:t>.</w:t>
      </w:r>
      <w:r w:rsidR="00CA37D8">
        <w:rPr>
          <w:rFonts w:ascii="Tahoma" w:hAnsi="Tahoma" w:cs="Tahoma"/>
        </w:rPr>
        <w:t xml:space="preserve"> </w:t>
      </w:r>
      <w:r w:rsidR="009F6B21">
        <w:rPr>
          <w:rFonts w:ascii="Tahoma" w:hAnsi="Tahoma" w:cs="Tahoma"/>
        </w:rPr>
        <w:t xml:space="preserve">Bachan (2014) </w:t>
      </w:r>
      <w:r w:rsidR="00313811">
        <w:rPr>
          <w:rFonts w:ascii="Tahoma" w:hAnsi="Tahoma" w:cs="Tahoma"/>
        </w:rPr>
        <w:t xml:space="preserve">supports this </w:t>
      </w:r>
      <w:r w:rsidR="00C07E3F">
        <w:rPr>
          <w:rFonts w:ascii="Tahoma" w:hAnsi="Tahoma" w:cs="Tahoma"/>
        </w:rPr>
        <w:t>assertion</w:t>
      </w:r>
      <w:r w:rsidR="00E04176">
        <w:rPr>
          <w:rFonts w:ascii="Tahoma" w:hAnsi="Tahoma" w:cs="Tahoma"/>
        </w:rPr>
        <w:t xml:space="preserve">, stating </w:t>
      </w:r>
      <w:r w:rsidR="00243A74" w:rsidRPr="00243A74">
        <w:rPr>
          <w:rFonts w:ascii="Tahoma" w:hAnsi="Tahoma" w:cs="Tahoma"/>
        </w:rPr>
        <w:t>that the higher a student discounts</w:t>
      </w:r>
      <w:r w:rsidR="003C6425">
        <w:rPr>
          <w:rFonts w:ascii="Tahoma" w:hAnsi="Tahoma" w:cs="Tahoma"/>
        </w:rPr>
        <w:t xml:space="preserve"> </w:t>
      </w:r>
      <w:r w:rsidR="00243A74" w:rsidRPr="00243A74">
        <w:rPr>
          <w:rFonts w:ascii="Tahoma" w:hAnsi="Tahoma" w:cs="Tahoma"/>
        </w:rPr>
        <w:t>future income, the greater their expected debt, and the more risk averse a student</w:t>
      </w:r>
      <w:r w:rsidR="000504D6">
        <w:rPr>
          <w:rFonts w:ascii="Tahoma" w:hAnsi="Tahoma" w:cs="Tahoma"/>
        </w:rPr>
        <w:t>,</w:t>
      </w:r>
      <w:r w:rsidR="003C6425">
        <w:rPr>
          <w:rFonts w:ascii="Tahoma" w:hAnsi="Tahoma" w:cs="Tahoma"/>
        </w:rPr>
        <w:t xml:space="preserve"> </w:t>
      </w:r>
      <w:r w:rsidR="00243A74" w:rsidRPr="00243A74">
        <w:rPr>
          <w:rFonts w:ascii="Tahoma" w:hAnsi="Tahoma" w:cs="Tahoma"/>
        </w:rPr>
        <w:t>the lower the expected debt</w:t>
      </w:r>
      <w:r w:rsidR="00BA6D94" w:rsidRPr="00BA6D94">
        <w:rPr>
          <w:rFonts w:ascii="Tahoma" w:hAnsi="Tahoma" w:cs="Tahoma"/>
        </w:rPr>
        <w:t>.</w:t>
      </w:r>
    </w:p>
    <w:p w:rsidR="004B518A" w:rsidRDefault="00903ABA" w:rsidP="00675CE9">
      <w:pPr>
        <w:spacing w:before="240" w:after="0" w:line="360" w:lineRule="auto"/>
        <w:rPr>
          <w:rFonts w:ascii="Tahoma" w:hAnsi="Tahoma" w:cs="Tahoma"/>
        </w:rPr>
      </w:pPr>
      <w:r w:rsidRPr="00184B9D">
        <w:rPr>
          <w:rFonts w:ascii="Tahoma" w:hAnsi="Tahoma" w:cs="Tahoma"/>
        </w:rPr>
        <w:t xml:space="preserve">It is evident </w:t>
      </w:r>
      <w:bookmarkStart w:id="2" w:name="_Hlk526169505"/>
      <w:r w:rsidR="00A44693" w:rsidRPr="00184B9D">
        <w:rPr>
          <w:rFonts w:ascii="Tahoma" w:hAnsi="Tahoma" w:cs="Tahoma"/>
        </w:rPr>
        <w:t xml:space="preserve">students </w:t>
      </w:r>
      <w:r w:rsidR="00983A85" w:rsidRPr="00184B9D">
        <w:rPr>
          <w:rFonts w:ascii="Tahoma" w:hAnsi="Tahoma" w:cs="Tahoma"/>
        </w:rPr>
        <w:t xml:space="preserve">perceive </w:t>
      </w:r>
      <w:r w:rsidR="00181267" w:rsidRPr="00184B9D">
        <w:rPr>
          <w:rFonts w:ascii="Tahoma" w:hAnsi="Tahoma" w:cs="Tahoma"/>
        </w:rPr>
        <w:t xml:space="preserve">there will be a host of </w:t>
      </w:r>
      <w:r w:rsidR="00983A85" w:rsidRPr="00184B9D">
        <w:rPr>
          <w:rFonts w:ascii="Tahoma" w:hAnsi="Tahoma" w:cs="Tahoma"/>
        </w:rPr>
        <w:t>differen</w:t>
      </w:r>
      <w:r w:rsidR="00481C75" w:rsidRPr="00184B9D">
        <w:rPr>
          <w:rFonts w:ascii="Tahoma" w:hAnsi="Tahoma" w:cs="Tahoma"/>
        </w:rPr>
        <w:t>ce</w:t>
      </w:r>
      <w:r w:rsidR="00A44693" w:rsidRPr="00184B9D">
        <w:rPr>
          <w:rFonts w:ascii="Tahoma" w:hAnsi="Tahoma" w:cs="Tahoma"/>
        </w:rPr>
        <w:t>s</w:t>
      </w:r>
      <w:r w:rsidR="00481C75" w:rsidRPr="00184B9D">
        <w:rPr>
          <w:rFonts w:ascii="Tahoma" w:hAnsi="Tahoma" w:cs="Tahoma"/>
        </w:rPr>
        <w:t xml:space="preserve"> between </w:t>
      </w:r>
      <w:r w:rsidR="00181267" w:rsidRPr="00184B9D">
        <w:rPr>
          <w:rFonts w:ascii="Tahoma" w:hAnsi="Tahoma" w:cs="Tahoma"/>
        </w:rPr>
        <w:t xml:space="preserve">their </w:t>
      </w:r>
      <w:r w:rsidR="00481C75" w:rsidRPr="00184B9D">
        <w:rPr>
          <w:rFonts w:ascii="Tahoma" w:hAnsi="Tahoma" w:cs="Tahoma"/>
        </w:rPr>
        <w:t>Level</w:t>
      </w:r>
      <w:r w:rsidR="00481C75">
        <w:rPr>
          <w:rFonts w:ascii="Tahoma" w:hAnsi="Tahoma" w:cs="Tahoma"/>
        </w:rPr>
        <w:t xml:space="preserve"> 3 </w:t>
      </w:r>
      <w:r w:rsidR="00181267">
        <w:rPr>
          <w:rFonts w:ascii="Tahoma" w:hAnsi="Tahoma" w:cs="Tahoma"/>
        </w:rPr>
        <w:t xml:space="preserve">BTEC </w:t>
      </w:r>
      <w:r w:rsidR="00481C75">
        <w:rPr>
          <w:rFonts w:ascii="Tahoma" w:hAnsi="Tahoma" w:cs="Tahoma"/>
        </w:rPr>
        <w:t xml:space="preserve">study and </w:t>
      </w:r>
      <w:r w:rsidR="007D7AF9">
        <w:rPr>
          <w:rFonts w:ascii="Tahoma" w:hAnsi="Tahoma" w:cs="Tahoma"/>
        </w:rPr>
        <w:t xml:space="preserve">that of </w:t>
      </w:r>
      <w:r w:rsidR="00D31B5D">
        <w:rPr>
          <w:rFonts w:ascii="Tahoma" w:hAnsi="Tahoma" w:cs="Tahoma"/>
        </w:rPr>
        <w:t xml:space="preserve">a </w:t>
      </w:r>
      <w:r w:rsidR="00481C75">
        <w:rPr>
          <w:rFonts w:ascii="Tahoma" w:hAnsi="Tahoma" w:cs="Tahoma"/>
        </w:rPr>
        <w:t>FD</w:t>
      </w:r>
      <w:r w:rsidR="00A71CFD">
        <w:rPr>
          <w:rFonts w:ascii="Tahoma" w:hAnsi="Tahoma" w:cs="Tahoma"/>
        </w:rPr>
        <w:t xml:space="preserve">, with many of these </w:t>
      </w:r>
      <w:r w:rsidR="000D0B79">
        <w:rPr>
          <w:rFonts w:ascii="Tahoma" w:hAnsi="Tahoma" w:cs="Tahoma"/>
        </w:rPr>
        <w:t>related to</w:t>
      </w:r>
      <w:r w:rsidR="00A71CFD">
        <w:rPr>
          <w:rFonts w:ascii="Tahoma" w:hAnsi="Tahoma" w:cs="Tahoma"/>
        </w:rPr>
        <w:t xml:space="preserve"> teaching and learning</w:t>
      </w:r>
      <w:bookmarkEnd w:id="2"/>
      <w:r w:rsidR="007D4ACF">
        <w:rPr>
          <w:rFonts w:ascii="Tahoma" w:hAnsi="Tahoma" w:cs="Tahoma"/>
        </w:rPr>
        <w:t>.</w:t>
      </w:r>
      <w:r w:rsidR="007D7AF9">
        <w:rPr>
          <w:rFonts w:ascii="Tahoma" w:hAnsi="Tahoma" w:cs="Tahoma"/>
        </w:rPr>
        <w:t xml:space="preserve"> </w:t>
      </w:r>
      <w:r w:rsidR="00481D73">
        <w:rPr>
          <w:rFonts w:ascii="Tahoma" w:hAnsi="Tahoma" w:cs="Tahoma"/>
        </w:rPr>
        <w:t>The</w:t>
      </w:r>
      <w:r w:rsidR="00687920">
        <w:rPr>
          <w:rFonts w:ascii="Tahoma" w:hAnsi="Tahoma" w:cs="Tahoma"/>
        </w:rPr>
        <w:t>re is a</w:t>
      </w:r>
      <w:r w:rsidR="00481D73">
        <w:rPr>
          <w:rFonts w:ascii="Tahoma" w:hAnsi="Tahoma" w:cs="Tahoma"/>
        </w:rPr>
        <w:t xml:space="preserve"> perception </w:t>
      </w:r>
      <w:r w:rsidR="007D4ACF">
        <w:rPr>
          <w:rFonts w:ascii="Tahoma" w:hAnsi="Tahoma" w:cs="Tahoma"/>
        </w:rPr>
        <w:t>that</w:t>
      </w:r>
      <w:r w:rsidR="003C6425">
        <w:rPr>
          <w:rFonts w:ascii="Tahoma" w:hAnsi="Tahoma" w:cs="Tahoma"/>
        </w:rPr>
        <w:t xml:space="preserve"> </w:t>
      </w:r>
      <w:r w:rsidR="006154A5">
        <w:rPr>
          <w:rFonts w:ascii="Tahoma" w:hAnsi="Tahoma" w:cs="Tahoma"/>
        </w:rPr>
        <w:t xml:space="preserve">there </w:t>
      </w:r>
      <w:r w:rsidR="007D7AF9">
        <w:rPr>
          <w:rFonts w:ascii="Tahoma" w:hAnsi="Tahoma" w:cs="Tahoma"/>
        </w:rPr>
        <w:t>are</w:t>
      </w:r>
      <w:r w:rsidR="006154A5">
        <w:rPr>
          <w:rFonts w:ascii="Tahoma" w:hAnsi="Tahoma" w:cs="Tahoma"/>
        </w:rPr>
        <w:t xml:space="preserve"> </w:t>
      </w:r>
      <w:r w:rsidR="006523DC">
        <w:rPr>
          <w:rFonts w:ascii="Tahoma" w:hAnsi="Tahoma" w:cs="Tahoma"/>
        </w:rPr>
        <w:t>specific demands</w:t>
      </w:r>
      <w:r w:rsidR="006154A5">
        <w:rPr>
          <w:rFonts w:ascii="Tahoma" w:hAnsi="Tahoma" w:cs="Tahoma"/>
        </w:rPr>
        <w:t xml:space="preserve"> </w:t>
      </w:r>
      <w:r w:rsidR="007D7AF9">
        <w:rPr>
          <w:rFonts w:ascii="Tahoma" w:hAnsi="Tahoma" w:cs="Tahoma"/>
        </w:rPr>
        <w:t xml:space="preserve">undertaking </w:t>
      </w:r>
      <w:r w:rsidR="006154A5">
        <w:rPr>
          <w:rFonts w:ascii="Tahoma" w:hAnsi="Tahoma" w:cs="Tahoma"/>
        </w:rPr>
        <w:t>a HE course, such as</w:t>
      </w:r>
      <w:r w:rsidR="00C221D9">
        <w:rPr>
          <w:rFonts w:ascii="Tahoma" w:hAnsi="Tahoma" w:cs="Tahoma"/>
        </w:rPr>
        <w:t xml:space="preserve"> a significantly </w:t>
      </w:r>
      <w:r w:rsidR="00DA228E">
        <w:rPr>
          <w:rFonts w:ascii="Tahoma" w:hAnsi="Tahoma" w:cs="Tahoma"/>
        </w:rPr>
        <w:t xml:space="preserve">increased workload, </w:t>
      </w:r>
      <w:r w:rsidR="008215A8">
        <w:rPr>
          <w:rFonts w:ascii="Tahoma" w:hAnsi="Tahoma" w:cs="Tahoma"/>
        </w:rPr>
        <w:t xml:space="preserve">as well as </w:t>
      </w:r>
      <w:r w:rsidR="00A857BC">
        <w:rPr>
          <w:rFonts w:ascii="Tahoma" w:hAnsi="Tahoma" w:cs="Tahoma"/>
        </w:rPr>
        <w:t xml:space="preserve">an </w:t>
      </w:r>
      <w:r w:rsidR="00D31B5D">
        <w:rPr>
          <w:rFonts w:ascii="Tahoma" w:hAnsi="Tahoma" w:cs="Tahoma"/>
        </w:rPr>
        <w:t xml:space="preserve">increased </w:t>
      </w:r>
      <w:r w:rsidR="004D56F4">
        <w:rPr>
          <w:rFonts w:ascii="Tahoma" w:hAnsi="Tahoma" w:cs="Tahoma"/>
        </w:rPr>
        <w:t xml:space="preserve">amount of </w:t>
      </w:r>
      <w:r w:rsidR="005C50F8">
        <w:rPr>
          <w:rFonts w:ascii="Tahoma" w:hAnsi="Tahoma" w:cs="Tahoma"/>
        </w:rPr>
        <w:t xml:space="preserve">preparation and </w:t>
      </w:r>
      <w:r w:rsidR="00D31B5D">
        <w:rPr>
          <w:rFonts w:ascii="Tahoma" w:hAnsi="Tahoma" w:cs="Tahoma"/>
        </w:rPr>
        <w:t>research</w:t>
      </w:r>
      <w:r w:rsidR="004D56F4">
        <w:rPr>
          <w:rFonts w:ascii="Tahoma" w:hAnsi="Tahoma" w:cs="Tahoma"/>
        </w:rPr>
        <w:t xml:space="preserve"> to adequately prepare</w:t>
      </w:r>
      <w:r w:rsidR="00A857BC">
        <w:rPr>
          <w:rFonts w:ascii="Tahoma" w:hAnsi="Tahoma" w:cs="Tahoma"/>
        </w:rPr>
        <w:t xml:space="preserve"> for </w:t>
      </w:r>
      <w:r w:rsidR="00430066">
        <w:rPr>
          <w:rFonts w:ascii="Tahoma" w:hAnsi="Tahoma" w:cs="Tahoma"/>
        </w:rPr>
        <w:t>lessons</w:t>
      </w:r>
      <w:r w:rsidR="00A857BC">
        <w:rPr>
          <w:rFonts w:ascii="Tahoma" w:hAnsi="Tahoma" w:cs="Tahoma"/>
        </w:rPr>
        <w:t>.</w:t>
      </w:r>
      <w:r w:rsidR="003C6425">
        <w:rPr>
          <w:rFonts w:ascii="Tahoma" w:hAnsi="Tahoma" w:cs="Tahoma"/>
        </w:rPr>
        <w:t xml:space="preserve"> </w:t>
      </w:r>
      <w:r w:rsidR="009D1534">
        <w:rPr>
          <w:rFonts w:ascii="Tahoma" w:hAnsi="Tahoma" w:cs="Tahoma"/>
        </w:rPr>
        <w:t>S</w:t>
      </w:r>
      <w:r w:rsidR="002B1A1F">
        <w:rPr>
          <w:rFonts w:ascii="Tahoma" w:hAnsi="Tahoma" w:cs="Tahoma"/>
        </w:rPr>
        <w:t>tudent</w:t>
      </w:r>
      <w:r w:rsidR="009D1534">
        <w:rPr>
          <w:rFonts w:ascii="Tahoma" w:hAnsi="Tahoma" w:cs="Tahoma"/>
        </w:rPr>
        <w:t>s</w:t>
      </w:r>
      <w:r w:rsidR="002B1A1F">
        <w:rPr>
          <w:rFonts w:ascii="Tahoma" w:hAnsi="Tahoma" w:cs="Tahoma"/>
        </w:rPr>
        <w:t xml:space="preserve"> noted,</w:t>
      </w:r>
    </w:p>
    <w:p w:rsidR="002B1A1F" w:rsidRDefault="002B1A1F" w:rsidP="008916E0">
      <w:pPr>
        <w:spacing w:after="0" w:line="360" w:lineRule="auto"/>
        <w:jc w:val="both"/>
        <w:rPr>
          <w:rFonts w:ascii="Tahoma" w:hAnsi="Tahoma" w:cs="Tahoma"/>
        </w:rPr>
      </w:pPr>
    </w:p>
    <w:p w:rsidR="002B1A1F" w:rsidRDefault="002B1A1F" w:rsidP="000818F0">
      <w:pPr>
        <w:spacing w:after="0" w:line="240" w:lineRule="auto"/>
        <w:ind w:left="851" w:right="805"/>
        <w:jc w:val="both"/>
        <w:rPr>
          <w:rFonts w:ascii="Tahoma" w:hAnsi="Tahoma" w:cs="Tahoma"/>
        </w:rPr>
      </w:pPr>
      <w:r>
        <w:rPr>
          <w:rFonts w:ascii="Tahoma" w:hAnsi="Tahoma" w:cs="Tahoma"/>
        </w:rPr>
        <w:t xml:space="preserve">“… </w:t>
      </w:r>
      <w:r w:rsidR="00726A26">
        <w:rPr>
          <w:rFonts w:ascii="Tahoma" w:hAnsi="Tahoma" w:cs="Tahoma"/>
        </w:rPr>
        <w:t xml:space="preserve">there will be lots more work on the Foundation Degree course. I will have to </w:t>
      </w:r>
      <w:r w:rsidR="002F122C">
        <w:rPr>
          <w:rFonts w:ascii="Tahoma" w:hAnsi="Tahoma" w:cs="Tahoma"/>
        </w:rPr>
        <w:t xml:space="preserve">read a lot more books and </w:t>
      </w:r>
      <w:r w:rsidR="00726A26">
        <w:rPr>
          <w:rFonts w:ascii="Tahoma" w:hAnsi="Tahoma" w:cs="Tahoma"/>
        </w:rPr>
        <w:t>prepare</w:t>
      </w:r>
      <w:r w:rsidR="002F122C">
        <w:rPr>
          <w:rFonts w:ascii="Tahoma" w:hAnsi="Tahoma" w:cs="Tahoma"/>
        </w:rPr>
        <w:t xml:space="preserve"> for lessons… </w:t>
      </w:r>
      <w:r w:rsidR="005D66DB">
        <w:rPr>
          <w:rFonts w:ascii="Tahoma" w:hAnsi="Tahoma" w:cs="Tahoma"/>
        </w:rPr>
        <w:t>it will be different to what I’m used to”</w:t>
      </w:r>
    </w:p>
    <w:p w:rsidR="004B518A" w:rsidRDefault="004B518A" w:rsidP="000818F0">
      <w:pPr>
        <w:spacing w:after="0" w:line="240" w:lineRule="auto"/>
        <w:ind w:left="851" w:right="805"/>
        <w:jc w:val="both"/>
        <w:rPr>
          <w:rFonts w:ascii="Tahoma" w:hAnsi="Tahoma" w:cs="Tahoma"/>
        </w:rPr>
      </w:pPr>
    </w:p>
    <w:p w:rsidR="004B518A" w:rsidRDefault="00992FAE" w:rsidP="000818F0">
      <w:pPr>
        <w:spacing w:after="0" w:line="240" w:lineRule="auto"/>
        <w:ind w:left="851" w:right="805"/>
        <w:jc w:val="both"/>
        <w:rPr>
          <w:rFonts w:ascii="Tahoma" w:hAnsi="Tahoma" w:cs="Tahoma"/>
        </w:rPr>
      </w:pPr>
      <w:r>
        <w:rPr>
          <w:rFonts w:ascii="Tahoma" w:hAnsi="Tahoma" w:cs="Tahoma"/>
        </w:rPr>
        <w:t xml:space="preserve">“I’ve got to be switched on. … its [HE] different… more preparation, </w:t>
      </w:r>
      <w:r w:rsidR="00755CE3">
        <w:rPr>
          <w:rFonts w:ascii="Tahoma" w:hAnsi="Tahoma" w:cs="Tahoma"/>
        </w:rPr>
        <w:t>more deadlines</w:t>
      </w:r>
      <w:r w:rsidR="00520CDC">
        <w:rPr>
          <w:rFonts w:ascii="Tahoma" w:hAnsi="Tahoma" w:cs="Tahoma"/>
        </w:rPr>
        <w:t xml:space="preserve">, </w:t>
      </w:r>
      <w:r>
        <w:rPr>
          <w:rFonts w:ascii="Tahoma" w:hAnsi="Tahoma" w:cs="Tahoma"/>
        </w:rPr>
        <w:t xml:space="preserve">and </w:t>
      </w:r>
      <w:r w:rsidR="00A57E36">
        <w:rPr>
          <w:rFonts w:ascii="Tahoma" w:hAnsi="Tahoma" w:cs="Tahoma"/>
        </w:rPr>
        <w:t>tighter</w:t>
      </w:r>
      <w:r>
        <w:rPr>
          <w:rFonts w:ascii="Tahoma" w:hAnsi="Tahoma" w:cs="Tahoma"/>
        </w:rPr>
        <w:t xml:space="preserve"> rules means that I must focus from the beginning, so I don’t fall behind”</w:t>
      </w:r>
    </w:p>
    <w:p w:rsidR="004B518A" w:rsidRDefault="004B518A" w:rsidP="008916E0">
      <w:pPr>
        <w:spacing w:after="0" w:line="360" w:lineRule="auto"/>
        <w:jc w:val="both"/>
        <w:rPr>
          <w:rFonts w:ascii="Tahoma" w:hAnsi="Tahoma" w:cs="Tahoma"/>
        </w:rPr>
      </w:pPr>
    </w:p>
    <w:p w:rsidR="00AB3171" w:rsidRDefault="00A9420C" w:rsidP="00E24148">
      <w:pPr>
        <w:spacing w:after="0" w:line="360" w:lineRule="auto"/>
        <w:rPr>
          <w:rFonts w:ascii="Tahoma" w:hAnsi="Tahoma" w:cs="Tahoma"/>
        </w:rPr>
      </w:pPr>
      <w:r>
        <w:rPr>
          <w:rFonts w:ascii="Tahoma" w:hAnsi="Tahoma" w:cs="Tahoma"/>
        </w:rPr>
        <w:t>S</w:t>
      </w:r>
      <w:r w:rsidR="00CC688E">
        <w:rPr>
          <w:rFonts w:ascii="Tahoma" w:hAnsi="Tahoma" w:cs="Tahoma"/>
        </w:rPr>
        <w:t xml:space="preserve">tudent </w:t>
      </w:r>
      <w:r w:rsidR="00C36F44" w:rsidRPr="00C36F44">
        <w:rPr>
          <w:rFonts w:ascii="Tahoma" w:hAnsi="Tahoma" w:cs="Tahoma"/>
        </w:rPr>
        <w:t>workload</w:t>
      </w:r>
      <w:r w:rsidR="003C6425">
        <w:rPr>
          <w:rFonts w:ascii="Tahoma" w:hAnsi="Tahoma" w:cs="Tahoma"/>
        </w:rPr>
        <w:t xml:space="preserve"> </w:t>
      </w:r>
      <w:r w:rsidR="00C36F44" w:rsidRPr="00C36F44">
        <w:rPr>
          <w:rFonts w:ascii="Tahoma" w:hAnsi="Tahoma" w:cs="Tahoma"/>
        </w:rPr>
        <w:t>has been recognised</w:t>
      </w:r>
      <w:r w:rsidR="003C6425">
        <w:rPr>
          <w:rFonts w:ascii="Tahoma" w:hAnsi="Tahoma" w:cs="Tahoma"/>
        </w:rPr>
        <w:t xml:space="preserve"> </w:t>
      </w:r>
      <w:r w:rsidR="00C36F44" w:rsidRPr="00C36F44">
        <w:rPr>
          <w:rFonts w:ascii="Tahoma" w:hAnsi="Tahoma" w:cs="Tahoma"/>
        </w:rPr>
        <w:t xml:space="preserve">as a major factor </w:t>
      </w:r>
      <w:r w:rsidR="00A44935">
        <w:rPr>
          <w:rFonts w:ascii="Tahoma" w:hAnsi="Tahoma" w:cs="Tahoma"/>
        </w:rPr>
        <w:t xml:space="preserve">that influences the quality of learning </w:t>
      </w:r>
      <w:r w:rsidR="00C36F44" w:rsidRPr="00C36F44">
        <w:rPr>
          <w:rFonts w:ascii="Tahoma" w:hAnsi="Tahoma" w:cs="Tahoma"/>
        </w:rPr>
        <w:t>(Giles, 2007; Kyndt</w:t>
      </w:r>
      <w:r w:rsidR="003C6425">
        <w:rPr>
          <w:rFonts w:ascii="Tahoma" w:hAnsi="Tahoma" w:cs="Tahoma"/>
        </w:rPr>
        <w:t xml:space="preserve"> </w:t>
      </w:r>
      <w:r w:rsidR="00A72609" w:rsidRPr="00A72609">
        <w:rPr>
          <w:rFonts w:ascii="Tahoma" w:hAnsi="Tahoma" w:cs="Tahoma"/>
          <w:i/>
        </w:rPr>
        <w:t>et al.</w:t>
      </w:r>
      <w:r w:rsidR="00C36F44" w:rsidRPr="00A72609">
        <w:rPr>
          <w:rFonts w:ascii="Tahoma" w:hAnsi="Tahoma" w:cs="Tahoma"/>
          <w:i/>
        </w:rPr>
        <w:t>,</w:t>
      </w:r>
      <w:r w:rsidR="00C36F44" w:rsidRPr="00C36F44">
        <w:rPr>
          <w:rFonts w:ascii="Tahoma" w:hAnsi="Tahoma" w:cs="Tahoma"/>
        </w:rPr>
        <w:t xml:space="preserve"> 2011).</w:t>
      </w:r>
      <w:r w:rsidR="00BB0224">
        <w:rPr>
          <w:rFonts w:ascii="Tahoma" w:hAnsi="Tahoma" w:cs="Tahoma"/>
        </w:rPr>
        <w:t xml:space="preserve"> With transitioning students</w:t>
      </w:r>
      <w:r w:rsidR="00DE6273">
        <w:rPr>
          <w:rFonts w:ascii="Tahoma" w:hAnsi="Tahoma" w:cs="Tahoma"/>
        </w:rPr>
        <w:t xml:space="preserve">, </w:t>
      </w:r>
      <w:r w:rsidR="00BB0224">
        <w:rPr>
          <w:rFonts w:ascii="Tahoma" w:hAnsi="Tahoma" w:cs="Tahoma"/>
        </w:rPr>
        <w:t xml:space="preserve">this </w:t>
      </w:r>
      <w:r w:rsidR="0014412A">
        <w:rPr>
          <w:rFonts w:ascii="Tahoma" w:hAnsi="Tahoma" w:cs="Tahoma"/>
        </w:rPr>
        <w:t xml:space="preserve">perceived </w:t>
      </w:r>
      <w:r w:rsidR="00AD6813">
        <w:rPr>
          <w:rFonts w:ascii="Tahoma" w:hAnsi="Tahoma" w:cs="Tahoma"/>
        </w:rPr>
        <w:t>increase</w:t>
      </w:r>
      <w:r w:rsidR="001A42E5">
        <w:rPr>
          <w:rFonts w:ascii="Tahoma" w:hAnsi="Tahoma" w:cs="Tahoma"/>
        </w:rPr>
        <w:t xml:space="preserve"> in</w:t>
      </w:r>
      <w:r w:rsidR="003C6425">
        <w:rPr>
          <w:rFonts w:ascii="Tahoma" w:hAnsi="Tahoma" w:cs="Tahoma"/>
        </w:rPr>
        <w:t xml:space="preserve"> </w:t>
      </w:r>
      <w:r w:rsidR="00BB0224">
        <w:rPr>
          <w:rFonts w:ascii="Tahoma" w:hAnsi="Tahoma" w:cs="Tahoma"/>
        </w:rPr>
        <w:t xml:space="preserve">workload could </w:t>
      </w:r>
      <w:r w:rsidR="00AD6813">
        <w:rPr>
          <w:rFonts w:ascii="Tahoma" w:hAnsi="Tahoma" w:cs="Tahoma"/>
        </w:rPr>
        <w:t>be very real</w:t>
      </w:r>
      <w:r w:rsidR="003C6425">
        <w:rPr>
          <w:rFonts w:ascii="Tahoma" w:hAnsi="Tahoma" w:cs="Tahoma"/>
        </w:rPr>
        <w:t xml:space="preserve"> </w:t>
      </w:r>
      <w:r w:rsidR="00AD6813">
        <w:rPr>
          <w:rFonts w:ascii="Tahoma" w:hAnsi="Tahoma" w:cs="Tahoma"/>
        </w:rPr>
        <w:t xml:space="preserve">and have </w:t>
      </w:r>
      <w:r w:rsidR="00F720D7">
        <w:rPr>
          <w:rFonts w:ascii="Tahoma" w:hAnsi="Tahoma" w:cs="Tahoma"/>
        </w:rPr>
        <w:t xml:space="preserve">a significant impact early in their course </w:t>
      </w:r>
      <w:r w:rsidR="00931B8B">
        <w:rPr>
          <w:rFonts w:ascii="Tahoma" w:hAnsi="Tahoma" w:cs="Tahoma"/>
        </w:rPr>
        <w:t xml:space="preserve">due to the </w:t>
      </w:r>
      <w:r w:rsidR="00931B8B" w:rsidRPr="002A5496">
        <w:rPr>
          <w:rFonts w:ascii="Tahoma" w:hAnsi="Tahoma" w:cs="Tahoma"/>
        </w:rPr>
        <w:t>developmental changes</w:t>
      </w:r>
      <w:r w:rsidR="003C6425">
        <w:rPr>
          <w:rFonts w:ascii="Tahoma" w:hAnsi="Tahoma" w:cs="Tahoma"/>
        </w:rPr>
        <w:t xml:space="preserve"> </w:t>
      </w:r>
      <w:r w:rsidR="003F5CC8">
        <w:rPr>
          <w:rFonts w:ascii="Tahoma" w:hAnsi="Tahoma" w:cs="Tahoma"/>
        </w:rPr>
        <w:t xml:space="preserve">highlighted by </w:t>
      </w:r>
      <w:r w:rsidR="001E48A2">
        <w:rPr>
          <w:rFonts w:ascii="Tahoma" w:hAnsi="Tahoma" w:cs="Tahoma"/>
        </w:rPr>
        <w:t>Pinheiro</w:t>
      </w:r>
      <w:r w:rsidR="003F5CC8">
        <w:rPr>
          <w:rFonts w:ascii="Tahoma" w:hAnsi="Tahoma" w:cs="Tahoma"/>
        </w:rPr>
        <w:t xml:space="preserve"> (</w:t>
      </w:r>
      <w:r w:rsidR="001E48A2">
        <w:rPr>
          <w:rFonts w:ascii="Tahoma" w:hAnsi="Tahoma" w:cs="Tahoma"/>
        </w:rPr>
        <w:t>2004).</w:t>
      </w:r>
      <w:r w:rsidR="00E75EFD">
        <w:rPr>
          <w:rFonts w:ascii="Tahoma" w:hAnsi="Tahoma" w:cs="Tahoma"/>
        </w:rPr>
        <w:t xml:space="preserve"> The</w:t>
      </w:r>
      <w:r w:rsidR="007D7AF9">
        <w:rPr>
          <w:rFonts w:ascii="Tahoma" w:hAnsi="Tahoma" w:cs="Tahoma"/>
        </w:rPr>
        <w:t>refore, the</w:t>
      </w:r>
      <w:r w:rsidR="00E75EFD">
        <w:rPr>
          <w:rFonts w:ascii="Tahoma" w:hAnsi="Tahoma" w:cs="Tahoma"/>
        </w:rPr>
        <w:t xml:space="preserve"> quality of learning could </w:t>
      </w:r>
      <w:r w:rsidR="007D7AF9">
        <w:rPr>
          <w:rFonts w:ascii="Tahoma" w:hAnsi="Tahoma" w:cs="Tahoma"/>
        </w:rPr>
        <w:t xml:space="preserve">also </w:t>
      </w:r>
      <w:r w:rsidR="00E75EFD">
        <w:rPr>
          <w:rFonts w:ascii="Tahoma" w:hAnsi="Tahoma" w:cs="Tahoma"/>
        </w:rPr>
        <w:t>be impacted</w:t>
      </w:r>
      <w:r w:rsidR="00E636FE">
        <w:rPr>
          <w:rFonts w:ascii="Tahoma" w:hAnsi="Tahoma" w:cs="Tahoma"/>
        </w:rPr>
        <w:t xml:space="preserve"> due to the sheer volume of new information that </w:t>
      </w:r>
      <w:r w:rsidR="00AB6ECD">
        <w:rPr>
          <w:rFonts w:ascii="Tahoma" w:hAnsi="Tahoma" w:cs="Tahoma"/>
        </w:rPr>
        <w:t xml:space="preserve">transitioning </w:t>
      </w:r>
      <w:r w:rsidR="00E636FE">
        <w:rPr>
          <w:rFonts w:ascii="Tahoma" w:hAnsi="Tahoma" w:cs="Tahoma"/>
        </w:rPr>
        <w:t>students will be subjected to</w:t>
      </w:r>
      <w:r w:rsidR="003C6425">
        <w:rPr>
          <w:rFonts w:ascii="Tahoma" w:hAnsi="Tahoma" w:cs="Tahoma"/>
        </w:rPr>
        <w:t xml:space="preserve"> </w:t>
      </w:r>
      <w:r w:rsidR="00B91D3C">
        <w:rPr>
          <w:rFonts w:ascii="Tahoma" w:hAnsi="Tahoma" w:cs="Tahoma"/>
        </w:rPr>
        <w:t>in a</w:t>
      </w:r>
      <w:r w:rsidR="001A52E4">
        <w:rPr>
          <w:rFonts w:ascii="Tahoma" w:hAnsi="Tahoma" w:cs="Tahoma"/>
        </w:rPr>
        <w:t xml:space="preserve"> new</w:t>
      </w:r>
      <w:r w:rsidR="00B91D3C">
        <w:rPr>
          <w:rFonts w:ascii="Tahoma" w:hAnsi="Tahoma" w:cs="Tahoma"/>
        </w:rPr>
        <w:t xml:space="preserve"> academic environment</w:t>
      </w:r>
      <w:r w:rsidR="00374EB0">
        <w:rPr>
          <w:rFonts w:ascii="Tahoma" w:hAnsi="Tahoma" w:cs="Tahoma"/>
        </w:rPr>
        <w:t>, such as academic regulations</w:t>
      </w:r>
      <w:r w:rsidR="00347DF3">
        <w:rPr>
          <w:rFonts w:ascii="Tahoma" w:hAnsi="Tahoma" w:cs="Tahoma"/>
        </w:rPr>
        <w:t xml:space="preserve">, </w:t>
      </w:r>
      <w:r w:rsidR="00FB4F49">
        <w:rPr>
          <w:rFonts w:ascii="Tahoma" w:hAnsi="Tahoma" w:cs="Tahoma"/>
        </w:rPr>
        <w:t xml:space="preserve">as well as the specific </w:t>
      </w:r>
      <w:r w:rsidR="00347DF3">
        <w:rPr>
          <w:rFonts w:ascii="Tahoma" w:hAnsi="Tahoma" w:cs="Tahoma"/>
        </w:rPr>
        <w:t>research</w:t>
      </w:r>
      <w:r w:rsidR="003C6425">
        <w:rPr>
          <w:rFonts w:ascii="Tahoma" w:hAnsi="Tahoma" w:cs="Tahoma"/>
        </w:rPr>
        <w:t xml:space="preserve"> </w:t>
      </w:r>
      <w:r w:rsidR="00FB4F49">
        <w:rPr>
          <w:rFonts w:ascii="Tahoma" w:hAnsi="Tahoma" w:cs="Tahoma"/>
        </w:rPr>
        <w:t>that will need to be conducted around</w:t>
      </w:r>
      <w:r w:rsidR="00D71C2A">
        <w:rPr>
          <w:rFonts w:ascii="Tahoma" w:hAnsi="Tahoma" w:cs="Tahoma"/>
        </w:rPr>
        <w:t xml:space="preserve"> their subject</w:t>
      </w:r>
      <w:r w:rsidR="00CA37D8">
        <w:rPr>
          <w:rFonts w:ascii="Tahoma" w:hAnsi="Tahoma" w:cs="Tahoma"/>
        </w:rPr>
        <w:t xml:space="preserve"> </w:t>
      </w:r>
      <w:r w:rsidR="00687DAA">
        <w:rPr>
          <w:rFonts w:ascii="Tahoma" w:hAnsi="Tahoma" w:cs="Tahoma"/>
        </w:rPr>
        <w:t>(</w:t>
      </w:r>
      <w:r w:rsidR="00687DAA" w:rsidRPr="008F759B">
        <w:rPr>
          <w:rFonts w:ascii="Tahoma" w:hAnsi="Tahoma" w:cs="Tahoma"/>
        </w:rPr>
        <w:t>Kydnt</w:t>
      </w:r>
      <w:r w:rsidR="00182E48">
        <w:rPr>
          <w:rFonts w:ascii="Tahoma" w:hAnsi="Tahoma" w:cs="Tahoma"/>
        </w:rPr>
        <w:t xml:space="preserve"> </w:t>
      </w:r>
      <w:r w:rsidR="00687DAA" w:rsidRPr="00687DAA">
        <w:rPr>
          <w:rFonts w:ascii="Tahoma" w:hAnsi="Tahoma" w:cs="Tahoma"/>
          <w:i/>
        </w:rPr>
        <w:t>et al.</w:t>
      </w:r>
      <w:r w:rsidR="00687DAA" w:rsidRPr="009A2C9D">
        <w:rPr>
          <w:rFonts w:ascii="Tahoma" w:hAnsi="Tahoma" w:cs="Tahoma"/>
        </w:rPr>
        <w:t>,</w:t>
      </w:r>
      <w:r w:rsidR="00687DAA">
        <w:rPr>
          <w:rFonts w:ascii="Tahoma" w:hAnsi="Tahoma" w:cs="Tahoma"/>
        </w:rPr>
        <w:t xml:space="preserve"> 2014)</w:t>
      </w:r>
      <w:r w:rsidR="00FC0671">
        <w:rPr>
          <w:rFonts w:ascii="Tahoma" w:hAnsi="Tahoma" w:cs="Tahoma"/>
        </w:rPr>
        <w:t>.</w:t>
      </w:r>
    </w:p>
    <w:p w:rsidR="00ED6B36" w:rsidRDefault="004F4E25" w:rsidP="00675CE9">
      <w:pPr>
        <w:spacing w:before="240" w:after="0" w:line="360" w:lineRule="auto"/>
        <w:rPr>
          <w:rFonts w:ascii="Tahoma" w:hAnsi="Tahoma" w:cs="Tahoma"/>
        </w:rPr>
      </w:pPr>
      <w:r w:rsidRPr="004F4E25">
        <w:rPr>
          <w:rFonts w:ascii="Tahoma" w:hAnsi="Tahoma" w:cs="Tahoma"/>
        </w:rPr>
        <w:t>Gill</w:t>
      </w:r>
      <w:r w:rsidR="00735271" w:rsidRPr="004F4E25">
        <w:rPr>
          <w:rFonts w:ascii="Tahoma" w:hAnsi="Tahoma" w:cs="Tahoma"/>
        </w:rPr>
        <w:t xml:space="preserve"> (2017)</w:t>
      </w:r>
      <w:r w:rsidR="00735271">
        <w:rPr>
          <w:rFonts w:ascii="Tahoma" w:hAnsi="Tahoma" w:cs="Tahoma"/>
        </w:rPr>
        <w:t xml:space="preserve"> </w:t>
      </w:r>
      <w:r w:rsidR="0016786F">
        <w:rPr>
          <w:rFonts w:ascii="Tahoma" w:hAnsi="Tahoma" w:cs="Tahoma"/>
        </w:rPr>
        <w:t>believe</w:t>
      </w:r>
      <w:r w:rsidR="008F759B">
        <w:rPr>
          <w:rFonts w:ascii="Tahoma" w:hAnsi="Tahoma" w:cs="Tahoma"/>
        </w:rPr>
        <w:t>d</w:t>
      </w:r>
      <w:r w:rsidR="0016786F">
        <w:rPr>
          <w:rFonts w:ascii="Tahoma" w:hAnsi="Tahoma" w:cs="Tahoma"/>
        </w:rPr>
        <w:t xml:space="preserve"> that</w:t>
      </w:r>
      <w:r w:rsidR="00182E48">
        <w:rPr>
          <w:rFonts w:ascii="Tahoma" w:hAnsi="Tahoma" w:cs="Tahoma"/>
        </w:rPr>
        <w:t xml:space="preserve"> </w:t>
      </w:r>
      <w:r w:rsidR="0016786F">
        <w:rPr>
          <w:rFonts w:ascii="Tahoma" w:hAnsi="Tahoma" w:cs="Tahoma"/>
        </w:rPr>
        <w:t xml:space="preserve">it is normal for </w:t>
      </w:r>
      <w:r w:rsidR="00DE6273" w:rsidRPr="00DE6273">
        <w:rPr>
          <w:rFonts w:ascii="Tahoma" w:hAnsi="Tahoma" w:cs="Tahoma"/>
        </w:rPr>
        <w:t xml:space="preserve">transitioning students </w:t>
      </w:r>
      <w:r w:rsidR="0016786F">
        <w:rPr>
          <w:rFonts w:ascii="Tahoma" w:hAnsi="Tahoma" w:cs="Tahoma"/>
        </w:rPr>
        <w:t xml:space="preserve">to </w:t>
      </w:r>
      <w:r w:rsidR="00DE6273" w:rsidRPr="00DE6273">
        <w:rPr>
          <w:rFonts w:ascii="Tahoma" w:hAnsi="Tahoma" w:cs="Tahoma"/>
        </w:rPr>
        <w:t xml:space="preserve">notice and feel a tangible change in academic differences between the largely vocational systems </w:t>
      </w:r>
      <w:r w:rsidR="0016786F">
        <w:rPr>
          <w:rFonts w:ascii="Tahoma" w:hAnsi="Tahoma" w:cs="Tahoma"/>
        </w:rPr>
        <w:t xml:space="preserve">in FE, compared to </w:t>
      </w:r>
      <w:r w:rsidR="00DE6273" w:rsidRPr="00DE6273">
        <w:rPr>
          <w:rFonts w:ascii="Tahoma" w:hAnsi="Tahoma" w:cs="Tahoma"/>
        </w:rPr>
        <w:t>the more academically rigorous HE systems.</w:t>
      </w:r>
      <w:r w:rsidR="003C6425">
        <w:rPr>
          <w:rFonts w:ascii="Tahoma" w:hAnsi="Tahoma" w:cs="Tahoma"/>
        </w:rPr>
        <w:t xml:space="preserve"> </w:t>
      </w:r>
      <w:r w:rsidRPr="004F4E25">
        <w:rPr>
          <w:rFonts w:ascii="Tahoma" w:hAnsi="Tahoma" w:cs="Tahoma"/>
        </w:rPr>
        <w:t xml:space="preserve">Gill </w:t>
      </w:r>
      <w:r w:rsidR="000B377C" w:rsidRPr="004F4E25">
        <w:rPr>
          <w:rFonts w:ascii="Tahoma" w:hAnsi="Tahoma" w:cs="Tahoma"/>
        </w:rPr>
        <w:t>(2018)</w:t>
      </w:r>
      <w:r w:rsidR="000B377C" w:rsidRPr="009C1C99">
        <w:rPr>
          <w:rFonts w:ascii="Tahoma" w:hAnsi="Tahoma" w:cs="Tahoma"/>
        </w:rPr>
        <w:t xml:space="preserve"> </w:t>
      </w:r>
      <w:r w:rsidR="004C678C">
        <w:rPr>
          <w:rFonts w:ascii="Tahoma" w:hAnsi="Tahoma" w:cs="Tahoma"/>
        </w:rPr>
        <w:t xml:space="preserve">identified </w:t>
      </w:r>
      <w:r w:rsidR="00BB0E75">
        <w:rPr>
          <w:rFonts w:ascii="Tahoma" w:hAnsi="Tahoma" w:cs="Tahoma"/>
        </w:rPr>
        <w:t>that</w:t>
      </w:r>
      <w:r w:rsidR="002C5A10" w:rsidRPr="009C1C99">
        <w:rPr>
          <w:rFonts w:ascii="Tahoma" w:hAnsi="Tahoma" w:cs="Tahoma"/>
        </w:rPr>
        <w:t xml:space="preserve"> many of the perceived </w:t>
      </w:r>
      <w:r w:rsidR="00801E1D" w:rsidRPr="009C1C99">
        <w:rPr>
          <w:rFonts w:ascii="Tahoma" w:hAnsi="Tahoma" w:cs="Tahoma"/>
        </w:rPr>
        <w:t>differences</w:t>
      </w:r>
      <w:r w:rsidR="002C5A10" w:rsidRPr="009C1C99">
        <w:rPr>
          <w:rFonts w:ascii="Tahoma" w:hAnsi="Tahoma" w:cs="Tahoma"/>
        </w:rPr>
        <w:t xml:space="preserve"> come in the form of specific </w:t>
      </w:r>
      <w:r w:rsidR="00312B37" w:rsidRPr="009C1C99">
        <w:rPr>
          <w:rFonts w:ascii="Tahoma" w:hAnsi="Tahoma" w:cs="Tahoma"/>
        </w:rPr>
        <w:t>course</w:t>
      </w:r>
      <w:r w:rsidR="003C6425">
        <w:rPr>
          <w:rFonts w:ascii="Tahoma" w:hAnsi="Tahoma" w:cs="Tahoma"/>
        </w:rPr>
        <w:t xml:space="preserve"> </w:t>
      </w:r>
      <w:r w:rsidR="002C5A10" w:rsidRPr="009C1C99">
        <w:rPr>
          <w:rFonts w:ascii="Tahoma" w:hAnsi="Tahoma" w:cs="Tahoma"/>
        </w:rPr>
        <w:t xml:space="preserve">related </w:t>
      </w:r>
      <w:r w:rsidR="009C1C99" w:rsidRPr="009C1C99">
        <w:rPr>
          <w:rFonts w:ascii="Tahoma" w:hAnsi="Tahoma" w:cs="Tahoma"/>
        </w:rPr>
        <w:t>processes</w:t>
      </w:r>
      <w:r w:rsidR="000345D7">
        <w:rPr>
          <w:rFonts w:ascii="Tahoma" w:hAnsi="Tahoma" w:cs="Tahoma"/>
        </w:rPr>
        <w:t xml:space="preserve">, with </w:t>
      </w:r>
      <w:r w:rsidR="002C7031">
        <w:rPr>
          <w:rFonts w:ascii="Tahoma" w:hAnsi="Tahoma" w:cs="Tahoma"/>
        </w:rPr>
        <w:t xml:space="preserve">similar </w:t>
      </w:r>
      <w:r w:rsidR="007F4481">
        <w:rPr>
          <w:rFonts w:ascii="Tahoma" w:hAnsi="Tahoma" w:cs="Tahoma"/>
        </w:rPr>
        <w:t>findings</w:t>
      </w:r>
      <w:r w:rsidR="003C6425">
        <w:rPr>
          <w:rFonts w:ascii="Tahoma" w:hAnsi="Tahoma" w:cs="Tahoma"/>
        </w:rPr>
        <w:t xml:space="preserve"> </w:t>
      </w:r>
      <w:r w:rsidR="000345D7">
        <w:rPr>
          <w:rFonts w:ascii="Tahoma" w:hAnsi="Tahoma" w:cs="Tahoma"/>
        </w:rPr>
        <w:t>from</w:t>
      </w:r>
      <w:r w:rsidR="003C6425">
        <w:rPr>
          <w:rFonts w:ascii="Tahoma" w:hAnsi="Tahoma" w:cs="Tahoma"/>
        </w:rPr>
        <w:t xml:space="preserve"> </w:t>
      </w:r>
      <w:r w:rsidR="004C678C">
        <w:rPr>
          <w:rFonts w:ascii="Tahoma" w:hAnsi="Tahoma" w:cs="Tahoma"/>
        </w:rPr>
        <w:t>VET</w:t>
      </w:r>
      <w:r w:rsidR="007D290C">
        <w:rPr>
          <w:rFonts w:ascii="Tahoma" w:hAnsi="Tahoma" w:cs="Tahoma"/>
        </w:rPr>
        <w:t xml:space="preserve"> students</w:t>
      </w:r>
      <w:r w:rsidR="003C6425">
        <w:rPr>
          <w:rFonts w:ascii="Tahoma" w:hAnsi="Tahoma" w:cs="Tahoma"/>
        </w:rPr>
        <w:t xml:space="preserve"> </w:t>
      </w:r>
      <w:r w:rsidR="007D23CA">
        <w:rPr>
          <w:rFonts w:ascii="Tahoma" w:hAnsi="Tahoma" w:cs="Tahoma"/>
        </w:rPr>
        <w:t>transitioning to HE</w:t>
      </w:r>
      <w:r w:rsidR="0052303F">
        <w:rPr>
          <w:rFonts w:ascii="Tahoma" w:hAnsi="Tahoma" w:cs="Tahoma"/>
        </w:rPr>
        <w:t xml:space="preserve">, where </w:t>
      </w:r>
      <w:r w:rsidR="002C5A10" w:rsidRPr="009C1C99">
        <w:rPr>
          <w:rFonts w:ascii="Tahoma" w:hAnsi="Tahoma" w:cs="Tahoma"/>
        </w:rPr>
        <w:t>workload</w:t>
      </w:r>
      <w:r w:rsidR="002C7031">
        <w:rPr>
          <w:rFonts w:ascii="Tahoma" w:hAnsi="Tahoma" w:cs="Tahoma"/>
        </w:rPr>
        <w:t xml:space="preserve">, </w:t>
      </w:r>
      <w:r w:rsidR="002C5A10" w:rsidRPr="009C1C99">
        <w:rPr>
          <w:rFonts w:ascii="Tahoma" w:hAnsi="Tahoma" w:cs="Tahoma"/>
        </w:rPr>
        <w:t>assessment deadlines</w:t>
      </w:r>
      <w:r w:rsidR="00AB71AF">
        <w:rPr>
          <w:rFonts w:ascii="Tahoma" w:hAnsi="Tahoma" w:cs="Tahoma"/>
        </w:rPr>
        <w:t>, academic writing</w:t>
      </w:r>
      <w:r w:rsidR="005C2534">
        <w:rPr>
          <w:rFonts w:ascii="Tahoma" w:hAnsi="Tahoma" w:cs="Tahoma"/>
        </w:rPr>
        <w:t xml:space="preserve"> and </w:t>
      </w:r>
      <w:r w:rsidR="002C5A10" w:rsidRPr="009C1C99">
        <w:rPr>
          <w:rFonts w:ascii="Tahoma" w:hAnsi="Tahoma" w:cs="Tahoma"/>
        </w:rPr>
        <w:t xml:space="preserve">the amount of independent study </w:t>
      </w:r>
      <w:r w:rsidR="007D290C">
        <w:rPr>
          <w:rFonts w:ascii="Tahoma" w:hAnsi="Tahoma" w:cs="Tahoma"/>
        </w:rPr>
        <w:t xml:space="preserve">where perceived </w:t>
      </w:r>
      <w:r w:rsidR="002C5A10" w:rsidRPr="009C1C99">
        <w:rPr>
          <w:rFonts w:ascii="Tahoma" w:hAnsi="Tahoma" w:cs="Tahoma"/>
        </w:rPr>
        <w:t>as potential</w:t>
      </w:r>
      <w:r w:rsidR="003C6425">
        <w:rPr>
          <w:rFonts w:ascii="Tahoma" w:hAnsi="Tahoma" w:cs="Tahoma"/>
        </w:rPr>
        <w:t xml:space="preserve"> </w:t>
      </w:r>
      <w:r w:rsidR="002C5A10" w:rsidRPr="009C1C99">
        <w:rPr>
          <w:rFonts w:ascii="Tahoma" w:hAnsi="Tahoma" w:cs="Tahoma"/>
        </w:rPr>
        <w:t>challenge</w:t>
      </w:r>
      <w:r w:rsidR="007D290C">
        <w:rPr>
          <w:rFonts w:ascii="Tahoma" w:hAnsi="Tahoma" w:cs="Tahoma"/>
        </w:rPr>
        <w:t xml:space="preserve">s to </w:t>
      </w:r>
      <w:r w:rsidR="007D23CA">
        <w:rPr>
          <w:rFonts w:ascii="Tahoma" w:hAnsi="Tahoma" w:cs="Tahoma"/>
        </w:rPr>
        <w:t>transitioning students</w:t>
      </w:r>
      <w:r w:rsidR="000345D7">
        <w:rPr>
          <w:rFonts w:ascii="Tahoma" w:hAnsi="Tahoma" w:cs="Tahoma"/>
        </w:rPr>
        <w:t>.</w:t>
      </w:r>
      <w:r w:rsidR="003C6425">
        <w:rPr>
          <w:rFonts w:ascii="Tahoma" w:hAnsi="Tahoma" w:cs="Tahoma"/>
        </w:rPr>
        <w:t xml:space="preserve"> </w:t>
      </w:r>
      <w:r w:rsidR="00ED6B36" w:rsidRPr="00ED6B36">
        <w:rPr>
          <w:rFonts w:ascii="Tahoma" w:hAnsi="Tahoma" w:cs="Tahoma"/>
        </w:rPr>
        <w:t xml:space="preserve">The differences </w:t>
      </w:r>
      <w:r w:rsidR="008A07C3">
        <w:rPr>
          <w:rFonts w:ascii="Tahoma" w:hAnsi="Tahoma" w:cs="Tahoma"/>
        </w:rPr>
        <w:t xml:space="preserve">between FE </w:t>
      </w:r>
      <w:r w:rsidR="004C09F9">
        <w:rPr>
          <w:rFonts w:ascii="Tahoma" w:hAnsi="Tahoma" w:cs="Tahoma"/>
        </w:rPr>
        <w:t>environment</w:t>
      </w:r>
      <w:r w:rsidR="00875691">
        <w:rPr>
          <w:rFonts w:ascii="Tahoma" w:hAnsi="Tahoma" w:cs="Tahoma"/>
        </w:rPr>
        <w:t>s</w:t>
      </w:r>
      <w:r w:rsidR="004C09F9">
        <w:rPr>
          <w:rFonts w:ascii="Tahoma" w:hAnsi="Tahoma" w:cs="Tahoma"/>
        </w:rPr>
        <w:t xml:space="preserve"> and </w:t>
      </w:r>
      <w:r w:rsidR="008A07C3">
        <w:rPr>
          <w:rFonts w:ascii="Tahoma" w:hAnsi="Tahoma" w:cs="Tahoma"/>
        </w:rPr>
        <w:t xml:space="preserve">HE </w:t>
      </w:r>
      <w:r w:rsidR="004C09F9">
        <w:rPr>
          <w:rFonts w:ascii="Tahoma" w:hAnsi="Tahoma" w:cs="Tahoma"/>
        </w:rPr>
        <w:t>environment</w:t>
      </w:r>
      <w:r w:rsidR="00875691">
        <w:rPr>
          <w:rFonts w:ascii="Tahoma" w:hAnsi="Tahoma" w:cs="Tahoma"/>
        </w:rPr>
        <w:t xml:space="preserve">s </w:t>
      </w:r>
      <w:r w:rsidR="00ED6B36" w:rsidRPr="00ED6B36">
        <w:rPr>
          <w:rFonts w:ascii="Tahoma" w:hAnsi="Tahoma" w:cs="Tahoma"/>
        </w:rPr>
        <w:t>lead to the</w:t>
      </w:r>
      <w:r w:rsidR="003C6425">
        <w:rPr>
          <w:rFonts w:ascii="Tahoma" w:hAnsi="Tahoma" w:cs="Tahoma"/>
        </w:rPr>
        <w:t xml:space="preserve"> </w:t>
      </w:r>
      <w:r w:rsidR="00ED6B36" w:rsidRPr="00ED6B36">
        <w:rPr>
          <w:rFonts w:ascii="Tahoma" w:hAnsi="Tahoma" w:cs="Tahoma"/>
        </w:rPr>
        <w:t>comparison of course</w:t>
      </w:r>
      <w:r w:rsidR="007D7AF9">
        <w:rPr>
          <w:rFonts w:ascii="Tahoma" w:hAnsi="Tahoma" w:cs="Tahoma"/>
        </w:rPr>
        <w:t>s from a</w:t>
      </w:r>
      <w:r w:rsidR="00ED6B36" w:rsidRPr="00ED6B36">
        <w:rPr>
          <w:rFonts w:ascii="Tahoma" w:hAnsi="Tahoma" w:cs="Tahoma"/>
        </w:rPr>
        <w:t xml:space="preserve"> difficulty</w:t>
      </w:r>
      <w:r w:rsidR="007D7AF9">
        <w:rPr>
          <w:rFonts w:ascii="Tahoma" w:hAnsi="Tahoma" w:cs="Tahoma"/>
        </w:rPr>
        <w:t xml:space="preserve"> perspective</w:t>
      </w:r>
      <w:r w:rsidR="00F27DDD">
        <w:rPr>
          <w:rFonts w:ascii="Tahoma" w:hAnsi="Tahoma" w:cs="Tahoma"/>
        </w:rPr>
        <w:t>.</w:t>
      </w:r>
      <w:r w:rsidR="003C6425">
        <w:rPr>
          <w:rFonts w:ascii="Tahoma" w:hAnsi="Tahoma" w:cs="Tahoma"/>
        </w:rPr>
        <w:t xml:space="preserve"> </w:t>
      </w:r>
      <w:r w:rsidRPr="004F4E25">
        <w:rPr>
          <w:rFonts w:ascii="Tahoma" w:hAnsi="Tahoma" w:cs="Tahoma"/>
        </w:rPr>
        <w:t>Gill</w:t>
      </w:r>
      <w:r w:rsidR="00751A75" w:rsidRPr="004F4E25">
        <w:rPr>
          <w:rFonts w:ascii="Tahoma" w:hAnsi="Tahoma" w:cs="Tahoma"/>
        </w:rPr>
        <w:t xml:space="preserve"> (2017)</w:t>
      </w:r>
      <w:r w:rsidR="00751A75">
        <w:rPr>
          <w:rFonts w:ascii="Tahoma" w:hAnsi="Tahoma" w:cs="Tahoma"/>
        </w:rPr>
        <w:t xml:space="preserve"> found that students believed their </w:t>
      </w:r>
      <w:r w:rsidR="00751A75" w:rsidRPr="00ED6B36">
        <w:rPr>
          <w:rFonts w:ascii="Tahoma" w:hAnsi="Tahoma" w:cs="Tahoma"/>
        </w:rPr>
        <w:t>HE studies were more difficult than</w:t>
      </w:r>
      <w:r w:rsidR="00751A75">
        <w:rPr>
          <w:rFonts w:ascii="Tahoma" w:hAnsi="Tahoma" w:cs="Tahoma"/>
        </w:rPr>
        <w:t xml:space="preserve"> their previous </w:t>
      </w:r>
      <w:r w:rsidR="00751A75" w:rsidRPr="00ED6B36">
        <w:rPr>
          <w:rFonts w:ascii="Tahoma" w:hAnsi="Tahoma" w:cs="Tahoma"/>
        </w:rPr>
        <w:t>FE studies.</w:t>
      </w:r>
      <w:r w:rsidR="003C6425">
        <w:rPr>
          <w:rFonts w:ascii="Tahoma" w:hAnsi="Tahoma" w:cs="Tahoma"/>
        </w:rPr>
        <w:t xml:space="preserve"> </w:t>
      </w:r>
      <w:r w:rsidR="00DE36DA">
        <w:rPr>
          <w:rFonts w:ascii="Tahoma" w:hAnsi="Tahoma" w:cs="Tahoma"/>
        </w:rPr>
        <w:t>T</w:t>
      </w:r>
      <w:r w:rsidR="00ED6B36" w:rsidRPr="00ED6B36">
        <w:rPr>
          <w:rFonts w:ascii="Tahoma" w:hAnsi="Tahoma" w:cs="Tahoma"/>
        </w:rPr>
        <w:t xml:space="preserve">his phenomenon </w:t>
      </w:r>
      <w:r w:rsidR="002732DB">
        <w:rPr>
          <w:rFonts w:ascii="Tahoma" w:hAnsi="Tahoma" w:cs="Tahoma"/>
        </w:rPr>
        <w:t>may</w:t>
      </w:r>
      <w:r w:rsidR="00ED6B36" w:rsidRPr="00ED6B36">
        <w:rPr>
          <w:rFonts w:ascii="Tahoma" w:hAnsi="Tahoma" w:cs="Tahoma"/>
        </w:rPr>
        <w:t xml:space="preserve"> be explained </w:t>
      </w:r>
      <w:r w:rsidR="00875691">
        <w:rPr>
          <w:rFonts w:ascii="Tahoma" w:hAnsi="Tahoma" w:cs="Tahoma"/>
        </w:rPr>
        <w:t xml:space="preserve">somewhat </w:t>
      </w:r>
      <w:r w:rsidR="00ED6B36" w:rsidRPr="00ED6B36">
        <w:rPr>
          <w:rFonts w:ascii="Tahoma" w:hAnsi="Tahoma" w:cs="Tahoma"/>
        </w:rPr>
        <w:t>by the varying academic levels</w:t>
      </w:r>
      <w:r w:rsidR="009D4EC9">
        <w:rPr>
          <w:rFonts w:ascii="Tahoma" w:hAnsi="Tahoma" w:cs="Tahoma"/>
        </w:rPr>
        <w:t xml:space="preserve"> commonly delivered on courses</w:t>
      </w:r>
      <w:r w:rsidR="002E6B0C">
        <w:rPr>
          <w:rFonts w:ascii="Tahoma" w:hAnsi="Tahoma" w:cs="Tahoma"/>
        </w:rPr>
        <w:t>, with</w:t>
      </w:r>
      <w:r w:rsidR="00797D1E">
        <w:rPr>
          <w:rFonts w:ascii="Tahoma" w:hAnsi="Tahoma" w:cs="Tahoma"/>
        </w:rPr>
        <w:t xml:space="preserve"> BTECs commonly being Level 2 and 3</w:t>
      </w:r>
      <w:r w:rsidR="00FB2F62">
        <w:rPr>
          <w:rFonts w:ascii="Tahoma" w:hAnsi="Tahoma" w:cs="Tahoma"/>
        </w:rPr>
        <w:t xml:space="preserve"> qualifications</w:t>
      </w:r>
      <w:r w:rsidR="00797D1E">
        <w:rPr>
          <w:rFonts w:ascii="Tahoma" w:hAnsi="Tahoma" w:cs="Tahoma"/>
        </w:rPr>
        <w:t>, and</w:t>
      </w:r>
      <w:r w:rsidR="002E6B0C">
        <w:rPr>
          <w:rFonts w:ascii="Tahoma" w:hAnsi="Tahoma" w:cs="Tahoma"/>
        </w:rPr>
        <w:t xml:space="preserve"> FDs being Level 4 and 5 </w:t>
      </w:r>
      <w:r w:rsidR="009D4EC9">
        <w:rPr>
          <w:rFonts w:ascii="Tahoma" w:hAnsi="Tahoma" w:cs="Tahoma"/>
        </w:rPr>
        <w:t xml:space="preserve">higher </w:t>
      </w:r>
      <w:r w:rsidR="002E6B0C">
        <w:rPr>
          <w:rFonts w:ascii="Tahoma" w:hAnsi="Tahoma" w:cs="Tahoma"/>
        </w:rPr>
        <w:t>qualifications</w:t>
      </w:r>
      <w:r w:rsidR="00ED6B36" w:rsidRPr="00ED6B36">
        <w:rPr>
          <w:rFonts w:ascii="Tahoma" w:hAnsi="Tahoma" w:cs="Tahoma"/>
        </w:rPr>
        <w:t>.</w:t>
      </w:r>
      <w:r w:rsidR="003C6425">
        <w:rPr>
          <w:rFonts w:ascii="Tahoma" w:hAnsi="Tahoma" w:cs="Tahoma"/>
        </w:rPr>
        <w:t xml:space="preserve"> </w:t>
      </w:r>
      <w:r w:rsidR="00751A75">
        <w:rPr>
          <w:rFonts w:ascii="Tahoma" w:hAnsi="Tahoma" w:cs="Tahoma"/>
        </w:rPr>
        <w:t>Also</w:t>
      </w:r>
      <w:r w:rsidR="009D460F">
        <w:rPr>
          <w:rFonts w:ascii="Tahoma" w:hAnsi="Tahoma" w:cs="Tahoma"/>
        </w:rPr>
        <w:t>,</w:t>
      </w:r>
      <w:r w:rsidR="00751A75">
        <w:rPr>
          <w:rFonts w:ascii="Tahoma" w:hAnsi="Tahoma" w:cs="Tahoma"/>
        </w:rPr>
        <w:t xml:space="preserve"> it is important to note that</w:t>
      </w:r>
      <w:r w:rsidR="009D460F">
        <w:rPr>
          <w:rFonts w:ascii="Tahoma" w:hAnsi="Tahoma" w:cs="Tahoma"/>
        </w:rPr>
        <w:t xml:space="preserve"> the issue might not be the academic level of study and could possibly be the change in </w:t>
      </w:r>
      <w:r w:rsidR="000F338A">
        <w:rPr>
          <w:rFonts w:ascii="Tahoma" w:hAnsi="Tahoma" w:cs="Tahoma"/>
        </w:rPr>
        <w:t xml:space="preserve">learning environment from a </w:t>
      </w:r>
      <w:r w:rsidR="00F86022">
        <w:rPr>
          <w:rFonts w:ascii="Tahoma" w:hAnsi="Tahoma" w:cs="Tahoma"/>
        </w:rPr>
        <w:t>vocationally based</w:t>
      </w:r>
      <w:r w:rsidR="000F338A">
        <w:rPr>
          <w:rFonts w:ascii="Tahoma" w:hAnsi="Tahoma" w:cs="Tahoma"/>
        </w:rPr>
        <w:t xml:space="preserve"> qualification to </w:t>
      </w:r>
      <w:r w:rsidR="00411F4A">
        <w:rPr>
          <w:rFonts w:ascii="Tahoma" w:hAnsi="Tahoma" w:cs="Tahoma"/>
        </w:rPr>
        <w:t>a</w:t>
      </w:r>
      <w:r w:rsidR="00275589">
        <w:rPr>
          <w:rFonts w:ascii="Tahoma" w:hAnsi="Tahoma" w:cs="Tahoma"/>
        </w:rPr>
        <w:t xml:space="preserve"> more</w:t>
      </w:r>
      <w:r w:rsidR="00411F4A">
        <w:rPr>
          <w:rFonts w:ascii="Tahoma" w:hAnsi="Tahoma" w:cs="Tahoma"/>
        </w:rPr>
        <w:t xml:space="preserve"> academic </w:t>
      </w:r>
      <w:r w:rsidR="00275589">
        <w:rPr>
          <w:rFonts w:ascii="Tahoma" w:hAnsi="Tahoma" w:cs="Tahoma"/>
        </w:rPr>
        <w:t>oriented</w:t>
      </w:r>
      <w:r w:rsidR="003C6425">
        <w:rPr>
          <w:rFonts w:ascii="Tahoma" w:hAnsi="Tahoma" w:cs="Tahoma"/>
        </w:rPr>
        <w:t xml:space="preserve"> </w:t>
      </w:r>
      <w:r w:rsidR="00464A29">
        <w:rPr>
          <w:rFonts w:ascii="Tahoma" w:hAnsi="Tahoma" w:cs="Tahoma"/>
        </w:rPr>
        <w:t xml:space="preserve">course that utilises </w:t>
      </w:r>
      <w:r w:rsidR="007D7AF9">
        <w:rPr>
          <w:rFonts w:ascii="Tahoma" w:hAnsi="Tahoma" w:cs="Tahoma"/>
        </w:rPr>
        <w:t>different</w:t>
      </w:r>
      <w:r w:rsidR="00464A29">
        <w:rPr>
          <w:rFonts w:ascii="Tahoma" w:hAnsi="Tahoma" w:cs="Tahoma"/>
        </w:rPr>
        <w:t xml:space="preserve"> </w:t>
      </w:r>
      <w:r w:rsidR="00AD78F0">
        <w:rPr>
          <w:rFonts w:ascii="Tahoma" w:hAnsi="Tahoma" w:cs="Tahoma"/>
        </w:rPr>
        <w:t xml:space="preserve">policy </w:t>
      </w:r>
      <w:r w:rsidR="002A7C4B">
        <w:rPr>
          <w:rFonts w:ascii="Tahoma" w:hAnsi="Tahoma" w:cs="Tahoma"/>
        </w:rPr>
        <w:t xml:space="preserve">and </w:t>
      </w:r>
      <w:r w:rsidR="00464A29">
        <w:rPr>
          <w:rFonts w:ascii="Tahoma" w:hAnsi="Tahoma" w:cs="Tahoma"/>
        </w:rPr>
        <w:t>regulations.</w:t>
      </w:r>
    </w:p>
    <w:p w:rsidR="006D2233" w:rsidRDefault="00BB0D9D" w:rsidP="00675CE9">
      <w:pPr>
        <w:spacing w:before="240" w:after="0" w:line="360" w:lineRule="auto"/>
        <w:rPr>
          <w:rFonts w:ascii="Tahoma" w:hAnsi="Tahoma" w:cs="Tahoma"/>
        </w:rPr>
      </w:pPr>
      <w:r>
        <w:rPr>
          <w:rFonts w:ascii="Tahoma" w:hAnsi="Tahoma" w:cs="Tahoma"/>
        </w:rPr>
        <w:t>Unfortunately, t</w:t>
      </w:r>
      <w:r w:rsidR="000935BC">
        <w:rPr>
          <w:rFonts w:ascii="Tahoma" w:hAnsi="Tahoma" w:cs="Tahoma"/>
        </w:rPr>
        <w:t>here</w:t>
      </w:r>
      <w:r w:rsidR="00EB636D">
        <w:rPr>
          <w:rFonts w:ascii="Tahoma" w:hAnsi="Tahoma" w:cs="Tahoma"/>
        </w:rPr>
        <w:t xml:space="preserve"> are distinct </w:t>
      </w:r>
      <w:r w:rsidR="00B866A0">
        <w:rPr>
          <w:rFonts w:ascii="Tahoma" w:hAnsi="Tahoma" w:cs="Tahoma"/>
        </w:rPr>
        <w:t>gaps</w:t>
      </w:r>
      <w:r w:rsidR="00EB636D">
        <w:rPr>
          <w:rFonts w:ascii="Tahoma" w:hAnsi="Tahoma" w:cs="Tahoma"/>
        </w:rPr>
        <w:t xml:space="preserve"> between the systems utilised in FE environments and HE academic systems</w:t>
      </w:r>
      <w:r w:rsidR="003C0164">
        <w:rPr>
          <w:rFonts w:ascii="Tahoma" w:hAnsi="Tahoma" w:cs="Tahoma"/>
        </w:rPr>
        <w:t xml:space="preserve"> </w:t>
      </w:r>
      <w:r w:rsidR="003C0164" w:rsidRPr="004F4E25">
        <w:rPr>
          <w:rFonts w:ascii="Tahoma" w:hAnsi="Tahoma" w:cs="Tahoma"/>
        </w:rPr>
        <w:t>(</w:t>
      </w:r>
      <w:r w:rsidR="004F4E25" w:rsidRPr="004F4E25">
        <w:rPr>
          <w:rFonts w:ascii="Tahoma" w:hAnsi="Tahoma" w:cs="Tahoma"/>
        </w:rPr>
        <w:t>Gill</w:t>
      </w:r>
      <w:r w:rsidR="003C0164" w:rsidRPr="004F4E25">
        <w:rPr>
          <w:rFonts w:ascii="Tahoma" w:hAnsi="Tahoma" w:cs="Tahoma"/>
        </w:rPr>
        <w:t>, 2017).</w:t>
      </w:r>
      <w:r w:rsidR="00EB636D">
        <w:rPr>
          <w:rFonts w:ascii="Tahoma" w:hAnsi="Tahoma" w:cs="Tahoma"/>
        </w:rPr>
        <w:t xml:space="preserve"> Tranter and W</w:t>
      </w:r>
      <w:r w:rsidR="009238CF">
        <w:rPr>
          <w:rFonts w:ascii="Tahoma" w:hAnsi="Tahoma" w:cs="Tahoma"/>
        </w:rPr>
        <w:t>ar</w:t>
      </w:r>
      <w:r w:rsidR="00EB636D">
        <w:rPr>
          <w:rFonts w:ascii="Tahoma" w:hAnsi="Tahoma" w:cs="Tahoma"/>
        </w:rPr>
        <w:t xml:space="preserve">n (2003) suggest that </w:t>
      </w:r>
      <w:r w:rsidR="00B866A0">
        <w:rPr>
          <w:rFonts w:ascii="Tahoma" w:hAnsi="Tahoma" w:cs="Tahoma"/>
        </w:rPr>
        <w:t xml:space="preserve">action is required </w:t>
      </w:r>
      <w:r w:rsidR="00BB37E0" w:rsidRPr="00BB37E0">
        <w:rPr>
          <w:rFonts w:ascii="Tahoma" w:hAnsi="Tahoma" w:cs="Tahoma"/>
        </w:rPr>
        <w:t xml:space="preserve">to bridge the gap between the </w:t>
      </w:r>
      <w:r w:rsidR="00EB636D">
        <w:rPr>
          <w:rFonts w:ascii="Tahoma" w:hAnsi="Tahoma" w:cs="Tahoma"/>
        </w:rPr>
        <w:t xml:space="preserve">differing </w:t>
      </w:r>
      <w:r w:rsidR="00B866A0">
        <w:rPr>
          <w:rFonts w:ascii="Tahoma" w:hAnsi="Tahoma" w:cs="Tahoma"/>
        </w:rPr>
        <w:t xml:space="preserve">educational </w:t>
      </w:r>
      <w:r w:rsidR="00BB37E0" w:rsidRPr="00BB37E0">
        <w:rPr>
          <w:rFonts w:ascii="Tahoma" w:hAnsi="Tahoma" w:cs="Tahoma"/>
        </w:rPr>
        <w:t>systems</w:t>
      </w:r>
      <w:r w:rsidR="00EB636D">
        <w:rPr>
          <w:rFonts w:ascii="Tahoma" w:hAnsi="Tahoma" w:cs="Tahoma"/>
        </w:rPr>
        <w:t>, possibly bringing the two closer together.</w:t>
      </w:r>
      <w:r w:rsidR="003C6425">
        <w:rPr>
          <w:rFonts w:ascii="Tahoma" w:hAnsi="Tahoma" w:cs="Tahoma"/>
        </w:rPr>
        <w:t xml:space="preserve"> </w:t>
      </w:r>
      <w:r w:rsidR="004F4E25">
        <w:rPr>
          <w:rFonts w:ascii="Tahoma" w:hAnsi="Tahoma" w:cs="Tahoma"/>
        </w:rPr>
        <w:t xml:space="preserve">Gill </w:t>
      </w:r>
      <w:r w:rsidR="00B866A0" w:rsidRPr="004F4E25">
        <w:rPr>
          <w:rFonts w:ascii="Tahoma" w:hAnsi="Tahoma" w:cs="Tahoma"/>
        </w:rPr>
        <w:t>(2017)</w:t>
      </w:r>
      <w:r w:rsidR="00B866A0">
        <w:rPr>
          <w:rFonts w:ascii="Tahoma" w:hAnsi="Tahoma" w:cs="Tahoma"/>
        </w:rPr>
        <w:t xml:space="preserve"> </w:t>
      </w:r>
      <w:r w:rsidR="00D71654">
        <w:rPr>
          <w:rFonts w:ascii="Tahoma" w:hAnsi="Tahoma" w:cs="Tahoma"/>
        </w:rPr>
        <w:t>opined</w:t>
      </w:r>
      <w:r w:rsidR="00B866A0">
        <w:rPr>
          <w:rFonts w:ascii="Tahoma" w:hAnsi="Tahoma" w:cs="Tahoma"/>
        </w:rPr>
        <w:t xml:space="preserve"> that </w:t>
      </w:r>
      <w:r w:rsidR="00BB37E0" w:rsidRPr="00BB37E0">
        <w:rPr>
          <w:rFonts w:ascii="Tahoma" w:hAnsi="Tahoma" w:cs="Tahoma"/>
        </w:rPr>
        <w:t xml:space="preserve">FE colleges have a responsibility to prepare their students for either employment, or further study, </w:t>
      </w:r>
      <w:r w:rsidR="00B866A0">
        <w:rPr>
          <w:rFonts w:ascii="Tahoma" w:hAnsi="Tahoma" w:cs="Tahoma"/>
        </w:rPr>
        <w:t>suggesting that</w:t>
      </w:r>
      <w:r w:rsidR="00BB37E0" w:rsidRPr="00BB37E0">
        <w:rPr>
          <w:rFonts w:ascii="Tahoma" w:hAnsi="Tahoma" w:cs="Tahoma"/>
        </w:rPr>
        <w:t xml:space="preserve"> it would be good practice </w:t>
      </w:r>
      <w:r w:rsidR="00B454FD">
        <w:rPr>
          <w:rFonts w:ascii="Tahoma" w:hAnsi="Tahoma" w:cs="Tahoma"/>
        </w:rPr>
        <w:t>for</w:t>
      </w:r>
      <w:r w:rsidR="003C6425">
        <w:rPr>
          <w:rFonts w:ascii="Tahoma" w:hAnsi="Tahoma" w:cs="Tahoma"/>
        </w:rPr>
        <w:t xml:space="preserve"> </w:t>
      </w:r>
      <w:r w:rsidR="00B866A0">
        <w:rPr>
          <w:rFonts w:ascii="Tahoma" w:hAnsi="Tahoma" w:cs="Tahoma"/>
        </w:rPr>
        <w:t xml:space="preserve">awarding bodies of Level 3 qualifications </w:t>
      </w:r>
      <w:r w:rsidR="006F5753">
        <w:rPr>
          <w:rFonts w:ascii="Tahoma" w:hAnsi="Tahoma" w:cs="Tahoma"/>
        </w:rPr>
        <w:t xml:space="preserve">to incorporate </w:t>
      </w:r>
      <w:r w:rsidR="00BB37E0" w:rsidRPr="00BB37E0">
        <w:rPr>
          <w:rFonts w:ascii="Tahoma" w:hAnsi="Tahoma" w:cs="Tahoma"/>
        </w:rPr>
        <w:t>and emphasise academic guidelines into their vocational qualifications.</w:t>
      </w:r>
      <w:r w:rsidR="00F82942">
        <w:rPr>
          <w:rFonts w:ascii="Tahoma" w:hAnsi="Tahoma" w:cs="Tahoma"/>
        </w:rPr>
        <w:t xml:space="preserve"> A</w:t>
      </w:r>
      <w:r w:rsidR="003C6425">
        <w:rPr>
          <w:rFonts w:ascii="Tahoma" w:hAnsi="Tahoma" w:cs="Tahoma"/>
        </w:rPr>
        <w:t xml:space="preserve"> </w:t>
      </w:r>
      <w:r w:rsidR="00BB37E0" w:rsidRPr="00BB37E0">
        <w:rPr>
          <w:rFonts w:ascii="Tahoma" w:hAnsi="Tahoma" w:cs="Tahoma"/>
        </w:rPr>
        <w:t xml:space="preserve">soft implementation of key academic </w:t>
      </w:r>
      <w:r w:rsidR="00F82942">
        <w:rPr>
          <w:rFonts w:ascii="Tahoma" w:hAnsi="Tahoma" w:cs="Tahoma"/>
        </w:rPr>
        <w:t xml:space="preserve">regulations, </w:t>
      </w:r>
      <w:r w:rsidR="00BB37E0" w:rsidRPr="00BB37E0">
        <w:rPr>
          <w:rFonts w:ascii="Tahoma" w:hAnsi="Tahoma" w:cs="Tahoma"/>
        </w:rPr>
        <w:t xml:space="preserve">such as varying </w:t>
      </w:r>
      <w:r w:rsidR="00F82942">
        <w:rPr>
          <w:rFonts w:ascii="Tahoma" w:hAnsi="Tahoma" w:cs="Tahoma"/>
        </w:rPr>
        <w:t xml:space="preserve">the </w:t>
      </w:r>
      <w:r w:rsidR="00BB37E0" w:rsidRPr="00BB37E0">
        <w:rPr>
          <w:rFonts w:ascii="Tahoma" w:hAnsi="Tahoma" w:cs="Tahoma"/>
        </w:rPr>
        <w:t xml:space="preserve">assessment formats, adopting different writing styles and attempting to introduce a wider-range of reading and referencing, would be directly beneficial to their </w:t>
      </w:r>
      <w:r w:rsidR="00F82942">
        <w:rPr>
          <w:rFonts w:ascii="Tahoma" w:hAnsi="Tahoma" w:cs="Tahoma"/>
        </w:rPr>
        <w:t xml:space="preserve">own </w:t>
      </w:r>
      <w:r w:rsidR="00BB37E0" w:rsidRPr="00BB37E0">
        <w:rPr>
          <w:rFonts w:ascii="Tahoma" w:hAnsi="Tahoma" w:cs="Tahoma"/>
        </w:rPr>
        <w:t>students</w:t>
      </w:r>
      <w:r w:rsidR="00403AF9">
        <w:rPr>
          <w:rFonts w:ascii="Tahoma" w:hAnsi="Tahoma" w:cs="Tahoma"/>
        </w:rPr>
        <w:t>’</w:t>
      </w:r>
      <w:r w:rsidR="00BB37E0" w:rsidRPr="00BB37E0">
        <w:rPr>
          <w:rFonts w:ascii="Tahoma" w:hAnsi="Tahoma" w:cs="Tahoma"/>
        </w:rPr>
        <w:t xml:space="preserve"> development and progression</w:t>
      </w:r>
      <w:r w:rsidR="00F82942">
        <w:rPr>
          <w:rFonts w:ascii="Tahoma" w:hAnsi="Tahoma" w:cs="Tahoma"/>
        </w:rPr>
        <w:t xml:space="preserve"> </w:t>
      </w:r>
      <w:r w:rsidR="00D71654">
        <w:rPr>
          <w:rFonts w:ascii="Tahoma" w:hAnsi="Tahoma" w:cs="Tahoma"/>
        </w:rPr>
        <w:t>in</w:t>
      </w:r>
      <w:r w:rsidR="00F82942">
        <w:rPr>
          <w:rFonts w:ascii="Tahoma" w:hAnsi="Tahoma" w:cs="Tahoma"/>
        </w:rPr>
        <w:t>to HE, which is increasingly being delivered in-house in the form of FDs.</w:t>
      </w:r>
      <w:r w:rsidR="00AB4D34">
        <w:rPr>
          <w:rFonts w:ascii="Tahoma" w:hAnsi="Tahoma" w:cs="Tahoma"/>
        </w:rPr>
        <w:t xml:space="preserve"> The </w:t>
      </w:r>
      <w:r w:rsidR="00B454FD" w:rsidRPr="00B454FD">
        <w:rPr>
          <w:rFonts w:ascii="Tahoma" w:hAnsi="Tahoma" w:cs="Tahoma"/>
        </w:rPr>
        <w:t xml:space="preserve">difference between educational </w:t>
      </w:r>
      <w:r w:rsidR="00D71654" w:rsidRPr="00B454FD">
        <w:rPr>
          <w:rFonts w:ascii="Tahoma" w:hAnsi="Tahoma" w:cs="Tahoma"/>
        </w:rPr>
        <w:t>standards</w:t>
      </w:r>
      <w:r w:rsidR="00B454FD" w:rsidRPr="00B454FD">
        <w:rPr>
          <w:rFonts w:ascii="Tahoma" w:hAnsi="Tahoma" w:cs="Tahoma"/>
        </w:rPr>
        <w:t xml:space="preserve"> and the perception amongst students</w:t>
      </w:r>
      <w:r w:rsidR="003C6425">
        <w:rPr>
          <w:rFonts w:ascii="Tahoma" w:hAnsi="Tahoma" w:cs="Tahoma"/>
        </w:rPr>
        <w:t xml:space="preserve"> </w:t>
      </w:r>
      <w:r w:rsidR="00B454FD" w:rsidRPr="00B454FD">
        <w:rPr>
          <w:rFonts w:ascii="Tahoma" w:hAnsi="Tahoma" w:cs="Tahoma"/>
        </w:rPr>
        <w:t>that these standards will present a significant challenge to overcome simply because they</w:t>
      </w:r>
      <w:r w:rsidR="003C6425">
        <w:rPr>
          <w:rFonts w:ascii="Tahoma" w:hAnsi="Tahoma" w:cs="Tahoma"/>
        </w:rPr>
        <w:t xml:space="preserve"> </w:t>
      </w:r>
      <w:r w:rsidR="00B454FD" w:rsidRPr="00B454FD">
        <w:rPr>
          <w:rFonts w:ascii="Tahoma" w:hAnsi="Tahoma" w:cs="Tahoma"/>
        </w:rPr>
        <w:t>haven’t been required in previous forms of education</w:t>
      </w:r>
      <w:r w:rsidR="00AB4D34">
        <w:rPr>
          <w:rFonts w:ascii="Tahoma" w:hAnsi="Tahoma" w:cs="Tahoma"/>
        </w:rPr>
        <w:t xml:space="preserve"> is definitely something that requires further exploration/action.</w:t>
      </w:r>
    </w:p>
    <w:p w:rsidR="006D2233" w:rsidRDefault="006D2233" w:rsidP="00675CE9">
      <w:pPr>
        <w:spacing w:before="240" w:after="0" w:line="360" w:lineRule="auto"/>
        <w:jc w:val="both"/>
        <w:rPr>
          <w:rFonts w:ascii="Tahoma" w:hAnsi="Tahoma" w:cs="Tahoma"/>
          <w:b/>
        </w:rPr>
      </w:pPr>
    </w:p>
    <w:p w:rsidR="00296E30" w:rsidRPr="000818F0" w:rsidRDefault="000818F0" w:rsidP="00E24148">
      <w:pPr>
        <w:spacing w:before="240" w:line="360" w:lineRule="auto"/>
        <w:rPr>
          <w:rFonts w:ascii="Tahoma" w:hAnsi="Tahoma" w:cs="Tahoma"/>
          <w:b/>
          <w:sz w:val="24"/>
          <w:szCs w:val="24"/>
        </w:rPr>
      </w:pPr>
      <w:r w:rsidRPr="00266BF9">
        <w:rPr>
          <w:rFonts w:ascii="Tahoma" w:hAnsi="Tahoma" w:cs="Tahoma"/>
          <w:b/>
          <w:sz w:val="24"/>
          <w:szCs w:val="24"/>
        </w:rPr>
        <w:t>Conclusions and Proposed Guidelines</w:t>
      </w:r>
    </w:p>
    <w:p w:rsidR="00AD37AD" w:rsidRDefault="009E170E" w:rsidP="00E24148">
      <w:pPr>
        <w:spacing w:line="360" w:lineRule="auto"/>
        <w:rPr>
          <w:rFonts w:ascii="Tahoma" w:hAnsi="Tahoma" w:cs="Tahoma"/>
        </w:rPr>
      </w:pPr>
      <w:r w:rsidRPr="00687CDC">
        <w:rPr>
          <w:rFonts w:ascii="Tahoma" w:hAnsi="Tahoma" w:cs="Tahoma"/>
        </w:rPr>
        <w:t>This research provides a</w:t>
      </w:r>
      <w:r w:rsidR="003C6425">
        <w:rPr>
          <w:rFonts w:ascii="Tahoma" w:hAnsi="Tahoma" w:cs="Tahoma"/>
        </w:rPr>
        <w:t xml:space="preserve"> </w:t>
      </w:r>
      <w:r w:rsidR="000F73AE" w:rsidRPr="00687CDC">
        <w:rPr>
          <w:rFonts w:ascii="Tahoma" w:hAnsi="Tahoma" w:cs="Tahoma"/>
        </w:rPr>
        <w:t>much-needed</w:t>
      </w:r>
      <w:r w:rsidR="003C6425">
        <w:rPr>
          <w:rFonts w:ascii="Tahoma" w:hAnsi="Tahoma" w:cs="Tahoma"/>
        </w:rPr>
        <w:t xml:space="preserve"> </w:t>
      </w:r>
      <w:r w:rsidR="000944CB">
        <w:rPr>
          <w:rFonts w:ascii="Tahoma" w:hAnsi="Tahoma" w:cs="Tahoma"/>
        </w:rPr>
        <w:t>exploration</w:t>
      </w:r>
      <w:r w:rsidR="00182E48">
        <w:rPr>
          <w:rFonts w:ascii="Tahoma" w:hAnsi="Tahoma" w:cs="Tahoma"/>
        </w:rPr>
        <w:t xml:space="preserve"> </w:t>
      </w:r>
      <w:r w:rsidR="007876E5">
        <w:rPr>
          <w:rFonts w:ascii="Tahoma" w:hAnsi="Tahoma" w:cs="Tahoma"/>
        </w:rPr>
        <w:t>of the</w:t>
      </w:r>
      <w:r w:rsidR="00FA7871" w:rsidRPr="00687CDC">
        <w:rPr>
          <w:rFonts w:ascii="Tahoma" w:hAnsi="Tahoma" w:cs="Tahoma"/>
        </w:rPr>
        <w:t xml:space="preserve"> thoughts, feelings and perceptions of </w:t>
      </w:r>
      <w:r w:rsidR="00840099">
        <w:rPr>
          <w:rFonts w:ascii="Tahoma" w:hAnsi="Tahoma" w:cs="Tahoma"/>
        </w:rPr>
        <w:t xml:space="preserve">BTEC Level 3 </w:t>
      </w:r>
      <w:r w:rsidR="00FA7871" w:rsidRPr="00687CDC">
        <w:rPr>
          <w:rFonts w:ascii="Tahoma" w:hAnsi="Tahoma" w:cs="Tahoma"/>
        </w:rPr>
        <w:t xml:space="preserve">sport and exercise students and their forthcoming transition to </w:t>
      </w:r>
      <w:r w:rsidR="00840099">
        <w:rPr>
          <w:rFonts w:ascii="Tahoma" w:hAnsi="Tahoma" w:cs="Tahoma"/>
        </w:rPr>
        <w:t xml:space="preserve">HE, delivered in a FE </w:t>
      </w:r>
      <w:r w:rsidR="00EE0DA2">
        <w:rPr>
          <w:rFonts w:ascii="Tahoma" w:hAnsi="Tahoma" w:cs="Tahoma"/>
        </w:rPr>
        <w:t>setting</w:t>
      </w:r>
      <w:r w:rsidR="00FA7871" w:rsidRPr="00687CDC">
        <w:rPr>
          <w:rFonts w:ascii="Tahoma" w:hAnsi="Tahoma" w:cs="Tahoma"/>
        </w:rPr>
        <w:t>.</w:t>
      </w:r>
      <w:r w:rsidR="00B57FDD" w:rsidRPr="00687CDC">
        <w:rPr>
          <w:rFonts w:ascii="Tahoma" w:hAnsi="Tahoma" w:cs="Tahoma"/>
        </w:rPr>
        <w:t xml:space="preserve"> T</w:t>
      </w:r>
      <w:r w:rsidR="00F202FE" w:rsidRPr="00687CDC">
        <w:rPr>
          <w:rFonts w:ascii="Tahoma" w:hAnsi="Tahoma" w:cs="Tahoma"/>
        </w:rPr>
        <w:t xml:space="preserve">he </w:t>
      </w:r>
      <w:r w:rsidR="00840099" w:rsidRPr="00687CDC">
        <w:rPr>
          <w:rFonts w:ascii="Tahoma" w:hAnsi="Tahoma" w:cs="Tahoma"/>
        </w:rPr>
        <w:t xml:space="preserve">students </w:t>
      </w:r>
      <w:r w:rsidR="00B57FDD" w:rsidRPr="00687CDC">
        <w:rPr>
          <w:rFonts w:ascii="Tahoma" w:hAnsi="Tahoma" w:cs="Tahoma"/>
        </w:rPr>
        <w:t xml:space="preserve">perceived </w:t>
      </w:r>
      <w:r w:rsidR="00F202FE" w:rsidRPr="00687CDC">
        <w:rPr>
          <w:rFonts w:ascii="Tahoma" w:hAnsi="Tahoma" w:cs="Tahoma"/>
        </w:rPr>
        <w:t xml:space="preserve">that there would be </w:t>
      </w:r>
      <w:r w:rsidR="005F26D1">
        <w:rPr>
          <w:rFonts w:ascii="Tahoma" w:hAnsi="Tahoma" w:cs="Tahoma"/>
        </w:rPr>
        <w:t xml:space="preserve">barriers affecting their progression </w:t>
      </w:r>
      <w:r w:rsidR="0000560F">
        <w:rPr>
          <w:rFonts w:ascii="Tahoma" w:hAnsi="Tahoma" w:cs="Tahoma"/>
        </w:rPr>
        <w:t xml:space="preserve">and transition </w:t>
      </w:r>
      <w:r w:rsidR="000944CB">
        <w:rPr>
          <w:rFonts w:ascii="Tahoma" w:hAnsi="Tahoma" w:cs="Tahoma"/>
        </w:rPr>
        <w:t>to a</w:t>
      </w:r>
      <w:r w:rsidR="00D71654">
        <w:rPr>
          <w:rFonts w:ascii="Tahoma" w:hAnsi="Tahoma" w:cs="Tahoma"/>
        </w:rPr>
        <w:t>n</w:t>
      </w:r>
      <w:r w:rsidR="000944CB">
        <w:rPr>
          <w:rFonts w:ascii="Tahoma" w:hAnsi="Tahoma" w:cs="Tahoma"/>
        </w:rPr>
        <w:t xml:space="preserve"> </w:t>
      </w:r>
      <w:r w:rsidR="00514485">
        <w:rPr>
          <w:rFonts w:ascii="Tahoma" w:hAnsi="Tahoma" w:cs="Tahoma"/>
        </w:rPr>
        <w:t xml:space="preserve">HE </w:t>
      </w:r>
      <w:r w:rsidR="0000560F">
        <w:rPr>
          <w:rFonts w:ascii="Tahoma" w:hAnsi="Tahoma" w:cs="Tahoma"/>
        </w:rPr>
        <w:t>course</w:t>
      </w:r>
      <w:r w:rsidR="00342F98" w:rsidRPr="00687CDC">
        <w:rPr>
          <w:rFonts w:ascii="Tahoma" w:hAnsi="Tahoma" w:cs="Tahoma"/>
        </w:rPr>
        <w:t>,</w:t>
      </w:r>
      <w:r w:rsidR="003C6425">
        <w:rPr>
          <w:rFonts w:ascii="Tahoma" w:hAnsi="Tahoma" w:cs="Tahoma"/>
        </w:rPr>
        <w:t xml:space="preserve"> </w:t>
      </w:r>
      <w:r w:rsidR="000944CB">
        <w:rPr>
          <w:rFonts w:ascii="Tahoma" w:hAnsi="Tahoma" w:cs="Tahoma"/>
        </w:rPr>
        <w:t xml:space="preserve">as well as specific personal changes </w:t>
      </w:r>
      <w:r w:rsidR="009B128D">
        <w:rPr>
          <w:rFonts w:ascii="Tahoma" w:hAnsi="Tahoma" w:cs="Tahoma"/>
        </w:rPr>
        <w:t xml:space="preserve">required to be successful, </w:t>
      </w:r>
      <w:r w:rsidR="005F26D1">
        <w:rPr>
          <w:rFonts w:ascii="Tahoma" w:hAnsi="Tahoma" w:cs="Tahoma"/>
        </w:rPr>
        <w:t xml:space="preserve">regardless </w:t>
      </w:r>
      <w:r w:rsidR="000944CB">
        <w:rPr>
          <w:rFonts w:ascii="Tahoma" w:hAnsi="Tahoma" w:cs="Tahoma"/>
        </w:rPr>
        <w:t xml:space="preserve">of </w:t>
      </w:r>
      <w:r w:rsidR="005F26D1">
        <w:rPr>
          <w:rFonts w:ascii="Tahoma" w:hAnsi="Tahoma" w:cs="Tahoma"/>
        </w:rPr>
        <w:t>whether th</w:t>
      </w:r>
      <w:r w:rsidR="009B128D">
        <w:rPr>
          <w:rFonts w:ascii="Tahoma" w:hAnsi="Tahoma" w:cs="Tahoma"/>
        </w:rPr>
        <w:t>e course</w:t>
      </w:r>
      <w:r w:rsidR="003C6425">
        <w:rPr>
          <w:rFonts w:ascii="Tahoma" w:hAnsi="Tahoma" w:cs="Tahoma"/>
        </w:rPr>
        <w:t xml:space="preserve"> </w:t>
      </w:r>
      <w:r w:rsidR="009B128D">
        <w:rPr>
          <w:rFonts w:ascii="Tahoma" w:hAnsi="Tahoma" w:cs="Tahoma"/>
        </w:rPr>
        <w:t xml:space="preserve">is </w:t>
      </w:r>
      <w:r w:rsidR="000944CB">
        <w:rPr>
          <w:rFonts w:ascii="Tahoma" w:hAnsi="Tahoma" w:cs="Tahoma"/>
        </w:rPr>
        <w:t xml:space="preserve">delivered </w:t>
      </w:r>
      <w:r w:rsidR="00403AF9">
        <w:rPr>
          <w:rFonts w:ascii="Tahoma" w:hAnsi="Tahoma" w:cs="Tahoma"/>
        </w:rPr>
        <w:t>at a university or FEC</w:t>
      </w:r>
      <w:r w:rsidR="000944CB">
        <w:rPr>
          <w:rFonts w:ascii="Tahoma" w:hAnsi="Tahoma" w:cs="Tahoma"/>
        </w:rPr>
        <w:t>.</w:t>
      </w:r>
      <w:r w:rsidR="003C6425">
        <w:rPr>
          <w:rFonts w:ascii="Tahoma" w:hAnsi="Tahoma" w:cs="Tahoma"/>
        </w:rPr>
        <w:t xml:space="preserve"> </w:t>
      </w:r>
      <w:r w:rsidR="005F7442">
        <w:rPr>
          <w:rFonts w:ascii="Tahoma" w:hAnsi="Tahoma" w:cs="Tahoma"/>
        </w:rPr>
        <w:t>Despite this, t</w:t>
      </w:r>
      <w:r w:rsidR="009B128D">
        <w:rPr>
          <w:rFonts w:ascii="Tahoma" w:hAnsi="Tahoma" w:cs="Tahoma"/>
        </w:rPr>
        <w:t xml:space="preserve">he progressing body of students were </w:t>
      </w:r>
      <w:r w:rsidR="00B4560E">
        <w:rPr>
          <w:rFonts w:ascii="Tahoma" w:hAnsi="Tahoma" w:cs="Tahoma"/>
        </w:rPr>
        <w:t xml:space="preserve">still </w:t>
      </w:r>
      <w:r w:rsidR="00514485">
        <w:rPr>
          <w:rFonts w:ascii="Tahoma" w:hAnsi="Tahoma" w:cs="Tahoma"/>
        </w:rPr>
        <w:t xml:space="preserve">highly motivated </w:t>
      </w:r>
      <w:r w:rsidR="00AD37AD">
        <w:rPr>
          <w:rFonts w:ascii="Tahoma" w:hAnsi="Tahoma" w:cs="Tahoma"/>
        </w:rPr>
        <w:t>to study a</w:t>
      </w:r>
      <w:r w:rsidR="00266BF9">
        <w:rPr>
          <w:rFonts w:ascii="Tahoma" w:hAnsi="Tahoma" w:cs="Tahoma"/>
        </w:rPr>
        <w:t>n</w:t>
      </w:r>
      <w:r w:rsidR="00AD37AD">
        <w:rPr>
          <w:rFonts w:ascii="Tahoma" w:hAnsi="Tahoma" w:cs="Tahoma"/>
        </w:rPr>
        <w:t xml:space="preserve"> HE course, </w:t>
      </w:r>
      <w:r w:rsidR="00EB6E96">
        <w:rPr>
          <w:rFonts w:ascii="Tahoma" w:hAnsi="Tahoma" w:cs="Tahoma"/>
        </w:rPr>
        <w:t xml:space="preserve">reflecting </w:t>
      </w:r>
      <w:r w:rsidR="00AD37AD" w:rsidRPr="00266BF9">
        <w:rPr>
          <w:rFonts w:ascii="Tahoma" w:hAnsi="Tahoma" w:cs="Tahoma"/>
        </w:rPr>
        <w:t>Kaye and Bates</w:t>
      </w:r>
      <w:r w:rsidR="00AD37AD" w:rsidRPr="00AD37AD">
        <w:rPr>
          <w:rFonts w:ascii="Tahoma" w:hAnsi="Tahoma" w:cs="Tahoma"/>
        </w:rPr>
        <w:t xml:space="preserve"> (2017) </w:t>
      </w:r>
      <w:r w:rsidR="00355135">
        <w:rPr>
          <w:rFonts w:ascii="Tahoma" w:hAnsi="Tahoma" w:cs="Tahoma"/>
        </w:rPr>
        <w:t>findings</w:t>
      </w:r>
      <w:r w:rsidR="00AD37AD" w:rsidRPr="00AD37AD">
        <w:rPr>
          <w:rFonts w:ascii="Tahoma" w:hAnsi="Tahoma" w:cs="Tahoma"/>
        </w:rPr>
        <w:t xml:space="preserve">, </w:t>
      </w:r>
      <w:r w:rsidR="0062300B">
        <w:rPr>
          <w:rFonts w:ascii="Tahoma" w:hAnsi="Tahoma" w:cs="Tahoma"/>
        </w:rPr>
        <w:t xml:space="preserve">where </w:t>
      </w:r>
      <w:r w:rsidR="00AD37AD" w:rsidRPr="00AD37AD">
        <w:rPr>
          <w:rFonts w:ascii="Tahoma" w:hAnsi="Tahoma" w:cs="Tahoma"/>
        </w:rPr>
        <w:t>the reason for choosing to study in HE is largely motivated by career opportunities</w:t>
      </w:r>
      <w:r w:rsidR="003C6425">
        <w:rPr>
          <w:rFonts w:ascii="Tahoma" w:hAnsi="Tahoma" w:cs="Tahoma"/>
        </w:rPr>
        <w:t xml:space="preserve"> </w:t>
      </w:r>
      <w:r w:rsidR="00AD37AD" w:rsidRPr="00AD37AD">
        <w:rPr>
          <w:rFonts w:ascii="Tahoma" w:hAnsi="Tahoma" w:cs="Tahoma"/>
        </w:rPr>
        <w:t>associated with degree-level education</w:t>
      </w:r>
      <w:r w:rsidR="005B3D60">
        <w:rPr>
          <w:rFonts w:ascii="Tahoma" w:hAnsi="Tahoma" w:cs="Tahoma"/>
        </w:rPr>
        <w:t>, albeit sub-degree level</w:t>
      </w:r>
      <w:r w:rsidR="00403AF9">
        <w:rPr>
          <w:rFonts w:ascii="Tahoma" w:hAnsi="Tahoma" w:cs="Tahoma"/>
        </w:rPr>
        <w:t xml:space="preserve"> </w:t>
      </w:r>
      <w:r w:rsidR="005B3D60">
        <w:rPr>
          <w:rFonts w:ascii="Tahoma" w:hAnsi="Tahoma" w:cs="Tahoma"/>
        </w:rPr>
        <w:t>education in this instance</w:t>
      </w:r>
      <w:r w:rsidR="00AD37AD" w:rsidRPr="00AD37AD">
        <w:rPr>
          <w:rFonts w:ascii="Tahoma" w:hAnsi="Tahoma" w:cs="Tahoma"/>
        </w:rPr>
        <w:t>.</w:t>
      </w:r>
    </w:p>
    <w:p w:rsidR="008E1744" w:rsidRDefault="00312B65" w:rsidP="00E24148">
      <w:pPr>
        <w:spacing w:line="360" w:lineRule="auto"/>
        <w:rPr>
          <w:rFonts w:ascii="Tahoma" w:hAnsi="Tahoma" w:cs="Tahoma"/>
        </w:rPr>
      </w:pPr>
      <w:r>
        <w:rPr>
          <w:rFonts w:ascii="Tahoma" w:hAnsi="Tahoma" w:cs="Tahoma"/>
        </w:rPr>
        <w:t xml:space="preserve">It was apparent that students </w:t>
      </w:r>
      <w:r w:rsidR="007A23C8">
        <w:rPr>
          <w:rFonts w:ascii="Tahoma" w:hAnsi="Tahoma" w:cs="Tahoma"/>
        </w:rPr>
        <w:t xml:space="preserve">who will </w:t>
      </w:r>
      <w:r>
        <w:rPr>
          <w:rFonts w:ascii="Tahoma" w:hAnsi="Tahoma" w:cs="Tahoma"/>
        </w:rPr>
        <w:t xml:space="preserve">soon undergo the transition from </w:t>
      </w:r>
      <w:r w:rsidR="00895DF7">
        <w:rPr>
          <w:rFonts w:ascii="Tahoma" w:hAnsi="Tahoma" w:cs="Tahoma"/>
        </w:rPr>
        <w:t>FE</w:t>
      </w:r>
      <w:r>
        <w:rPr>
          <w:rFonts w:ascii="Tahoma" w:hAnsi="Tahoma" w:cs="Tahoma"/>
        </w:rPr>
        <w:t xml:space="preserve"> to HE</w:t>
      </w:r>
      <w:r w:rsidR="007A23C8">
        <w:rPr>
          <w:rFonts w:ascii="Tahoma" w:hAnsi="Tahoma" w:cs="Tahoma"/>
        </w:rPr>
        <w:t>,</w:t>
      </w:r>
      <w:r>
        <w:rPr>
          <w:rFonts w:ascii="Tahoma" w:hAnsi="Tahoma" w:cs="Tahoma"/>
        </w:rPr>
        <w:t xml:space="preserve"> find it an anxious </w:t>
      </w:r>
      <w:r w:rsidR="00403AF9">
        <w:rPr>
          <w:rFonts w:ascii="Tahoma" w:hAnsi="Tahoma" w:cs="Tahoma"/>
        </w:rPr>
        <w:t>period</w:t>
      </w:r>
      <w:r w:rsidR="00895DF7">
        <w:rPr>
          <w:rFonts w:ascii="Tahoma" w:hAnsi="Tahoma" w:cs="Tahoma"/>
        </w:rPr>
        <w:t xml:space="preserve">, regardless of whether the students are progressing to a </w:t>
      </w:r>
      <w:r w:rsidR="00AC5BF3">
        <w:rPr>
          <w:rFonts w:ascii="Tahoma" w:hAnsi="Tahoma" w:cs="Tahoma"/>
        </w:rPr>
        <w:t>university</w:t>
      </w:r>
      <w:r w:rsidR="00895DF7">
        <w:rPr>
          <w:rFonts w:ascii="Tahoma" w:hAnsi="Tahoma" w:cs="Tahoma"/>
        </w:rPr>
        <w:t xml:space="preserve">, or not. </w:t>
      </w:r>
      <w:r w:rsidR="00171CEE">
        <w:rPr>
          <w:rFonts w:ascii="Tahoma" w:hAnsi="Tahoma" w:cs="Tahoma"/>
        </w:rPr>
        <w:t xml:space="preserve">Commonalities </w:t>
      </w:r>
      <w:r w:rsidR="003E6B74">
        <w:rPr>
          <w:rFonts w:ascii="Tahoma" w:hAnsi="Tahoma" w:cs="Tahoma"/>
        </w:rPr>
        <w:t xml:space="preserve">appear to </w:t>
      </w:r>
      <w:r w:rsidR="00171CEE">
        <w:rPr>
          <w:rFonts w:ascii="Tahoma" w:hAnsi="Tahoma" w:cs="Tahoma"/>
        </w:rPr>
        <w:t>exist between this study’s findings and t</w:t>
      </w:r>
      <w:r w:rsidR="00266BF9">
        <w:rPr>
          <w:rFonts w:ascii="Tahoma" w:hAnsi="Tahoma" w:cs="Tahoma"/>
        </w:rPr>
        <w:t xml:space="preserve">he </w:t>
      </w:r>
      <w:r w:rsidR="002844FB">
        <w:rPr>
          <w:rFonts w:ascii="Tahoma" w:hAnsi="Tahoma" w:cs="Tahoma"/>
        </w:rPr>
        <w:t>research on student transition</w:t>
      </w:r>
      <w:r w:rsidR="00266BF9">
        <w:rPr>
          <w:rFonts w:ascii="Tahoma" w:hAnsi="Tahoma" w:cs="Tahoma"/>
        </w:rPr>
        <w:t xml:space="preserve"> by Gill (2017; 2018)</w:t>
      </w:r>
      <w:r w:rsidR="002844FB">
        <w:rPr>
          <w:rFonts w:ascii="Tahoma" w:hAnsi="Tahoma" w:cs="Tahoma"/>
        </w:rPr>
        <w:t>, where t</w:t>
      </w:r>
      <w:r w:rsidR="00895DF7">
        <w:rPr>
          <w:rFonts w:ascii="Tahoma" w:hAnsi="Tahoma" w:cs="Tahoma"/>
        </w:rPr>
        <w:t xml:space="preserve">he thought of progressing to a new course at a higher academic level generates its own </w:t>
      </w:r>
      <w:r w:rsidR="002844FB">
        <w:rPr>
          <w:rFonts w:ascii="Tahoma" w:hAnsi="Tahoma" w:cs="Tahoma"/>
        </w:rPr>
        <w:t xml:space="preserve">specific </w:t>
      </w:r>
      <w:r w:rsidR="00895DF7">
        <w:rPr>
          <w:rFonts w:ascii="Tahoma" w:hAnsi="Tahoma" w:cs="Tahoma"/>
        </w:rPr>
        <w:t>anxiety.</w:t>
      </w:r>
      <w:r w:rsidR="003C6425">
        <w:rPr>
          <w:rFonts w:ascii="Tahoma" w:hAnsi="Tahoma" w:cs="Tahoma"/>
        </w:rPr>
        <w:t xml:space="preserve"> </w:t>
      </w:r>
      <w:r w:rsidR="00E9049C">
        <w:rPr>
          <w:rFonts w:ascii="Tahoma" w:hAnsi="Tahoma" w:cs="Tahoma"/>
        </w:rPr>
        <w:t>The nerv</w:t>
      </w:r>
      <w:r w:rsidR="00266BF9">
        <w:rPr>
          <w:rFonts w:ascii="Tahoma" w:hAnsi="Tahoma" w:cs="Tahoma"/>
        </w:rPr>
        <w:t>ousn</w:t>
      </w:r>
      <w:r w:rsidR="00E9049C">
        <w:rPr>
          <w:rFonts w:ascii="Tahoma" w:hAnsi="Tahoma" w:cs="Tahoma"/>
        </w:rPr>
        <w:t>e</w:t>
      </w:r>
      <w:r w:rsidR="00266BF9">
        <w:rPr>
          <w:rFonts w:ascii="Tahoma" w:hAnsi="Tahoma" w:cs="Tahoma"/>
        </w:rPr>
        <w:t>s</w:t>
      </w:r>
      <w:r w:rsidR="00E9049C">
        <w:rPr>
          <w:rFonts w:ascii="Tahoma" w:hAnsi="Tahoma" w:cs="Tahoma"/>
        </w:rPr>
        <w:t>s</w:t>
      </w:r>
      <w:r w:rsidR="00E83B2E">
        <w:rPr>
          <w:rFonts w:ascii="Tahoma" w:hAnsi="Tahoma" w:cs="Tahoma"/>
        </w:rPr>
        <w:t>,</w:t>
      </w:r>
      <w:r w:rsidR="002844FB">
        <w:rPr>
          <w:rFonts w:ascii="Tahoma" w:hAnsi="Tahoma" w:cs="Tahoma"/>
        </w:rPr>
        <w:t xml:space="preserve"> worry and apprehension regarding the</w:t>
      </w:r>
      <w:r w:rsidR="00182E48">
        <w:rPr>
          <w:rFonts w:ascii="Tahoma" w:hAnsi="Tahoma" w:cs="Tahoma"/>
        </w:rPr>
        <w:t xml:space="preserve"> </w:t>
      </w:r>
      <w:r w:rsidR="002844FB">
        <w:rPr>
          <w:rFonts w:ascii="Tahoma" w:hAnsi="Tahoma" w:cs="Tahoma"/>
        </w:rPr>
        <w:t xml:space="preserve">transition </w:t>
      </w:r>
      <w:r w:rsidR="00D006B1">
        <w:rPr>
          <w:rFonts w:ascii="Tahoma" w:hAnsi="Tahoma" w:cs="Tahoma"/>
        </w:rPr>
        <w:t xml:space="preserve">centred around </w:t>
      </w:r>
      <w:r w:rsidR="00CC468E">
        <w:rPr>
          <w:rFonts w:ascii="Tahoma" w:hAnsi="Tahoma" w:cs="Tahoma"/>
        </w:rPr>
        <w:t>a</w:t>
      </w:r>
      <w:r w:rsidR="00A81166">
        <w:rPr>
          <w:rFonts w:ascii="Tahoma" w:hAnsi="Tahoma" w:cs="Tahoma"/>
        </w:rPr>
        <w:t xml:space="preserve"> perception that transition to a</w:t>
      </w:r>
      <w:r w:rsidR="00266BF9">
        <w:rPr>
          <w:rFonts w:ascii="Tahoma" w:hAnsi="Tahoma" w:cs="Tahoma"/>
        </w:rPr>
        <w:t xml:space="preserve"> </w:t>
      </w:r>
      <w:r w:rsidR="00A81166">
        <w:rPr>
          <w:rFonts w:ascii="Tahoma" w:hAnsi="Tahoma" w:cs="Tahoma"/>
        </w:rPr>
        <w:t xml:space="preserve">course at a higher academic level would result in an increase in workload, </w:t>
      </w:r>
      <w:r w:rsidR="00BF0D57">
        <w:rPr>
          <w:rFonts w:ascii="Tahoma" w:hAnsi="Tahoma" w:cs="Tahoma"/>
        </w:rPr>
        <w:t>as well as</w:t>
      </w:r>
      <w:r w:rsidR="00182E48">
        <w:rPr>
          <w:rFonts w:ascii="Tahoma" w:hAnsi="Tahoma" w:cs="Tahoma"/>
        </w:rPr>
        <w:t xml:space="preserve"> </w:t>
      </w:r>
      <w:r w:rsidR="00D006B1">
        <w:rPr>
          <w:rFonts w:ascii="Tahoma" w:hAnsi="Tahoma" w:cs="Tahoma"/>
        </w:rPr>
        <w:t xml:space="preserve">the unknown commodity of </w:t>
      </w:r>
      <w:r w:rsidR="00BF0D57">
        <w:rPr>
          <w:rFonts w:ascii="Tahoma" w:hAnsi="Tahoma" w:cs="Tahoma"/>
        </w:rPr>
        <w:t xml:space="preserve">the </w:t>
      </w:r>
      <w:r w:rsidR="00A81166">
        <w:rPr>
          <w:rFonts w:ascii="Tahoma" w:hAnsi="Tahoma" w:cs="Tahoma"/>
        </w:rPr>
        <w:t xml:space="preserve">academic standards that </w:t>
      </w:r>
      <w:r w:rsidR="005D475C">
        <w:rPr>
          <w:rFonts w:ascii="Tahoma" w:hAnsi="Tahoma" w:cs="Tahoma"/>
        </w:rPr>
        <w:t>will be required</w:t>
      </w:r>
      <w:r w:rsidR="00D006B1">
        <w:rPr>
          <w:rFonts w:ascii="Tahoma" w:hAnsi="Tahoma" w:cs="Tahoma"/>
        </w:rPr>
        <w:t xml:space="preserve"> in HE.</w:t>
      </w:r>
    </w:p>
    <w:p w:rsidR="000A6D5E" w:rsidRDefault="00520F0E" w:rsidP="00E24148">
      <w:pPr>
        <w:spacing w:line="360" w:lineRule="auto"/>
        <w:rPr>
          <w:rFonts w:ascii="Tahoma" w:hAnsi="Tahoma" w:cs="Tahoma"/>
        </w:rPr>
      </w:pPr>
      <w:r w:rsidRPr="00687CDC">
        <w:rPr>
          <w:rFonts w:ascii="Tahoma" w:hAnsi="Tahoma" w:cs="Tahoma"/>
        </w:rPr>
        <w:t xml:space="preserve">A series of </w:t>
      </w:r>
      <w:r w:rsidR="00570410">
        <w:rPr>
          <w:rFonts w:ascii="Tahoma" w:hAnsi="Tahoma" w:cs="Tahoma"/>
        </w:rPr>
        <w:t xml:space="preserve">largely practical </w:t>
      </w:r>
      <w:r w:rsidRPr="00687CDC">
        <w:rPr>
          <w:rFonts w:ascii="Tahoma" w:hAnsi="Tahoma" w:cs="Tahoma"/>
        </w:rPr>
        <w:t xml:space="preserve">guidelines </w:t>
      </w:r>
      <w:r w:rsidR="00B77DEA">
        <w:rPr>
          <w:rFonts w:ascii="Tahoma" w:hAnsi="Tahoma" w:cs="Tahoma"/>
        </w:rPr>
        <w:t xml:space="preserve">and recommendations </w:t>
      </w:r>
      <w:r w:rsidRPr="00687CDC">
        <w:rPr>
          <w:rFonts w:ascii="Tahoma" w:hAnsi="Tahoma" w:cs="Tahoma"/>
        </w:rPr>
        <w:t xml:space="preserve">have been </w:t>
      </w:r>
      <w:r w:rsidR="00E8440B" w:rsidRPr="00687CDC">
        <w:rPr>
          <w:rFonts w:ascii="Tahoma" w:hAnsi="Tahoma" w:cs="Tahoma"/>
        </w:rPr>
        <w:t>formed</w:t>
      </w:r>
      <w:r w:rsidR="003C6425">
        <w:rPr>
          <w:rFonts w:ascii="Tahoma" w:hAnsi="Tahoma" w:cs="Tahoma"/>
        </w:rPr>
        <w:t xml:space="preserve"> </w:t>
      </w:r>
      <w:r w:rsidR="008A0B84">
        <w:rPr>
          <w:rFonts w:ascii="Tahoma" w:hAnsi="Tahoma" w:cs="Tahoma"/>
        </w:rPr>
        <w:t>from</w:t>
      </w:r>
      <w:r w:rsidR="00355135">
        <w:rPr>
          <w:rFonts w:ascii="Tahoma" w:hAnsi="Tahoma" w:cs="Tahoma"/>
        </w:rPr>
        <w:t xml:space="preserve"> the </w:t>
      </w:r>
      <w:r w:rsidR="002C53F3">
        <w:rPr>
          <w:rFonts w:ascii="Tahoma" w:hAnsi="Tahoma" w:cs="Tahoma"/>
        </w:rPr>
        <w:t xml:space="preserve">investigation </w:t>
      </w:r>
      <w:r w:rsidRPr="00687CDC">
        <w:rPr>
          <w:rFonts w:ascii="Tahoma" w:hAnsi="Tahoma" w:cs="Tahoma"/>
        </w:rPr>
        <w:t>t</w:t>
      </w:r>
      <w:r w:rsidR="0057590D" w:rsidRPr="00687CDC">
        <w:rPr>
          <w:rFonts w:ascii="Tahoma" w:hAnsi="Tahoma" w:cs="Tahoma"/>
        </w:rPr>
        <w:t>o</w:t>
      </w:r>
      <w:r w:rsidR="003C6425">
        <w:rPr>
          <w:rFonts w:ascii="Tahoma" w:hAnsi="Tahoma" w:cs="Tahoma"/>
        </w:rPr>
        <w:t xml:space="preserve"> </w:t>
      </w:r>
      <w:r w:rsidR="00E8440B">
        <w:rPr>
          <w:rFonts w:ascii="Tahoma" w:hAnsi="Tahoma" w:cs="Tahoma"/>
        </w:rPr>
        <w:t xml:space="preserve">improve </w:t>
      </w:r>
      <w:r w:rsidR="00AA3C20">
        <w:rPr>
          <w:rFonts w:ascii="Tahoma" w:hAnsi="Tahoma" w:cs="Tahoma"/>
        </w:rPr>
        <w:t xml:space="preserve">the </w:t>
      </w:r>
      <w:r w:rsidR="005D457B">
        <w:rPr>
          <w:rFonts w:ascii="Tahoma" w:hAnsi="Tahoma" w:cs="Tahoma"/>
        </w:rPr>
        <w:t xml:space="preserve">support </w:t>
      </w:r>
      <w:r w:rsidR="00E8440B">
        <w:rPr>
          <w:rFonts w:ascii="Tahoma" w:hAnsi="Tahoma" w:cs="Tahoma"/>
        </w:rPr>
        <w:t xml:space="preserve">and transition of </w:t>
      </w:r>
      <w:r w:rsidR="005D457B">
        <w:rPr>
          <w:rFonts w:ascii="Tahoma" w:hAnsi="Tahoma" w:cs="Tahoma"/>
        </w:rPr>
        <w:t xml:space="preserve">students progressing </w:t>
      </w:r>
      <w:r w:rsidR="00E8440B">
        <w:rPr>
          <w:rFonts w:ascii="Tahoma" w:hAnsi="Tahoma" w:cs="Tahoma"/>
        </w:rPr>
        <w:t>from BTEC Level 3 sport</w:t>
      </w:r>
      <w:r w:rsidR="00415F87">
        <w:rPr>
          <w:rFonts w:ascii="Tahoma" w:hAnsi="Tahoma" w:cs="Tahoma"/>
        </w:rPr>
        <w:t xml:space="preserve"> and exercise</w:t>
      </w:r>
      <w:r w:rsidR="00E8440B">
        <w:rPr>
          <w:rFonts w:ascii="Tahoma" w:hAnsi="Tahoma" w:cs="Tahoma"/>
        </w:rPr>
        <w:t xml:space="preserve"> courses to</w:t>
      </w:r>
      <w:r w:rsidR="00551905">
        <w:rPr>
          <w:rFonts w:ascii="Tahoma" w:hAnsi="Tahoma" w:cs="Tahoma"/>
        </w:rPr>
        <w:t xml:space="preserve"> FD courses</w:t>
      </w:r>
      <w:r w:rsidR="00DC3629">
        <w:rPr>
          <w:rFonts w:ascii="Tahoma" w:hAnsi="Tahoma" w:cs="Tahoma"/>
        </w:rPr>
        <w:t>,</w:t>
      </w:r>
      <w:r w:rsidR="003C6425">
        <w:rPr>
          <w:rFonts w:ascii="Tahoma" w:hAnsi="Tahoma" w:cs="Tahoma"/>
        </w:rPr>
        <w:t xml:space="preserve"> </w:t>
      </w:r>
      <w:r w:rsidR="00E8440B">
        <w:rPr>
          <w:rFonts w:ascii="Tahoma" w:hAnsi="Tahoma" w:cs="Tahoma"/>
        </w:rPr>
        <w:t>delivered at</w:t>
      </w:r>
      <w:r w:rsidR="003C6425">
        <w:rPr>
          <w:rFonts w:ascii="Tahoma" w:hAnsi="Tahoma" w:cs="Tahoma"/>
        </w:rPr>
        <w:t xml:space="preserve"> </w:t>
      </w:r>
      <w:r w:rsidR="00403AF9">
        <w:rPr>
          <w:rFonts w:ascii="Tahoma" w:hAnsi="Tahoma" w:cs="Tahoma"/>
        </w:rPr>
        <w:t>FECs</w:t>
      </w:r>
      <w:r w:rsidR="009F2B2B">
        <w:rPr>
          <w:rFonts w:ascii="Tahoma" w:hAnsi="Tahoma" w:cs="Tahoma"/>
        </w:rPr>
        <w:t>.</w:t>
      </w:r>
      <w:r w:rsidR="003C6425">
        <w:rPr>
          <w:rFonts w:ascii="Tahoma" w:hAnsi="Tahoma" w:cs="Tahoma"/>
        </w:rPr>
        <w:t xml:space="preserve"> </w:t>
      </w:r>
      <w:r w:rsidR="00551905">
        <w:rPr>
          <w:rFonts w:ascii="Tahoma" w:hAnsi="Tahoma" w:cs="Tahoma"/>
        </w:rPr>
        <w:t>It is hoped that the</w:t>
      </w:r>
      <w:r w:rsidR="00145C78">
        <w:rPr>
          <w:rFonts w:ascii="Tahoma" w:hAnsi="Tahoma" w:cs="Tahoma"/>
        </w:rPr>
        <w:t>se recommendations</w:t>
      </w:r>
      <w:r w:rsidR="003C6425">
        <w:rPr>
          <w:rFonts w:ascii="Tahoma" w:hAnsi="Tahoma" w:cs="Tahoma"/>
        </w:rPr>
        <w:t xml:space="preserve"> </w:t>
      </w:r>
      <w:r w:rsidR="00145C78">
        <w:rPr>
          <w:rFonts w:ascii="Tahoma" w:hAnsi="Tahoma" w:cs="Tahoma"/>
        </w:rPr>
        <w:t xml:space="preserve">and </w:t>
      </w:r>
      <w:r w:rsidR="00551905">
        <w:rPr>
          <w:rFonts w:ascii="Tahoma" w:hAnsi="Tahoma" w:cs="Tahoma"/>
        </w:rPr>
        <w:t>guidelines</w:t>
      </w:r>
      <w:r w:rsidR="003C6425">
        <w:rPr>
          <w:rFonts w:ascii="Tahoma" w:hAnsi="Tahoma" w:cs="Tahoma"/>
        </w:rPr>
        <w:t xml:space="preserve"> </w:t>
      </w:r>
      <w:r w:rsidR="00B77DEA">
        <w:rPr>
          <w:rFonts w:ascii="Tahoma" w:hAnsi="Tahoma" w:cs="Tahoma"/>
        </w:rPr>
        <w:t xml:space="preserve">will </w:t>
      </w:r>
      <w:r w:rsidR="00551905">
        <w:rPr>
          <w:rFonts w:ascii="Tahoma" w:hAnsi="Tahoma" w:cs="Tahoma"/>
        </w:rPr>
        <w:t xml:space="preserve">help </w:t>
      </w:r>
      <w:r w:rsidR="00B77DEA" w:rsidRPr="00687CDC">
        <w:rPr>
          <w:rFonts w:ascii="Tahoma" w:hAnsi="Tahoma" w:cs="Tahoma"/>
        </w:rPr>
        <w:t xml:space="preserve">better </w:t>
      </w:r>
      <w:r w:rsidR="00025E60">
        <w:rPr>
          <w:rFonts w:ascii="Tahoma" w:hAnsi="Tahoma" w:cs="Tahoma"/>
        </w:rPr>
        <w:t>support</w:t>
      </w:r>
      <w:r w:rsidR="00B77DEA" w:rsidRPr="00687CDC">
        <w:rPr>
          <w:rFonts w:ascii="Tahoma" w:hAnsi="Tahoma" w:cs="Tahoma"/>
        </w:rPr>
        <w:t xml:space="preserve"> </w:t>
      </w:r>
      <w:r w:rsidR="000A6D5E">
        <w:rPr>
          <w:rFonts w:ascii="Tahoma" w:hAnsi="Tahoma" w:cs="Tahoma"/>
        </w:rPr>
        <w:t xml:space="preserve">the </w:t>
      </w:r>
      <w:r w:rsidR="00E80CF4">
        <w:rPr>
          <w:rFonts w:ascii="Tahoma" w:hAnsi="Tahoma" w:cs="Tahoma"/>
        </w:rPr>
        <w:t xml:space="preserve">student body </w:t>
      </w:r>
      <w:r w:rsidR="00B77DEA" w:rsidRPr="00687CDC">
        <w:rPr>
          <w:rFonts w:ascii="Tahoma" w:hAnsi="Tahoma" w:cs="Tahoma"/>
        </w:rPr>
        <w:t xml:space="preserve">that transition </w:t>
      </w:r>
      <w:r w:rsidR="00AA3C20">
        <w:rPr>
          <w:rFonts w:ascii="Tahoma" w:hAnsi="Tahoma" w:cs="Tahoma"/>
        </w:rPr>
        <w:t>in this manner</w:t>
      </w:r>
      <w:r w:rsidR="00A9102C">
        <w:rPr>
          <w:rFonts w:ascii="Tahoma" w:hAnsi="Tahoma" w:cs="Tahoma"/>
        </w:rPr>
        <w:t xml:space="preserve">. </w:t>
      </w:r>
      <w:r w:rsidR="00C938D5">
        <w:rPr>
          <w:rFonts w:ascii="Tahoma" w:hAnsi="Tahoma" w:cs="Tahoma"/>
        </w:rPr>
        <w:t>P</w:t>
      </w:r>
      <w:r w:rsidR="00B77DEA" w:rsidRPr="00687CDC">
        <w:rPr>
          <w:rFonts w:ascii="Tahoma" w:hAnsi="Tahoma" w:cs="Tahoma"/>
        </w:rPr>
        <w:t xml:space="preserve">ersonnel </w:t>
      </w:r>
      <w:r w:rsidR="00E8440B">
        <w:rPr>
          <w:rFonts w:ascii="Tahoma" w:hAnsi="Tahoma" w:cs="Tahoma"/>
        </w:rPr>
        <w:t xml:space="preserve">from </w:t>
      </w:r>
      <w:r w:rsidR="00E8440B" w:rsidRPr="00687CDC">
        <w:rPr>
          <w:rFonts w:ascii="Tahoma" w:hAnsi="Tahoma" w:cs="Tahoma"/>
        </w:rPr>
        <w:t>universities</w:t>
      </w:r>
      <w:r w:rsidR="003C6425">
        <w:rPr>
          <w:rFonts w:ascii="Tahoma" w:hAnsi="Tahoma" w:cs="Tahoma"/>
        </w:rPr>
        <w:t xml:space="preserve"> </w:t>
      </w:r>
      <w:r w:rsidR="00AE42BE" w:rsidRPr="00687CDC">
        <w:rPr>
          <w:rFonts w:ascii="Tahoma" w:hAnsi="Tahoma" w:cs="Tahoma"/>
        </w:rPr>
        <w:t xml:space="preserve">who manage the transition of </w:t>
      </w:r>
      <w:r w:rsidR="00531F17">
        <w:rPr>
          <w:rFonts w:ascii="Tahoma" w:hAnsi="Tahoma" w:cs="Tahoma"/>
        </w:rPr>
        <w:t xml:space="preserve">sport and exercise </w:t>
      </w:r>
      <w:r w:rsidR="00AE42BE" w:rsidRPr="00687CDC">
        <w:rPr>
          <w:rFonts w:ascii="Tahoma" w:hAnsi="Tahoma" w:cs="Tahoma"/>
        </w:rPr>
        <w:t>students</w:t>
      </w:r>
      <w:r w:rsidR="003C6425">
        <w:rPr>
          <w:rFonts w:ascii="Tahoma" w:hAnsi="Tahoma" w:cs="Tahoma"/>
        </w:rPr>
        <w:t xml:space="preserve"> </w:t>
      </w:r>
      <w:r w:rsidR="00306D32">
        <w:rPr>
          <w:rFonts w:ascii="Tahoma" w:hAnsi="Tahoma" w:cs="Tahoma"/>
        </w:rPr>
        <w:t xml:space="preserve">may </w:t>
      </w:r>
      <w:r w:rsidR="00025E60">
        <w:rPr>
          <w:rFonts w:ascii="Tahoma" w:hAnsi="Tahoma" w:cs="Tahoma"/>
        </w:rPr>
        <w:t xml:space="preserve">also </w:t>
      </w:r>
      <w:r w:rsidR="00306D32">
        <w:rPr>
          <w:rFonts w:ascii="Tahoma" w:hAnsi="Tahoma" w:cs="Tahoma"/>
        </w:rPr>
        <w:t xml:space="preserve">use the </w:t>
      </w:r>
      <w:r w:rsidR="00306D32" w:rsidRPr="00687CDC">
        <w:rPr>
          <w:rFonts w:ascii="Tahoma" w:hAnsi="Tahoma" w:cs="Tahoma"/>
        </w:rPr>
        <w:t xml:space="preserve">guidelines </w:t>
      </w:r>
      <w:r w:rsidR="00306D32">
        <w:rPr>
          <w:rFonts w:ascii="Tahoma" w:hAnsi="Tahoma" w:cs="Tahoma"/>
        </w:rPr>
        <w:t xml:space="preserve">and recommendations </w:t>
      </w:r>
      <w:r w:rsidR="00B77DEA" w:rsidRPr="00687CDC">
        <w:rPr>
          <w:rFonts w:ascii="Tahoma" w:hAnsi="Tahoma" w:cs="Tahoma"/>
        </w:rPr>
        <w:t xml:space="preserve">to </w:t>
      </w:r>
      <w:r w:rsidR="005D270A">
        <w:rPr>
          <w:rFonts w:ascii="Tahoma" w:hAnsi="Tahoma" w:cs="Tahoma"/>
        </w:rPr>
        <w:t>support</w:t>
      </w:r>
      <w:r w:rsidR="003C6425">
        <w:rPr>
          <w:rFonts w:ascii="Tahoma" w:hAnsi="Tahoma" w:cs="Tahoma"/>
        </w:rPr>
        <w:t xml:space="preserve"> </w:t>
      </w:r>
      <w:r w:rsidR="00017124">
        <w:rPr>
          <w:rFonts w:ascii="Tahoma" w:hAnsi="Tahoma" w:cs="Tahoma"/>
        </w:rPr>
        <w:t>partner organisations</w:t>
      </w:r>
      <w:r w:rsidR="00785CB1">
        <w:rPr>
          <w:rFonts w:ascii="Tahoma" w:hAnsi="Tahoma" w:cs="Tahoma"/>
        </w:rPr>
        <w:t xml:space="preserve"> in</w:t>
      </w:r>
      <w:r w:rsidR="003C6425">
        <w:rPr>
          <w:rFonts w:ascii="Tahoma" w:hAnsi="Tahoma" w:cs="Tahoma"/>
        </w:rPr>
        <w:t xml:space="preserve"> </w:t>
      </w:r>
      <w:r w:rsidR="00B77DEA" w:rsidRPr="00687CDC">
        <w:rPr>
          <w:rFonts w:ascii="Tahoma" w:hAnsi="Tahoma" w:cs="Tahoma"/>
        </w:rPr>
        <w:t>provid</w:t>
      </w:r>
      <w:r w:rsidR="00785CB1">
        <w:rPr>
          <w:rFonts w:ascii="Tahoma" w:hAnsi="Tahoma" w:cs="Tahoma"/>
        </w:rPr>
        <w:t>ing</w:t>
      </w:r>
      <w:r w:rsidR="00B77DEA" w:rsidRPr="00687CDC">
        <w:rPr>
          <w:rFonts w:ascii="Tahoma" w:hAnsi="Tahoma" w:cs="Tahoma"/>
        </w:rPr>
        <w:t xml:space="preserve"> optimal conditions for effective transition</w:t>
      </w:r>
      <w:r w:rsidR="00AD3E0E">
        <w:rPr>
          <w:rFonts w:ascii="Tahoma" w:hAnsi="Tahoma" w:cs="Tahoma"/>
        </w:rPr>
        <w:t>, thus</w:t>
      </w:r>
      <w:r w:rsidR="003C6425">
        <w:rPr>
          <w:rFonts w:ascii="Tahoma" w:hAnsi="Tahoma" w:cs="Tahoma"/>
        </w:rPr>
        <w:t xml:space="preserve"> </w:t>
      </w:r>
      <w:r w:rsidR="00AD3E0E">
        <w:rPr>
          <w:rFonts w:ascii="Tahoma" w:hAnsi="Tahoma" w:cs="Tahoma"/>
        </w:rPr>
        <w:t xml:space="preserve">hopefully increasing </w:t>
      </w:r>
      <w:r w:rsidR="00B77DEA" w:rsidRPr="00687CDC">
        <w:rPr>
          <w:rFonts w:ascii="Tahoma" w:hAnsi="Tahoma" w:cs="Tahoma"/>
        </w:rPr>
        <w:t>retention, student achievement and satisfaction</w:t>
      </w:r>
      <w:r w:rsidR="003C6425">
        <w:rPr>
          <w:rFonts w:ascii="Tahoma" w:hAnsi="Tahoma" w:cs="Tahoma"/>
        </w:rPr>
        <w:t xml:space="preserve"> </w:t>
      </w:r>
      <w:r w:rsidR="00785CB1">
        <w:rPr>
          <w:rFonts w:ascii="Tahoma" w:hAnsi="Tahoma" w:cs="Tahoma"/>
        </w:rPr>
        <w:t>of students</w:t>
      </w:r>
      <w:r w:rsidR="00B77DEA" w:rsidRPr="00687CDC">
        <w:rPr>
          <w:rFonts w:ascii="Tahoma" w:hAnsi="Tahoma" w:cs="Tahoma"/>
        </w:rPr>
        <w:t>.</w:t>
      </w:r>
      <w:r w:rsidR="003C6425">
        <w:rPr>
          <w:rFonts w:ascii="Tahoma" w:hAnsi="Tahoma" w:cs="Tahoma"/>
        </w:rPr>
        <w:t xml:space="preserve"> </w:t>
      </w:r>
      <w:r w:rsidR="008225DD">
        <w:rPr>
          <w:rFonts w:ascii="Tahoma" w:hAnsi="Tahoma" w:cs="Tahoma"/>
        </w:rPr>
        <w:t xml:space="preserve">The </w:t>
      </w:r>
      <w:r w:rsidR="008225DD" w:rsidRPr="00687CDC">
        <w:rPr>
          <w:rFonts w:ascii="Tahoma" w:hAnsi="Tahoma" w:cs="Tahoma"/>
        </w:rPr>
        <w:t xml:space="preserve">guidelines </w:t>
      </w:r>
      <w:r w:rsidR="008225DD">
        <w:rPr>
          <w:rFonts w:ascii="Tahoma" w:hAnsi="Tahoma" w:cs="Tahoma"/>
        </w:rPr>
        <w:t>and recommendations are as follows:</w:t>
      </w:r>
    </w:p>
    <w:p w:rsidR="000A6D5E" w:rsidRPr="00687CDC" w:rsidRDefault="000A6D5E" w:rsidP="00E24148">
      <w:pPr>
        <w:spacing w:after="0" w:line="360" w:lineRule="auto"/>
        <w:rPr>
          <w:rFonts w:ascii="Tahoma" w:hAnsi="Tahoma" w:cs="Tahoma"/>
        </w:rPr>
      </w:pPr>
    </w:p>
    <w:p w:rsidR="00A71395" w:rsidRDefault="00A71395" w:rsidP="00E24148">
      <w:pPr>
        <w:pStyle w:val="ListParagraph"/>
        <w:numPr>
          <w:ilvl w:val="0"/>
          <w:numId w:val="1"/>
        </w:numPr>
        <w:spacing w:line="360" w:lineRule="auto"/>
        <w:ind w:left="426" w:hanging="426"/>
        <w:rPr>
          <w:rFonts w:ascii="Tahoma" w:hAnsi="Tahoma" w:cs="Tahoma"/>
          <w:color w:val="000000"/>
        </w:rPr>
      </w:pPr>
      <w:r w:rsidRPr="00A71395">
        <w:rPr>
          <w:rFonts w:ascii="Tahoma" w:hAnsi="Tahoma" w:cs="Tahoma"/>
          <w:color w:val="000000"/>
        </w:rPr>
        <w:t xml:space="preserve">The </w:t>
      </w:r>
      <w:r w:rsidR="00A72848">
        <w:rPr>
          <w:rFonts w:ascii="Tahoma" w:hAnsi="Tahoma" w:cs="Tahoma"/>
          <w:color w:val="000000"/>
        </w:rPr>
        <w:t xml:space="preserve">social </w:t>
      </w:r>
      <w:r w:rsidR="0054361E">
        <w:rPr>
          <w:rFonts w:ascii="Tahoma" w:hAnsi="Tahoma" w:cs="Tahoma"/>
          <w:color w:val="000000"/>
        </w:rPr>
        <w:t xml:space="preserve">factors and </w:t>
      </w:r>
      <w:r w:rsidRPr="00A71395">
        <w:rPr>
          <w:rFonts w:ascii="Tahoma" w:hAnsi="Tahoma" w:cs="Tahoma"/>
          <w:color w:val="000000"/>
        </w:rPr>
        <w:t xml:space="preserve">friendships with both staff and peers in </w:t>
      </w:r>
      <w:r w:rsidR="001F3DFE">
        <w:rPr>
          <w:rFonts w:ascii="Tahoma" w:hAnsi="Tahoma" w:cs="Tahoma"/>
          <w:color w:val="000000"/>
        </w:rPr>
        <w:t xml:space="preserve">the </w:t>
      </w:r>
      <w:r w:rsidRPr="00A71395">
        <w:rPr>
          <w:rFonts w:ascii="Tahoma" w:hAnsi="Tahoma" w:cs="Tahoma"/>
          <w:color w:val="000000"/>
        </w:rPr>
        <w:t xml:space="preserve">FE </w:t>
      </w:r>
      <w:r w:rsidR="00EE0DA2">
        <w:rPr>
          <w:rFonts w:ascii="Tahoma" w:hAnsi="Tahoma" w:cs="Tahoma"/>
          <w:color w:val="000000"/>
        </w:rPr>
        <w:t>setting</w:t>
      </w:r>
      <w:r w:rsidRPr="00A71395">
        <w:rPr>
          <w:rFonts w:ascii="Tahoma" w:hAnsi="Tahoma" w:cs="Tahoma"/>
          <w:color w:val="000000"/>
        </w:rPr>
        <w:t xml:space="preserve"> are key reasons why students stay </w:t>
      </w:r>
      <w:r w:rsidR="001F3DFE">
        <w:rPr>
          <w:rFonts w:ascii="Tahoma" w:hAnsi="Tahoma" w:cs="Tahoma"/>
          <w:color w:val="000000"/>
        </w:rPr>
        <w:t xml:space="preserve">at the </w:t>
      </w:r>
      <w:r w:rsidR="00403AF9">
        <w:rPr>
          <w:rFonts w:ascii="Tahoma" w:hAnsi="Tahoma" w:cs="Tahoma"/>
          <w:color w:val="000000"/>
        </w:rPr>
        <w:t>FEC</w:t>
      </w:r>
      <w:r w:rsidR="003C6425">
        <w:rPr>
          <w:rFonts w:ascii="Tahoma" w:hAnsi="Tahoma" w:cs="Tahoma"/>
          <w:color w:val="000000"/>
        </w:rPr>
        <w:t xml:space="preserve"> </w:t>
      </w:r>
      <w:r w:rsidR="00646757">
        <w:rPr>
          <w:rFonts w:ascii="Tahoma" w:hAnsi="Tahoma" w:cs="Tahoma"/>
          <w:color w:val="000000"/>
        </w:rPr>
        <w:t>for HE</w:t>
      </w:r>
      <w:r w:rsidRPr="00A71395">
        <w:rPr>
          <w:rFonts w:ascii="Tahoma" w:hAnsi="Tahoma" w:cs="Tahoma"/>
          <w:color w:val="000000"/>
        </w:rPr>
        <w:t xml:space="preserve">. Therefore, familiarity with the </w:t>
      </w:r>
      <w:r w:rsidR="00612027">
        <w:rPr>
          <w:rFonts w:ascii="Tahoma" w:hAnsi="Tahoma" w:cs="Tahoma"/>
          <w:color w:val="000000"/>
        </w:rPr>
        <w:t xml:space="preserve">HE </w:t>
      </w:r>
      <w:r w:rsidRPr="00A71395">
        <w:rPr>
          <w:rFonts w:ascii="Tahoma" w:hAnsi="Tahoma" w:cs="Tahoma"/>
          <w:color w:val="000000"/>
        </w:rPr>
        <w:t xml:space="preserve">teaching staff </w:t>
      </w:r>
      <w:r w:rsidR="00F71CA6">
        <w:rPr>
          <w:rFonts w:ascii="Tahoma" w:hAnsi="Tahoma" w:cs="Tahoma"/>
          <w:color w:val="000000"/>
        </w:rPr>
        <w:t>during their FE studies</w:t>
      </w:r>
      <w:r w:rsidRPr="00A71395">
        <w:rPr>
          <w:rFonts w:ascii="Tahoma" w:hAnsi="Tahoma" w:cs="Tahoma"/>
          <w:color w:val="000000"/>
        </w:rPr>
        <w:t xml:space="preserve"> may be highly beneficial </w:t>
      </w:r>
      <w:r w:rsidR="00653D85">
        <w:rPr>
          <w:rFonts w:ascii="Tahoma" w:hAnsi="Tahoma" w:cs="Tahoma"/>
          <w:color w:val="000000"/>
        </w:rPr>
        <w:t>in</w:t>
      </w:r>
      <w:r w:rsidR="003C6425">
        <w:rPr>
          <w:rFonts w:ascii="Tahoma" w:hAnsi="Tahoma" w:cs="Tahoma"/>
          <w:color w:val="000000"/>
        </w:rPr>
        <w:t xml:space="preserve"> </w:t>
      </w:r>
      <w:r w:rsidR="00642B22">
        <w:rPr>
          <w:rFonts w:ascii="Tahoma" w:hAnsi="Tahoma" w:cs="Tahoma"/>
          <w:color w:val="000000"/>
        </w:rPr>
        <w:t>retaining</w:t>
      </w:r>
      <w:r w:rsidRPr="00A71395">
        <w:rPr>
          <w:rFonts w:ascii="Tahoma" w:hAnsi="Tahoma" w:cs="Tahoma"/>
          <w:color w:val="000000"/>
        </w:rPr>
        <w:t xml:space="preserve"> FE students</w:t>
      </w:r>
      <w:r w:rsidR="00642B22">
        <w:rPr>
          <w:rFonts w:ascii="Tahoma" w:hAnsi="Tahoma" w:cs="Tahoma"/>
          <w:color w:val="000000"/>
        </w:rPr>
        <w:t xml:space="preserve"> for HE programmes</w:t>
      </w:r>
      <w:r w:rsidRPr="00A71395">
        <w:rPr>
          <w:rFonts w:ascii="Tahoma" w:hAnsi="Tahoma" w:cs="Tahoma"/>
          <w:color w:val="000000"/>
        </w:rPr>
        <w:t xml:space="preserve">. This could </w:t>
      </w:r>
      <w:r w:rsidR="00FA41ED">
        <w:rPr>
          <w:rFonts w:ascii="Tahoma" w:hAnsi="Tahoma" w:cs="Tahoma"/>
          <w:color w:val="000000"/>
        </w:rPr>
        <w:t xml:space="preserve">be </w:t>
      </w:r>
      <w:r w:rsidR="00213AEC">
        <w:rPr>
          <w:rFonts w:ascii="Tahoma" w:hAnsi="Tahoma" w:cs="Tahoma"/>
          <w:color w:val="000000"/>
        </w:rPr>
        <w:t xml:space="preserve">facilitated </w:t>
      </w:r>
      <w:r w:rsidR="00FA41ED">
        <w:rPr>
          <w:rFonts w:ascii="Tahoma" w:hAnsi="Tahoma" w:cs="Tahoma"/>
          <w:color w:val="000000"/>
        </w:rPr>
        <w:t xml:space="preserve">by integrating </w:t>
      </w:r>
      <w:r w:rsidRPr="00A71395">
        <w:rPr>
          <w:rFonts w:ascii="Tahoma" w:hAnsi="Tahoma" w:cs="Tahoma"/>
          <w:color w:val="000000"/>
        </w:rPr>
        <w:t>HE teaching staff into the BTEC Level 3 teaching curricula</w:t>
      </w:r>
      <w:r w:rsidR="00FA41ED">
        <w:rPr>
          <w:rFonts w:ascii="Tahoma" w:hAnsi="Tahoma" w:cs="Tahoma"/>
          <w:color w:val="000000"/>
        </w:rPr>
        <w:t xml:space="preserve"> so that FE students </w:t>
      </w:r>
      <w:r w:rsidR="00213AEC">
        <w:rPr>
          <w:rFonts w:ascii="Tahoma" w:hAnsi="Tahoma" w:cs="Tahoma"/>
          <w:color w:val="000000"/>
        </w:rPr>
        <w:t xml:space="preserve">can start </w:t>
      </w:r>
      <w:r w:rsidR="00FA41ED">
        <w:rPr>
          <w:rFonts w:ascii="Tahoma" w:hAnsi="Tahoma" w:cs="Tahoma"/>
          <w:color w:val="000000"/>
        </w:rPr>
        <w:t>developing these important relationships</w:t>
      </w:r>
      <w:r w:rsidR="00677872">
        <w:rPr>
          <w:rFonts w:ascii="Tahoma" w:hAnsi="Tahoma" w:cs="Tahoma"/>
          <w:color w:val="000000"/>
        </w:rPr>
        <w:t xml:space="preserve"> with key personnel </w:t>
      </w:r>
      <w:r w:rsidR="004738D4">
        <w:rPr>
          <w:rFonts w:ascii="Tahoma" w:hAnsi="Tahoma" w:cs="Tahoma"/>
          <w:color w:val="000000"/>
        </w:rPr>
        <w:t xml:space="preserve">at an </w:t>
      </w:r>
      <w:r w:rsidR="00677872">
        <w:rPr>
          <w:rFonts w:ascii="Tahoma" w:hAnsi="Tahoma" w:cs="Tahoma"/>
          <w:color w:val="000000"/>
        </w:rPr>
        <w:t>early</w:t>
      </w:r>
      <w:r w:rsidR="004738D4">
        <w:rPr>
          <w:rFonts w:ascii="Tahoma" w:hAnsi="Tahoma" w:cs="Tahoma"/>
          <w:color w:val="000000"/>
        </w:rPr>
        <w:t xml:space="preserve"> stage</w:t>
      </w:r>
      <w:r w:rsidR="00FA41ED">
        <w:rPr>
          <w:rFonts w:ascii="Tahoma" w:hAnsi="Tahoma" w:cs="Tahoma"/>
          <w:color w:val="000000"/>
        </w:rPr>
        <w:t>.</w:t>
      </w:r>
    </w:p>
    <w:p w:rsidR="00AE7C9D" w:rsidRPr="00AE7C9D" w:rsidRDefault="00AE7C9D" w:rsidP="00E24148">
      <w:pPr>
        <w:spacing w:line="360" w:lineRule="auto"/>
        <w:rPr>
          <w:rFonts w:ascii="Tahoma" w:hAnsi="Tahoma" w:cs="Tahoma"/>
          <w:color w:val="000000"/>
        </w:rPr>
      </w:pPr>
    </w:p>
    <w:p w:rsidR="00A71395" w:rsidRPr="00A71395" w:rsidRDefault="00A71395" w:rsidP="00E24148">
      <w:pPr>
        <w:pStyle w:val="ListParagraph"/>
        <w:numPr>
          <w:ilvl w:val="0"/>
          <w:numId w:val="1"/>
        </w:numPr>
        <w:spacing w:line="360" w:lineRule="auto"/>
        <w:ind w:left="426" w:hanging="426"/>
        <w:rPr>
          <w:rFonts w:ascii="Tahoma" w:hAnsi="Tahoma" w:cs="Tahoma"/>
          <w:color w:val="000000"/>
        </w:rPr>
      </w:pPr>
      <w:r w:rsidRPr="00A71395">
        <w:rPr>
          <w:rFonts w:ascii="Tahoma" w:hAnsi="Tahoma" w:cs="Tahoma"/>
        </w:rPr>
        <w:t>The thought of progressing to a new course at a higher academic level generates its own anxiety. One of the main sources of anxiety for students is a</w:t>
      </w:r>
      <w:r w:rsidR="002804C5">
        <w:rPr>
          <w:rFonts w:ascii="Tahoma" w:hAnsi="Tahoma" w:cs="Tahoma"/>
        </w:rPr>
        <w:t xml:space="preserve"> perceived</w:t>
      </w:r>
      <w:r w:rsidRPr="00A71395">
        <w:rPr>
          <w:rFonts w:ascii="Tahoma" w:hAnsi="Tahoma" w:cs="Tahoma"/>
        </w:rPr>
        <w:t xml:space="preserve"> increase in workload and </w:t>
      </w:r>
      <w:r w:rsidR="0011609A">
        <w:rPr>
          <w:rFonts w:ascii="Tahoma" w:hAnsi="Tahoma" w:cs="Tahoma"/>
        </w:rPr>
        <w:t xml:space="preserve">the </w:t>
      </w:r>
      <w:r w:rsidRPr="00A71395">
        <w:rPr>
          <w:rFonts w:ascii="Tahoma" w:hAnsi="Tahoma" w:cs="Tahoma"/>
        </w:rPr>
        <w:t>academic skills</w:t>
      </w:r>
      <w:r w:rsidR="0011609A">
        <w:rPr>
          <w:rFonts w:ascii="Tahoma" w:hAnsi="Tahoma" w:cs="Tahoma"/>
        </w:rPr>
        <w:t xml:space="preserve"> required in HE</w:t>
      </w:r>
      <w:r w:rsidRPr="00A71395">
        <w:rPr>
          <w:rFonts w:ascii="Tahoma" w:hAnsi="Tahoma" w:cs="Tahoma"/>
        </w:rPr>
        <w:t xml:space="preserve">. Utilising workshops and/or bridging courses for prospective students to </w:t>
      </w:r>
      <w:r w:rsidR="00025E60">
        <w:rPr>
          <w:rFonts w:ascii="Tahoma" w:hAnsi="Tahoma" w:cs="Tahoma"/>
        </w:rPr>
        <w:t>close</w:t>
      </w:r>
      <w:r w:rsidRPr="00A71395">
        <w:rPr>
          <w:rFonts w:ascii="Tahoma" w:hAnsi="Tahoma" w:cs="Tahoma"/>
        </w:rPr>
        <w:t xml:space="preserve"> the gap between FE and HE</w:t>
      </w:r>
      <w:r w:rsidR="00F80A1D">
        <w:rPr>
          <w:rFonts w:ascii="Tahoma" w:hAnsi="Tahoma" w:cs="Tahoma"/>
        </w:rPr>
        <w:t>,</w:t>
      </w:r>
      <w:r w:rsidR="003C6425">
        <w:rPr>
          <w:rFonts w:ascii="Tahoma" w:hAnsi="Tahoma" w:cs="Tahoma"/>
        </w:rPr>
        <w:t xml:space="preserve"> </w:t>
      </w:r>
      <w:r w:rsidR="00B802CF">
        <w:rPr>
          <w:rFonts w:ascii="Tahoma" w:hAnsi="Tahoma" w:cs="Tahoma"/>
        </w:rPr>
        <w:t xml:space="preserve">from a policy and </w:t>
      </w:r>
      <w:r w:rsidRPr="00A71395">
        <w:rPr>
          <w:rFonts w:ascii="Tahoma" w:hAnsi="Tahoma" w:cs="Tahoma"/>
        </w:rPr>
        <w:t xml:space="preserve">regulations </w:t>
      </w:r>
      <w:r w:rsidR="00B802CF">
        <w:rPr>
          <w:rFonts w:ascii="Tahoma" w:hAnsi="Tahoma" w:cs="Tahoma"/>
        </w:rPr>
        <w:t>perspective</w:t>
      </w:r>
      <w:r w:rsidR="00F80A1D">
        <w:rPr>
          <w:rFonts w:ascii="Tahoma" w:hAnsi="Tahoma" w:cs="Tahoma"/>
        </w:rPr>
        <w:t>,</w:t>
      </w:r>
      <w:r w:rsidR="003C6425">
        <w:rPr>
          <w:rFonts w:ascii="Tahoma" w:hAnsi="Tahoma" w:cs="Tahoma"/>
        </w:rPr>
        <w:t xml:space="preserve"> </w:t>
      </w:r>
      <w:r w:rsidRPr="00A71395">
        <w:rPr>
          <w:rFonts w:ascii="Tahoma" w:hAnsi="Tahoma" w:cs="Tahoma"/>
        </w:rPr>
        <w:t xml:space="preserve">may help to reduce anxiety and introduce students to </w:t>
      </w:r>
      <w:r w:rsidR="00777C82">
        <w:rPr>
          <w:rFonts w:ascii="Tahoma" w:hAnsi="Tahoma" w:cs="Tahoma"/>
        </w:rPr>
        <w:t>academic skills</w:t>
      </w:r>
      <w:r w:rsidRPr="00A71395">
        <w:rPr>
          <w:rFonts w:ascii="Tahoma" w:hAnsi="Tahoma" w:cs="Tahoma"/>
        </w:rPr>
        <w:t xml:space="preserve"> prior to studying a HE course.</w:t>
      </w:r>
    </w:p>
    <w:p w:rsidR="00AE7C9D" w:rsidRPr="00AE7C9D" w:rsidRDefault="00AE7C9D" w:rsidP="00E24148">
      <w:pPr>
        <w:autoSpaceDE w:val="0"/>
        <w:autoSpaceDN w:val="0"/>
        <w:adjustRightInd w:val="0"/>
        <w:spacing w:after="0" w:line="360" w:lineRule="auto"/>
        <w:ind w:left="66"/>
        <w:rPr>
          <w:rFonts w:ascii="Tahoma" w:hAnsi="Tahoma" w:cs="Tahoma"/>
          <w:color w:val="000000"/>
        </w:rPr>
      </w:pPr>
    </w:p>
    <w:p w:rsidR="000750E4" w:rsidRPr="000750E4" w:rsidRDefault="000750E4" w:rsidP="00E24148">
      <w:pPr>
        <w:pStyle w:val="ListParagraph"/>
        <w:numPr>
          <w:ilvl w:val="0"/>
          <w:numId w:val="1"/>
        </w:numPr>
        <w:autoSpaceDE w:val="0"/>
        <w:autoSpaceDN w:val="0"/>
        <w:adjustRightInd w:val="0"/>
        <w:spacing w:after="0" w:line="360" w:lineRule="auto"/>
        <w:ind w:left="426"/>
        <w:rPr>
          <w:rFonts w:ascii="Tahoma" w:hAnsi="Tahoma" w:cs="Tahoma"/>
          <w:color w:val="000000"/>
        </w:rPr>
      </w:pPr>
      <w:r w:rsidRPr="000750E4">
        <w:rPr>
          <w:rFonts w:ascii="Tahoma" w:hAnsi="Tahoma" w:cs="Tahoma"/>
        </w:rPr>
        <w:t xml:space="preserve">If </w:t>
      </w:r>
      <w:r w:rsidR="005C4BB2">
        <w:rPr>
          <w:rFonts w:ascii="Tahoma" w:hAnsi="Tahoma" w:cs="Tahoma"/>
        </w:rPr>
        <w:t xml:space="preserve">VET </w:t>
      </w:r>
      <w:r w:rsidR="00470927">
        <w:rPr>
          <w:rFonts w:ascii="Tahoma" w:hAnsi="Tahoma" w:cs="Tahoma"/>
        </w:rPr>
        <w:t>qualifications</w:t>
      </w:r>
      <w:r w:rsidR="003C6425">
        <w:rPr>
          <w:rFonts w:ascii="Tahoma" w:hAnsi="Tahoma" w:cs="Tahoma"/>
        </w:rPr>
        <w:t xml:space="preserve"> </w:t>
      </w:r>
      <w:r w:rsidRPr="000750E4">
        <w:rPr>
          <w:rFonts w:ascii="Tahoma" w:hAnsi="Tahoma" w:cs="Tahoma"/>
        </w:rPr>
        <w:t xml:space="preserve">incorporated and emphasised soft implementation of key academic standards and guidelines into their </w:t>
      </w:r>
      <w:r>
        <w:rPr>
          <w:rFonts w:ascii="Tahoma" w:hAnsi="Tahoma" w:cs="Tahoma"/>
        </w:rPr>
        <w:t xml:space="preserve">Level 3 </w:t>
      </w:r>
      <w:r w:rsidRPr="000750E4">
        <w:rPr>
          <w:rFonts w:ascii="Tahoma" w:hAnsi="Tahoma" w:cs="Tahoma"/>
        </w:rPr>
        <w:t>qualifications, such as stri</w:t>
      </w:r>
      <w:r w:rsidR="00470927">
        <w:rPr>
          <w:rFonts w:ascii="Tahoma" w:hAnsi="Tahoma" w:cs="Tahoma"/>
        </w:rPr>
        <w:t>ngent</w:t>
      </w:r>
      <w:r w:rsidRPr="000750E4">
        <w:rPr>
          <w:rFonts w:ascii="Tahoma" w:hAnsi="Tahoma" w:cs="Tahoma"/>
        </w:rPr>
        <w:t xml:space="preserve"> assessment deadlines, </w:t>
      </w:r>
      <w:r>
        <w:rPr>
          <w:rFonts w:ascii="Tahoma" w:hAnsi="Tahoma" w:cs="Tahoma"/>
        </w:rPr>
        <w:t xml:space="preserve">specific academic writing styles, </w:t>
      </w:r>
      <w:r w:rsidRPr="000750E4">
        <w:rPr>
          <w:rFonts w:ascii="Tahoma" w:hAnsi="Tahoma" w:cs="Tahoma"/>
        </w:rPr>
        <w:t>independent research</w:t>
      </w:r>
      <w:r w:rsidR="00025E60">
        <w:rPr>
          <w:rFonts w:ascii="Tahoma" w:hAnsi="Tahoma" w:cs="Tahoma"/>
        </w:rPr>
        <w:t xml:space="preserve"> and</w:t>
      </w:r>
      <w:r w:rsidRPr="000750E4">
        <w:rPr>
          <w:rFonts w:ascii="Tahoma" w:hAnsi="Tahoma" w:cs="Tahoma"/>
        </w:rPr>
        <w:t xml:space="preserve"> other </w:t>
      </w:r>
      <w:r w:rsidR="00D81167">
        <w:rPr>
          <w:rFonts w:ascii="Tahoma" w:hAnsi="Tahoma" w:cs="Tahoma"/>
        </w:rPr>
        <w:t xml:space="preserve">academic oriented </w:t>
      </w:r>
      <w:r w:rsidRPr="000750E4">
        <w:rPr>
          <w:rFonts w:ascii="Tahoma" w:hAnsi="Tahoma" w:cs="Tahoma"/>
        </w:rPr>
        <w:t>study skills, it would benefit their students</w:t>
      </w:r>
      <w:r w:rsidR="00403AF9">
        <w:rPr>
          <w:rFonts w:ascii="Tahoma" w:hAnsi="Tahoma" w:cs="Tahoma"/>
        </w:rPr>
        <w:t>’</w:t>
      </w:r>
      <w:r w:rsidRPr="000750E4">
        <w:rPr>
          <w:rFonts w:ascii="Tahoma" w:hAnsi="Tahoma" w:cs="Tahoma"/>
        </w:rPr>
        <w:t xml:space="preserve"> development and further prepare </w:t>
      </w:r>
      <w:r w:rsidR="00403AF9">
        <w:rPr>
          <w:rFonts w:ascii="Tahoma" w:hAnsi="Tahoma" w:cs="Tahoma"/>
        </w:rPr>
        <w:t>them</w:t>
      </w:r>
      <w:r w:rsidRPr="000750E4">
        <w:rPr>
          <w:rFonts w:ascii="Tahoma" w:hAnsi="Tahoma" w:cs="Tahoma"/>
        </w:rPr>
        <w:t xml:space="preserve"> for transition to </w:t>
      </w:r>
      <w:r w:rsidR="00B00925">
        <w:rPr>
          <w:rFonts w:ascii="Tahoma" w:hAnsi="Tahoma" w:cs="Tahoma"/>
        </w:rPr>
        <w:t>HE</w:t>
      </w:r>
      <w:r w:rsidR="00315A70">
        <w:rPr>
          <w:rFonts w:ascii="Tahoma" w:hAnsi="Tahoma" w:cs="Tahoma"/>
        </w:rPr>
        <w:t>.</w:t>
      </w:r>
    </w:p>
    <w:p w:rsidR="00AE7C9D" w:rsidRPr="00AE7C9D" w:rsidRDefault="00AE7C9D" w:rsidP="00E24148">
      <w:pPr>
        <w:spacing w:line="360" w:lineRule="auto"/>
        <w:ind w:left="66"/>
        <w:rPr>
          <w:rFonts w:ascii="Tahoma" w:hAnsi="Tahoma" w:cs="Tahoma"/>
          <w:color w:val="000000"/>
        </w:rPr>
      </w:pPr>
    </w:p>
    <w:p w:rsidR="007A4F11" w:rsidRPr="00AE7C9D" w:rsidRDefault="00507263" w:rsidP="00E24148">
      <w:pPr>
        <w:pStyle w:val="ListParagraph"/>
        <w:numPr>
          <w:ilvl w:val="0"/>
          <w:numId w:val="1"/>
        </w:numPr>
        <w:spacing w:line="360" w:lineRule="auto"/>
        <w:ind w:left="426"/>
        <w:rPr>
          <w:rFonts w:ascii="Tahoma" w:hAnsi="Tahoma" w:cs="Tahoma"/>
          <w:color w:val="000000"/>
        </w:rPr>
      </w:pPr>
      <w:r>
        <w:rPr>
          <w:rFonts w:ascii="Tahoma" w:hAnsi="Tahoma" w:cs="Tahoma"/>
        </w:rPr>
        <w:t xml:space="preserve">The perceived differences </w:t>
      </w:r>
      <w:r w:rsidR="00BD5EC7">
        <w:rPr>
          <w:rFonts w:ascii="Tahoma" w:hAnsi="Tahoma" w:cs="Tahoma"/>
        </w:rPr>
        <w:t>between</w:t>
      </w:r>
      <w:r w:rsidR="003C6425">
        <w:rPr>
          <w:rFonts w:ascii="Tahoma" w:hAnsi="Tahoma" w:cs="Tahoma"/>
        </w:rPr>
        <w:t xml:space="preserve"> </w:t>
      </w:r>
      <w:r w:rsidR="00BD5EC7">
        <w:rPr>
          <w:rFonts w:ascii="Tahoma" w:hAnsi="Tahoma" w:cs="Tahoma"/>
        </w:rPr>
        <w:t xml:space="preserve">Level 3 BTEC </w:t>
      </w:r>
      <w:r w:rsidR="00D21823">
        <w:rPr>
          <w:rFonts w:ascii="Tahoma" w:hAnsi="Tahoma" w:cs="Tahoma"/>
        </w:rPr>
        <w:t>course</w:t>
      </w:r>
      <w:r w:rsidR="005012ED">
        <w:rPr>
          <w:rFonts w:ascii="Tahoma" w:hAnsi="Tahoma" w:cs="Tahoma"/>
        </w:rPr>
        <w:t>s</w:t>
      </w:r>
      <w:r w:rsidR="00D21823">
        <w:rPr>
          <w:rFonts w:ascii="Tahoma" w:hAnsi="Tahoma" w:cs="Tahoma"/>
        </w:rPr>
        <w:t xml:space="preserve"> and FDs </w:t>
      </w:r>
      <w:r>
        <w:rPr>
          <w:rFonts w:ascii="Tahoma" w:hAnsi="Tahoma" w:cs="Tahoma"/>
        </w:rPr>
        <w:t xml:space="preserve">are largely centred </w:t>
      </w:r>
      <w:r w:rsidR="00025E60">
        <w:rPr>
          <w:rFonts w:ascii="Tahoma" w:hAnsi="Tahoma" w:cs="Tahoma"/>
        </w:rPr>
        <w:t>on</w:t>
      </w:r>
      <w:r>
        <w:rPr>
          <w:rFonts w:ascii="Tahoma" w:hAnsi="Tahoma" w:cs="Tahoma"/>
        </w:rPr>
        <w:t xml:space="preserve"> teaching and learning related aspects of the courses. </w:t>
      </w:r>
      <w:r w:rsidR="009F439F">
        <w:rPr>
          <w:rFonts w:ascii="Tahoma" w:hAnsi="Tahoma" w:cs="Tahoma"/>
        </w:rPr>
        <w:t xml:space="preserve">A perceived </w:t>
      </w:r>
      <w:r w:rsidR="00F63C72">
        <w:rPr>
          <w:rFonts w:ascii="Tahoma" w:hAnsi="Tahoma" w:cs="Tahoma"/>
        </w:rPr>
        <w:t>fear of the unknown could be somewhat remedied by</w:t>
      </w:r>
      <w:r w:rsidR="003C6425">
        <w:rPr>
          <w:rFonts w:ascii="Tahoma" w:hAnsi="Tahoma" w:cs="Tahoma"/>
        </w:rPr>
        <w:t xml:space="preserve"> </w:t>
      </w:r>
      <w:r w:rsidR="00F63C72">
        <w:rPr>
          <w:rFonts w:ascii="Tahoma" w:hAnsi="Tahoma" w:cs="Tahoma"/>
        </w:rPr>
        <w:t xml:space="preserve">the implementation of </w:t>
      </w:r>
      <w:r w:rsidR="007A4F11">
        <w:rPr>
          <w:rFonts w:ascii="Tahoma" w:hAnsi="Tahoma" w:cs="Tahoma"/>
        </w:rPr>
        <w:t>a robust induction programme</w:t>
      </w:r>
      <w:r w:rsidR="00F63C72">
        <w:rPr>
          <w:rFonts w:ascii="Tahoma" w:hAnsi="Tahoma" w:cs="Tahoma"/>
        </w:rPr>
        <w:t>/introductory module</w:t>
      </w:r>
      <w:r w:rsidR="003C6425">
        <w:rPr>
          <w:rFonts w:ascii="Tahoma" w:hAnsi="Tahoma" w:cs="Tahoma"/>
        </w:rPr>
        <w:t xml:space="preserve"> </w:t>
      </w:r>
      <w:r w:rsidR="00E53485">
        <w:rPr>
          <w:rFonts w:ascii="Tahoma" w:hAnsi="Tahoma" w:cs="Tahoma"/>
        </w:rPr>
        <w:t>prior to the course starting</w:t>
      </w:r>
      <w:r w:rsidR="009F439F">
        <w:rPr>
          <w:rFonts w:ascii="Tahoma" w:hAnsi="Tahoma" w:cs="Tahoma"/>
        </w:rPr>
        <w:t xml:space="preserve">, </w:t>
      </w:r>
      <w:r w:rsidR="009E24FC">
        <w:rPr>
          <w:rFonts w:ascii="Tahoma" w:hAnsi="Tahoma" w:cs="Tahoma"/>
        </w:rPr>
        <w:t>further</w:t>
      </w:r>
      <w:r w:rsidR="003C6425">
        <w:rPr>
          <w:rFonts w:ascii="Tahoma" w:hAnsi="Tahoma" w:cs="Tahoma"/>
        </w:rPr>
        <w:t xml:space="preserve"> </w:t>
      </w:r>
      <w:r w:rsidR="009F439F">
        <w:rPr>
          <w:rFonts w:ascii="Tahoma" w:hAnsi="Tahoma" w:cs="Tahoma"/>
        </w:rPr>
        <w:t>bridging</w:t>
      </w:r>
      <w:r w:rsidR="00743E7A">
        <w:rPr>
          <w:rFonts w:ascii="Tahoma" w:hAnsi="Tahoma" w:cs="Tahoma"/>
        </w:rPr>
        <w:t xml:space="preserve"> the gap</w:t>
      </w:r>
      <w:r w:rsidR="00A71395">
        <w:rPr>
          <w:rFonts w:ascii="Tahoma" w:hAnsi="Tahoma" w:cs="Tahoma"/>
        </w:rPr>
        <w:t>. This may</w:t>
      </w:r>
      <w:r w:rsidR="003C6425">
        <w:rPr>
          <w:rFonts w:ascii="Tahoma" w:hAnsi="Tahoma" w:cs="Tahoma"/>
        </w:rPr>
        <w:t xml:space="preserve"> </w:t>
      </w:r>
      <w:r w:rsidR="007A4F11">
        <w:rPr>
          <w:rFonts w:ascii="Tahoma" w:hAnsi="Tahoma" w:cs="Tahoma"/>
        </w:rPr>
        <w:t xml:space="preserve">prepare students more adequately </w:t>
      </w:r>
      <w:r w:rsidR="00A71395">
        <w:rPr>
          <w:rFonts w:ascii="Tahoma" w:hAnsi="Tahoma" w:cs="Tahoma"/>
        </w:rPr>
        <w:t xml:space="preserve">for their transition to </w:t>
      </w:r>
      <w:r w:rsidR="007A4F11">
        <w:rPr>
          <w:rFonts w:ascii="Tahoma" w:hAnsi="Tahoma" w:cs="Tahoma"/>
        </w:rPr>
        <w:t xml:space="preserve">academic study prior to </w:t>
      </w:r>
      <w:r w:rsidR="00F63C72">
        <w:rPr>
          <w:rFonts w:ascii="Tahoma" w:hAnsi="Tahoma" w:cs="Tahoma"/>
        </w:rPr>
        <w:t xml:space="preserve">being expected to implement </w:t>
      </w:r>
      <w:r w:rsidR="00A71395">
        <w:rPr>
          <w:rFonts w:ascii="Tahoma" w:hAnsi="Tahoma" w:cs="Tahoma"/>
        </w:rPr>
        <w:t xml:space="preserve">specific academic skills </w:t>
      </w:r>
      <w:r w:rsidR="007A4F11">
        <w:rPr>
          <w:rFonts w:ascii="Tahoma" w:hAnsi="Tahoma" w:cs="Tahoma"/>
        </w:rPr>
        <w:t>in</w:t>
      </w:r>
      <w:r w:rsidR="00F63C72">
        <w:rPr>
          <w:rFonts w:ascii="Tahoma" w:hAnsi="Tahoma" w:cs="Tahoma"/>
        </w:rPr>
        <w:t>to</w:t>
      </w:r>
      <w:r w:rsidR="007A4F11">
        <w:rPr>
          <w:rFonts w:ascii="Tahoma" w:hAnsi="Tahoma" w:cs="Tahoma"/>
        </w:rPr>
        <w:t xml:space="preserve"> </w:t>
      </w:r>
      <w:r w:rsidR="00403AF9">
        <w:rPr>
          <w:rFonts w:ascii="Tahoma" w:hAnsi="Tahoma" w:cs="Tahoma"/>
        </w:rPr>
        <w:t>summative assessment</w:t>
      </w:r>
      <w:r w:rsidR="007A4F11">
        <w:rPr>
          <w:rFonts w:ascii="Tahoma" w:hAnsi="Tahoma" w:cs="Tahoma"/>
        </w:rPr>
        <w:t>.</w:t>
      </w:r>
    </w:p>
    <w:p w:rsidR="00AE7C9D" w:rsidRPr="00F74F03" w:rsidRDefault="00AE7C9D" w:rsidP="00E24148">
      <w:pPr>
        <w:spacing w:line="360" w:lineRule="auto"/>
        <w:rPr>
          <w:rFonts w:ascii="Tahoma" w:hAnsi="Tahoma" w:cs="Tahoma"/>
          <w:color w:val="000000"/>
        </w:rPr>
      </w:pPr>
    </w:p>
    <w:p w:rsidR="00AE7C9D" w:rsidRDefault="00AE7C9D" w:rsidP="00E24148">
      <w:pPr>
        <w:pStyle w:val="ListParagraph"/>
        <w:numPr>
          <w:ilvl w:val="0"/>
          <w:numId w:val="1"/>
        </w:numPr>
        <w:spacing w:line="360" w:lineRule="auto"/>
        <w:ind w:left="426"/>
        <w:rPr>
          <w:rFonts w:ascii="Tahoma" w:hAnsi="Tahoma" w:cs="Tahoma"/>
          <w:color w:val="000000"/>
        </w:rPr>
      </w:pPr>
      <w:r>
        <w:rPr>
          <w:rFonts w:ascii="Tahoma" w:hAnsi="Tahoma" w:cs="Tahoma"/>
          <w:color w:val="000000"/>
        </w:rPr>
        <w:t xml:space="preserve">The </w:t>
      </w:r>
      <w:r w:rsidR="00A43DFE">
        <w:rPr>
          <w:rFonts w:ascii="Tahoma" w:hAnsi="Tahoma" w:cs="Tahoma"/>
          <w:color w:val="000000"/>
        </w:rPr>
        <w:t>university</w:t>
      </w:r>
      <w:r>
        <w:rPr>
          <w:rFonts w:ascii="Tahoma" w:hAnsi="Tahoma" w:cs="Tahoma"/>
          <w:color w:val="000000"/>
        </w:rPr>
        <w:t xml:space="preserve"> which validate</w:t>
      </w:r>
      <w:r w:rsidR="00025E60">
        <w:rPr>
          <w:rFonts w:ascii="Tahoma" w:hAnsi="Tahoma" w:cs="Tahoma"/>
          <w:color w:val="000000"/>
        </w:rPr>
        <w:t>s</w:t>
      </w:r>
      <w:r w:rsidR="00F74F03">
        <w:rPr>
          <w:rFonts w:ascii="Tahoma" w:hAnsi="Tahoma" w:cs="Tahoma"/>
          <w:color w:val="000000"/>
        </w:rPr>
        <w:t xml:space="preserve"> FE partners to deliver FDs need</w:t>
      </w:r>
      <w:r w:rsidR="00025E60">
        <w:rPr>
          <w:rFonts w:ascii="Tahoma" w:hAnsi="Tahoma" w:cs="Tahoma"/>
          <w:color w:val="000000"/>
        </w:rPr>
        <w:t>s</w:t>
      </w:r>
      <w:r w:rsidR="00F74F03">
        <w:rPr>
          <w:rFonts w:ascii="Tahoma" w:hAnsi="Tahoma" w:cs="Tahoma"/>
          <w:color w:val="000000"/>
        </w:rPr>
        <w:t xml:space="preserve"> to have a greater responsibility in supporting</w:t>
      </w:r>
      <w:r w:rsidR="00B661FC">
        <w:rPr>
          <w:rFonts w:ascii="Tahoma" w:hAnsi="Tahoma" w:cs="Tahoma"/>
          <w:color w:val="000000"/>
        </w:rPr>
        <w:t xml:space="preserve"> students at the partner organisation</w:t>
      </w:r>
      <w:r w:rsidR="00F25EA3">
        <w:rPr>
          <w:rFonts w:ascii="Tahoma" w:hAnsi="Tahoma" w:cs="Tahoma"/>
          <w:color w:val="000000"/>
        </w:rPr>
        <w:t>s</w:t>
      </w:r>
      <w:r w:rsidR="00B661FC">
        <w:rPr>
          <w:rFonts w:ascii="Tahoma" w:hAnsi="Tahoma" w:cs="Tahoma"/>
          <w:color w:val="000000"/>
        </w:rPr>
        <w:t xml:space="preserve">. </w:t>
      </w:r>
      <w:r w:rsidR="003B0D6D">
        <w:rPr>
          <w:rFonts w:ascii="Tahoma" w:hAnsi="Tahoma" w:cs="Tahoma"/>
          <w:color w:val="000000"/>
        </w:rPr>
        <w:t>U</w:t>
      </w:r>
      <w:r w:rsidR="00B661FC">
        <w:rPr>
          <w:rFonts w:ascii="Tahoma" w:hAnsi="Tahoma" w:cs="Tahoma"/>
          <w:color w:val="000000"/>
        </w:rPr>
        <w:t xml:space="preserve">niversity departments and staff </w:t>
      </w:r>
      <w:r w:rsidR="000C1413">
        <w:rPr>
          <w:rFonts w:ascii="Tahoma" w:hAnsi="Tahoma" w:cs="Tahoma"/>
          <w:color w:val="000000"/>
        </w:rPr>
        <w:t>may</w:t>
      </w:r>
      <w:r w:rsidR="00B661FC">
        <w:rPr>
          <w:rFonts w:ascii="Tahoma" w:hAnsi="Tahoma" w:cs="Tahoma"/>
          <w:color w:val="000000"/>
        </w:rPr>
        <w:t xml:space="preserve"> be best utilised supporting the delivery of </w:t>
      </w:r>
      <w:r w:rsidR="00302168">
        <w:rPr>
          <w:rFonts w:ascii="Tahoma" w:hAnsi="Tahoma" w:cs="Tahoma"/>
          <w:color w:val="000000"/>
        </w:rPr>
        <w:t xml:space="preserve">the courses and implementation of academic standards </w:t>
      </w:r>
      <w:r w:rsidR="00AB267D">
        <w:rPr>
          <w:rFonts w:ascii="Tahoma" w:hAnsi="Tahoma" w:cs="Tahoma"/>
          <w:color w:val="000000"/>
        </w:rPr>
        <w:t xml:space="preserve">in a more hands-on manner </w:t>
      </w:r>
      <w:r w:rsidR="00302168">
        <w:rPr>
          <w:rFonts w:ascii="Tahoma" w:hAnsi="Tahoma" w:cs="Tahoma"/>
          <w:color w:val="000000"/>
        </w:rPr>
        <w:t xml:space="preserve">to ensure </w:t>
      </w:r>
      <w:r w:rsidR="00397F59">
        <w:rPr>
          <w:rFonts w:ascii="Tahoma" w:hAnsi="Tahoma" w:cs="Tahoma"/>
          <w:color w:val="000000"/>
        </w:rPr>
        <w:t xml:space="preserve">FD </w:t>
      </w:r>
      <w:r w:rsidR="00B00925">
        <w:rPr>
          <w:rFonts w:ascii="Tahoma" w:hAnsi="Tahoma" w:cs="Tahoma"/>
          <w:color w:val="000000"/>
        </w:rPr>
        <w:t>s</w:t>
      </w:r>
      <w:r w:rsidR="00397F59">
        <w:rPr>
          <w:rFonts w:ascii="Tahoma" w:hAnsi="Tahoma" w:cs="Tahoma"/>
          <w:color w:val="000000"/>
        </w:rPr>
        <w:t xml:space="preserve">tudents have </w:t>
      </w:r>
      <w:r w:rsidR="00302168">
        <w:rPr>
          <w:rFonts w:ascii="Tahoma" w:hAnsi="Tahoma" w:cs="Tahoma"/>
          <w:color w:val="000000"/>
        </w:rPr>
        <w:t xml:space="preserve">a smoother transition to </w:t>
      </w:r>
      <w:r w:rsidR="00397F59">
        <w:rPr>
          <w:rFonts w:ascii="Tahoma" w:hAnsi="Tahoma" w:cs="Tahoma"/>
          <w:color w:val="000000"/>
        </w:rPr>
        <w:t xml:space="preserve">their </w:t>
      </w:r>
      <w:r w:rsidR="00302168">
        <w:rPr>
          <w:rFonts w:ascii="Tahoma" w:hAnsi="Tahoma" w:cs="Tahoma"/>
          <w:color w:val="000000"/>
        </w:rPr>
        <w:t>HE studies.</w:t>
      </w:r>
    </w:p>
    <w:p w:rsidR="00302168" w:rsidRPr="00302168" w:rsidRDefault="00302168" w:rsidP="00E24148">
      <w:pPr>
        <w:spacing w:line="360" w:lineRule="auto"/>
        <w:rPr>
          <w:rFonts w:ascii="Tahoma" w:hAnsi="Tahoma" w:cs="Tahoma"/>
          <w:color w:val="000000"/>
        </w:rPr>
      </w:pPr>
    </w:p>
    <w:p w:rsidR="00302168" w:rsidRPr="00AE7C9D" w:rsidRDefault="008522C8" w:rsidP="00E24148">
      <w:pPr>
        <w:pStyle w:val="ListParagraph"/>
        <w:numPr>
          <w:ilvl w:val="0"/>
          <w:numId w:val="1"/>
        </w:numPr>
        <w:spacing w:line="360" w:lineRule="auto"/>
        <w:ind w:left="426"/>
        <w:rPr>
          <w:rFonts w:ascii="Tahoma" w:hAnsi="Tahoma" w:cs="Tahoma"/>
          <w:color w:val="000000"/>
        </w:rPr>
      </w:pPr>
      <w:r>
        <w:rPr>
          <w:rFonts w:ascii="Tahoma" w:hAnsi="Tahoma" w:cs="Tahoma"/>
          <w:color w:val="000000"/>
        </w:rPr>
        <w:t>If HE staff had m</w:t>
      </w:r>
      <w:r w:rsidR="00302168">
        <w:rPr>
          <w:rFonts w:ascii="Tahoma" w:hAnsi="Tahoma" w:cs="Tahoma"/>
          <w:color w:val="000000"/>
        </w:rPr>
        <w:t>ore of a presence</w:t>
      </w:r>
      <w:r>
        <w:rPr>
          <w:rFonts w:ascii="Tahoma" w:hAnsi="Tahoma" w:cs="Tahoma"/>
          <w:color w:val="000000"/>
        </w:rPr>
        <w:t xml:space="preserve"> within </w:t>
      </w:r>
      <w:r w:rsidR="0051556C">
        <w:rPr>
          <w:rFonts w:ascii="Tahoma" w:hAnsi="Tahoma" w:cs="Tahoma"/>
          <w:color w:val="000000"/>
        </w:rPr>
        <w:t>the</w:t>
      </w:r>
      <w:r>
        <w:rPr>
          <w:rFonts w:ascii="Tahoma" w:hAnsi="Tahoma" w:cs="Tahoma"/>
          <w:color w:val="000000"/>
        </w:rPr>
        <w:t xml:space="preserve"> FE </w:t>
      </w:r>
      <w:r w:rsidR="00EE0DA2">
        <w:rPr>
          <w:rFonts w:ascii="Tahoma" w:hAnsi="Tahoma" w:cs="Tahoma"/>
          <w:color w:val="000000"/>
        </w:rPr>
        <w:t>setting</w:t>
      </w:r>
      <w:r>
        <w:rPr>
          <w:rFonts w:ascii="Tahoma" w:hAnsi="Tahoma" w:cs="Tahoma"/>
          <w:color w:val="000000"/>
        </w:rPr>
        <w:t xml:space="preserve"> and course</w:t>
      </w:r>
      <w:r w:rsidR="00397F59">
        <w:rPr>
          <w:rFonts w:ascii="Tahoma" w:hAnsi="Tahoma" w:cs="Tahoma"/>
          <w:color w:val="000000"/>
        </w:rPr>
        <w:t xml:space="preserve"> delivery</w:t>
      </w:r>
      <w:r w:rsidR="0051556C">
        <w:rPr>
          <w:rFonts w:ascii="Tahoma" w:hAnsi="Tahoma" w:cs="Tahoma"/>
          <w:color w:val="000000"/>
        </w:rPr>
        <w:t xml:space="preserve"> at a FEC</w:t>
      </w:r>
      <w:r w:rsidR="00302168">
        <w:rPr>
          <w:rFonts w:ascii="Tahoma" w:hAnsi="Tahoma" w:cs="Tahoma"/>
          <w:color w:val="000000"/>
        </w:rPr>
        <w:t>, through outreach and engagement</w:t>
      </w:r>
      <w:r w:rsidR="0051556C">
        <w:rPr>
          <w:rFonts w:ascii="Tahoma" w:hAnsi="Tahoma" w:cs="Tahoma"/>
          <w:color w:val="000000"/>
        </w:rPr>
        <w:t xml:space="preserve"> activities</w:t>
      </w:r>
      <w:r>
        <w:rPr>
          <w:rFonts w:ascii="Tahoma" w:hAnsi="Tahoma" w:cs="Tahoma"/>
          <w:color w:val="000000"/>
        </w:rPr>
        <w:t xml:space="preserve">, it may provide increased social identity amongst prospective students and </w:t>
      </w:r>
      <w:r w:rsidR="00397F59">
        <w:rPr>
          <w:rFonts w:ascii="Tahoma" w:hAnsi="Tahoma" w:cs="Tahoma"/>
          <w:color w:val="000000"/>
        </w:rPr>
        <w:t>the university</w:t>
      </w:r>
      <w:r>
        <w:rPr>
          <w:rFonts w:ascii="Tahoma" w:hAnsi="Tahoma" w:cs="Tahoma"/>
          <w:color w:val="000000"/>
        </w:rPr>
        <w:t xml:space="preserve">. </w:t>
      </w:r>
      <w:r w:rsidR="0051556C">
        <w:rPr>
          <w:rFonts w:ascii="Tahoma" w:hAnsi="Tahoma" w:cs="Tahoma"/>
          <w:color w:val="000000"/>
        </w:rPr>
        <w:t xml:space="preserve">At present, too large a divide remains between FE and HE, regardless </w:t>
      </w:r>
      <w:r w:rsidR="00570410">
        <w:rPr>
          <w:rFonts w:ascii="Tahoma" w:hAnsi="Tahoma" w:cs="Tahoma"/>
          <w:color w:val="000000"/>
        </w:rPr>
        <w:t xml:space="preserve">of whether </w:t>
      </w:r>
      <w:r w:rsidR="0051556C">
        <w:rPr>
          <w:rFonts w:ascii="Tahoma" w:hAnsi="Tahoma" w:cs="Tahoma"/>
          <w:color w:val="000000"/>
        </w:rPr>
        <w:t xml:space="preserve">they are being </w:t>
      </w:r>
      <w:r w:rsidR="0051628D">
        <w:rPr>
          <w:rFonts w:ascii="Tahoma" w:hAnsi="Tahoma" w:cs="Tahoma"/>
          <w:color w:val="000000"/>
        </w:rPr>
        <w:t>delivered at the same organisation, or not.</w:t>
      </w:r>
    </w:p>
    <w:p w:rsidR="000F2170" w:rsidRPr="000F2170" w:rsidRDefault="000F2170" w:rsidP="00E24148">
      <w:pPr>
        <w:pStyle w:val="ListParagraph"/>
        <w:spacing w:line="360" w:lineRule="auto"/>
        <w:rPr>
          <w:rFonts w:ascii="Tahoma" w:hAnsi="Tahoma" w:cs="Tahoma"/>
          <w:color w:val="000000"/>
        </w:rPr>
      </w:pPr>
    </w:p>
    <w:p w:rsidR="008B11E5" w:rsidRDefault="004C2742" w:rsidP="00E24148">
      <w:pPr>
        <w:spacing w:line="360" w:lineRule="auto"/>
        <w:rPr>
          <w:rFonts w:ascii="Tahoma" w:hAnsi="Tahoma" w:cs="Tahoma"/>
        </w:rPr>
      </w:pPr>
      <w:r w:rsidRPr="004C2742">
        <w:rPr>
          <w:rFonts w:ascii="Tahoma" w:hAnsi="Tahoma" w:cs="Tahoma"/>
        </w:rPr>
        <w:t>Th</w:t>
      </w:r>
      <w:r w:rsidR="00403AF9">
        <w:rPr>
          <w:rFonts w:ascii="Tahoma" w:hAnsi="Tahoma" w:cs="Tahoma"/>
        </w:rPr>
        <w:t>is</w:t>
      </w:r>
      <w:r w:rsidRPr="004C2742">
        <w:rPr>
          <w:rFonts w:ascii="Tahoma" w:hAnsi="Tahoma" w:cs="Tahoma"/>
        </w:rPr>
        <w:t xml:space="preserve"> </w:t>
      </w:r>
      <w:r w:rsidR="00403AF9">
        <w:rPr>
          <w:rFonts w:ascii="Tahoma" w:hAnsi="Tahoma" w:cs="Tahoma"/>
        </w:rPr>
        <w:t xml:space="preserve">research </w:t>
      </w:r>
      <w:r w:rsidR="00B77490">
        <w:rPr>
          <w:rFonts w:ascii="Tahoma" w:hAnsi="Tahoma" w:cs="Tahoma"/>
        </w:rPr>
        <w:t>focused upon</w:t>
      </w:r>
      <w:r w:rsidR="003C6425">
        <w:rPr>
          <w:rFonts w:ascii="Tahoma" w:hAnsi="Tahoma" w:cs="Tahoma"/>
        </w:rPr>
        <w:t xml:space="preserve"> </w:t>
      </w:r>
      <w:r w:rsidR="00B77490">
        <w:rPr>
          <w:rFonts w:ascii="Tahoma" w:hAnsi="Tahoma" w:cs="Tahoma"/>
        </w:rPr>
        <w:t>the transition of sport and exercise students from a single</w:t>
      </w:r>
      <w:r w:rsidRPr="004C2742">
        <w:rPr>
          <w:rFonts w:ascii="Tahoma" w:hAnsi="Tahoma" w:cs="Tahoma"/>
        </w:rPr>
        <w:t xml:space="preserve"> U</w:t>
      </w:r>
      <w:r w:rsidR="00B77490">
        <w:rPr>
          <w:rFonts w:ascii="Tahoma" w:hAnsi="Tahoma" w:cs="Tahoma"/>
        </w:rPr>
        <w:t>.</w:t>
      </w:r>
      <w:r w:rsidRPr="004C2742">
        <w:rPr>
          <w:rFonts w:ascii="Tahoma" w:hAnsi="Tahoma" w:cs="Tahoma"/>
        </w:rPr>
        <w:t>K</w:t>
      </w:r>
      <w:r w:rsidR="00B77490">
        <w:rPr>
          <w:rFonts w:ascii="Tahoma" w:hAnsi="Tahoma" w:cs="Tahoma"/>
        </w:rPr>
        <w:t>.</w:t>
      </w:r>
      <w:r w:rsidR="003C6425">
        <w:rPr>
          <w:rFonts w:ascii="Tahoma" w:hAnsi="Tahoma" w:cs="Tahoma"/>
        </w:rPr>
        <w:t xml:space="preserve"> </w:t>
      </w:r>
      <w:r w:rsidR="00B77490">
        <w:rPr>
          <w:rFonts w:ascii="Tahoma" w:hAnsi="Tahoma" w:cs="Tahoma"/>
        </w:rPr>
        <w:t>educational institution</w:t>
      </w:r>
      <w:r w:rsidRPr="004C2742">
        <w:rPr>
          <w:rFonts w:ascii="Tahoma" w:hAnsi="Tahoma" w:cs="Tahoma"/>
        </w:rPr>
        <w:t xml:space="preserve">. </w:t>
      </w:r>
      <w:r w:rsidR="008B11E5">
        <w:rPr>
          <w:rFonts w:ascii="Tahoma" w:hAnsi="Tahoma" w:cs="Tahoma"/>
        </w:rPr>
        <w:t>It can be</w:t>
      </w:r>
      <w:r w:rsidR="008B11E5" w:rsidRPr="004E013A">
        <w:rPr>
          <w:rFonts w:ascii="Tahoma" w:hAnsi="Tahoma" w:cs="Tahoma"/>
        </w:rPr>
        <w:t xml:space="preserve"> argue</w:t>
      </w:r>
      <w:r w:rsidR="008B11E5">
        <w:rPr>
          <w:rFonts w:ascii="Tahoma" w:hAnsi="Tahoma" w:cs="Tahoma"/>
        </w:rPr>
        <w:t>d t</w:t>
      </w:r>
      <w:r w:rsidR="008B11E5" w:rsidRPr="004E013A">
        <w:rPr>
          <w:rFonts w:ascii="Tahoma" w:hAnsi="Tahoma" w:cs="Tahoma"/>
        </w:rPr>
        <w:t>hat such an approach</w:t>
      </w:r>
      <w:r w:rsidR="008B11E5">
        <w:rPr>
          <w:rFonts w:ascii="Tahoma" w:hAnsi="Tahoma" w:cs="Tahoma"/>
        </w:rPr>
        <w:t>,</w:t>
      </w:r>
      <w:r w:rsidR="008B11E5" w:rsidRPr="004E013A">
        <w:rPr>
          <w:rFonts w:ascii="Tahoma" w:hAnsi="Tahoma" w:cs="Tahoma"/>
        </w:rPr>
        <w:t xml:space="preserve"> using data f</w:t>
      </w:r>
      <w:r w:rsidR="00403AF9">
        <w:rPr>
          <w:rFonts w:ascii="Tahoma" w:hAnsi="Tahoma" w:cs="Tahoma"/>
        </w:rPr>
        <w:t>rom</w:t>
      </w:r>
      <w:r w:rsidR="008B11E5" w:rsidRPr="004E013A">
        <w:rPr>
          <w:rFonts w:ascii="Tahoma" w:hAnsi="Tahoma" w:cs="Tahoma"/>
        </w:rPr>
        <w:t xml:space="preserve"> a single institution</w:t>
      </w:r>
      <w:r w:rsidR="008B11E5">
        <w:rPr>
          <w:rFonts w:ascii="Tahoma" w:hAnsi="Tahoma" w:cs="Tahoma"/>
        </w:rPr>
        <w:t>,</w:t>
      </w:r>
      <w:r w:rsidR="008B11E5" w:rsidRPr="004E013A">
        <w:rPr>
          <w:rFonts w:ascii="Tahoma" w:hAnsi="Tahoma" w:cs="Tahoma"/>
        </w:rPr>
        <w:t xml:space="preserve"> has the merit of removing</w:t>
      </w:r>
      <w:r w:rsidR="003C6425">
        <w:rPr>
          <w:rFonts w:ascii="Tahoma" w:hAnsi="Tahoma" w:cs="Tahoma"/>
        </w:rPr>
        <w:t xml:space="preserve"> </w:t>
      </w:r>
      <w:r w:rsidR="008B11E5" w:rsidRPr="004E013A">
        <w:rPr>
          <w:rFonts w:ascii="Tahoma" w:hAnsi="Tahoma" w:cs="Tahoma"/>
        </w:rPr>
        <w:t xml:space="preserve">the effects of inter-institution heterogeneity. </w:t>
      </w:r>
      <w:r w:rsidR="00D24269">
        <w:rPr>
          <w:rFonts w:ascii="Tahoma" w:hAnsi="Tahoma" w:cs="Tahoma"/>
        </w:rPr>
        <w:t>While</w:t>
      </w:r>
      <w:r w:rsidR="00D24269" w:rsidRPr="00D24269">
        <w:rPr>
          <w:rFonts w:ascii="Tahoma" w:hAnsi="Tahoma" w:cs="Tahoma"/>
        </w:rPr>
        <w:t xml:space="preserve"> the analysis presented may offer important information, guidelines and recommendations on the transition of students that are likely to be reflected in most comparable U.K. institutions</w:t>
      </w:r>
      <w:r w:rsidR="008B11E5" w:rsidRPr="004E013A">
        <w:rPr>
          <w:rFonts w:ascii="Tahoma" w:hAnsi="Tahoma" w:cs="Tahoma"/>
        </w:rPr>
        <w:t>, it is acknowledged that some</w:t>
      </w:r>
      <w:r w:rsidR="003C6425">
        <w:rPr>
          <w:rFonts w:ascii="Tahoma" w:hAnsi="Tahoma" w:cs="Tahoma"/>
        </w:rPr>
        <w:t xml:space="preserve"> </w:t>
      </w:r>
      <w:r w:rsidR="008B11E5" w:rsidRPr="004E013A">
        <w:rPr>
          <w:rFonts w:ascii="Tahoma" w:hAnsi="Tahoma" w:cs="Tahoma"/>
        </w:rPr>
        <w:t>of the results presented may not be generalisable to the broader U</w:t>
      </w:r>
      <w:r w:rsidR="00D4392A">
        <w:rPr>
          <w:rFonts w:ascii="Tahoma" w:hAnsi="Tahoma" w:cs="Tahoma"/>
        </w:rPr>
        <w:t>.</w:t>
      </w:r>
      <w:r w:rsidR="008B11E5" w:rsidRPr="004E013A">
        <w:rPr>
          <w:rFonts w:ascii="Tahoma" w:hAnsi="Tahoma" w:cs="Tahoma"/>
        </w:rPr>
        <w:t>K</w:t>
      </w:r>
      <w:r w:rsidR="00D4392A">
        <w:rPr>
          <w:rFonts w:ascii="Tahoma" w:hAnsi="Tahoma" w:cs="Tahoma"/>
        </w:rPr>
        <w:t>.</w:t>
      </w:r>
      <w:r w:rsidR="008B11E5" w:rsidRPr="004E013A">
        <w:rPr>
          <w:rFonts w:ascii="Tahoma" w:hAnsi="Tahoma" w:cs="Tahoma"/>
        </w:rPr>
        <w:t xml:space="preserve"> student population.</w:t>
      </w:r>
      <w:r w:rsidR="003C6425">
        <w:rPr>
          <w:rFonts w:ascii="Tahoma" w:hAnsi="Tahoma" w:cs="Tahoma"/>
        </w:rPr>
        <w:t xml:space="preserve"> </w:t>
      </w:r>
      <w:r w:rsidRPr="004C2742">
        <w:rPr>
          <w:rFonts w:ascii="Tahoma" w:hAnsi="Tahoma" w:cs="Tahoma"/>
        </w:rPr>
        <w:t>It would be interesting to see if these results generalise to other universities</w:t>
      </w:r>
      <w:r w:rsidR="003C6425">
        <w:rPr>
          <w:rFonts w:ascii="Tahoma" w:hAnsi="Tahoma" w:cs="Tahoma"/>
        </w:rPr>
        <w:t xml:space="preserve"> </w:t>
      </w:r>
      <w:r w:rsidRPr="004C2742">
        <w:rPr>
          <w:rFonts w:ascii="Tahoma" w:hAnsi="Tahoma" w:cs="Tahoma"/>
        </w:rPr>
        <w:t>and for students on different degree programmes across the U</w:t>
      </w:r>
      <w:r w:rsidR="00CC3017">
        <w:rPr>
          <w:rFonts w:ascii="Tahoma" w:hAnsi="Tahoma" w:cs="Tahoma"/>
        </w:rPr>
        <w:t>.</w:t>
      </w:r>
      <w:r w:rsidRPr="004C2742">
        <w:rPr>
          <w:rFonts w:ascii="Tahoma" w:hAnsi="Tahoma" w:cs="Tahoma"/>
        </w:rPr>
        <w:t>K</w:t>
      </w:r>
      <w:r w:rsidR="00CC3017">
        <w:rPr>
          <w:rFonts w:ascii="Tahoma" w:hAnsi="Tahoma" w:cs="Tahoma"/>
        </w:rPr>
        <w:t>.</w:t>
      </w:r>
      <w:r w:rsidR="003C6425">
        <w:rPr>
          <w:rFonts w:ascii="Tahoma" w:hAnsi="Tahoma" w:cs="Tahoma"/>
        </w:rPr>
        <w:t xml:space="preserve"> </w:t>
      </w:r>
      <w:r w:rsidR="00CC3017">
        <w:rPr>
          <w:rFonts w:ascii="Tahoma" w:hAnsi="Tahoma" w:cs="Tahoma"/>
        </w:rPr>
        <w:t>HE</w:t>
      </w:r>
      <w:r w:rsidR="003C6425">
        <w:rPr>
          <w:rFonts w:ascii="Tahoma" w:hAnsi="Tahoma" w:cs="Tahoma"/>
        </w:rPr>
        <w:t xml:space="preserve"> </w:t>
      </w:r>
      <w:r w:rsidRPr="004C2742">
        <w:rPr>
          <w:rFonts w:ascii="Tahoma" w:hAnsi="Tahoma" w:cs="Tahoma"/>
        </w:rPr>
        <w:t>sector. It would also be interesting to see if these results extend to A-</w:t>
      </w:r>
      <w:r w:rsidR="00CC3017">
        <w:rPr>
          <w:rFonts w:ascii="Tahoma" w:hAnsi="Tahoma" w:cs="Tahoma"/>
        </w:rPr>
        <w:t>L</w:t>
      </w:r>
      <w:r w:rsidRPr="004C2742">
        <w:rPr>
          <w:rFonts w:ascii="Tahoma" w:hAnsi="Tahoma" w:cs="Tahoma"/>
        </w:rPr>
        <w:t>evel students contemplating</w:t>
      </w:r>
      <w:r w:rsidR="003C6425">
        <w:rPr>
          <w:rFonts w:ascii="Tahoma" w:hAnsi="Tahoma" w:cs="Tahoma"/>
        </w:rPr>
        <w:t xml:space="preserve"> </w:t>
      </w:r>
      <w:r w:rsidR="00CA16DD">
        <w:rPr>
          <w:rFonts w:ascii="Tahoma" w:hAnsi="Tahoma" w:cs="Tahoma"/>
        </w:rPr>
        <w:t>progressing to HE</w:t>
      </w:r>
      <w:r w:rsidR="00F205EE">
        <w:rPr>
          <w:rFonts w:ascii="Tahoma" w:hAnsi="Tahoma" w:cs="Tahoma"/>
        </w:rPr>
        <w:t>,</w:t>
      </w:r>
      <w:r w:rsidRPr="004C2742">
        <w:rPr>
          <w:rFonts w:ascii="Tahoma" w:hAnsi="Tahoma" w:cs="Tahoma"/>
        </w:rPr>
        <w:t xml:space="preserve"> and whether or not</w:t>
      </w:r>
      <w:r w:rsidR="003C6425">
        <w:rPr>
          <w:rFonts w:ascii="Tahoma" w:hAnsi="Tahoma" w:cs="Tahoma"/>
        </w:rPr>
        <w:t xml:space="preserve"> </w:t>
      </w:r>
      <w:r w:rsidR="00CC3017">
        <w:rPr>
          <w:rFonts w:ascii="Tahoma" w:hAnsi="Tahoma" w:cs="Tahoma"/>
        </w:rPr>
        <w:t>the</w:t>
      </w:r>
      <w:r w:rsidR="00CA16DD">
        <w:rPr>
          <w:rFonts w:ascii="Tahoma" w:hAnsi="Tahoma" w:cs="Tahoma"/>
        </w:rPr>
        <w:t>ir</w:t>
      </w:r>
      <w:r w:rsidR="00CC3017">
        <w:rPr>
          <w:rFonts w:ascii="Tahoma" w:hAnsi="Tahoma" w:cs="Tahoma"/>
        </w:rPr>
        <w:t xml:space="preserve"> thoughts, feelings and perceptions </w:t>
      </w:r>
      <w:r w:rsidR="001628CE">
        <w:rPr>
          <w:rFonts w:ascii="Tahoma" w:hAnsi="Tahoma" w:cs="Tahoma"/>
        </w:rPr>
        <w:t>correlate with this study’s findings</w:t>
      </w:r>
      <w:r w:rsidRPr="004C2742">
        <w:rPr>
          <w:rFonts w:ascii="Tahoma" w:hAnsi="Tahoma" w:cs="Tahoma"/>
        </w:rPr>
        <w:t>. These</w:t>
      </w:r>
      <w:r w:rsidR="0089061A">
        <w:rPr>
          <w:rFonts w:ascii="Tahoma" w:hAnsi="Tahoma" w:cs="Tahoma"/>
        </w:rPr>
        <w:t xml:space="preserve"> recommendations</w:t>
      </w:r>
      <w:r w:rsidRPr="004C2742">
        <w:rPr>
          <w:rFonts w:ascii="Tahoma" w:hAnsi="Tahoma" w:cs="Tahoma"/>
        </w:rPr>
        <w:t xml:space="preserve"> </w:t>
      </w:r>
      <w:r w:rsidR="00CA16DD">
        <w:rPr>
          <w:rFonts w:ascii="Tahoma" w:hAnsi="Tahoma" w:cs="Tahoma"/>
        </w:rPr>
        <w:t>will hop</w:t>
      </w:r>
      <w:r w:rsidR="008B11E5">
        <w:rPr>
          <w:rFonts w:ascii="Tahoma" w:hAnsi="Tahoma" w:cs="Tahoma"/>
        </w:rPr>
        <w:t>efully p</w:t>
      </w:r>
      <w:r w:rsidRPr="004C2742">
        <w:rPr>
          <w:rFonts w:ascii="Tahoma" w:hAnsi="Tahoma" w:cs="Tahoma"/>
        </w:rPr>
        <w:t>rovide fruitful avenues for</w:t>
      </w:r>
      <w:r w:rsidR="003C6425">
        <w:rPr>
          <w:rFonts w:ascii="Tahoma" w:hAnsi="Tahoma" w:cs="Tahoma"/>
        </w:rPr>
        <w:t xml:space="preserve"> </w:t>
      </w:r>
      <w:r w:rsidRPr="004C2742">
        <w:rPr>
          <w:rFonts w:ascii="Tahoma" w:hAnsi="Tahoma" w:cs="Tahoma"/>
        </w:rPr>
        <w:t xml:space="preserve">further research </w:t>
      </w:r>
      <w:r w:rsidR="008B11E5">
        <w:rPr>
          <w:rFonts w:ascii="Tahoma" w:hAnsi="Tahoma" w:cs="Tahoma"/>
        </w:rPr>
        <w:t>in the future.</w:t>
      </w:r>
    </w:p>
    <w:p w:rsidR="00A417C7" w:rsidRDefault="00A417C7" w:rsidP="00E24148">
      <w:pPr>
        <w:spacing w:line="360" w:lineRule="auto"/>
        <w:rPr>
          <w:rFonts w:ascii="Tahoma" w:hAnsi="Tahoma" w:cs="Tahoma"/>
        </w:rPr>
      </w:pPr>
    </w:p>
    <w:p w:rsidR="00A417C7" w:rsidRPr="00A417C7" w:rsidRDefault="00A417C7" w:rsidP="00A417C7">
      <w:pPr>
        <w:spacing w:line="360" w:lineRule="auto"/>
        <w:rPr>
          <w:rFonts w:ascii="Tahoma" w:hAnsi="Tahoma" w:cs="Tahoma"/>
          <w:b/>
          <w:sz w:val="24"/>
          <w:szCs w:val="24"/>
        </w:rPr>
      </w:pPr>
      <w:r w:rsidRPr="00A417C7">
        <w:rPr>
          <w:rFonts w:ascii="Tahoma" w:hAnsi="Tahoma" w:cs="Tahoma"/>
          <w:b/>
          <w:sz w:val="24"/>
          <w:szCs w:val="24"/>
        </w:rPr>
        <w:t>D</w:t>
      </w:r>
      <w:r>
        <w:rPr>
          <w:rFonts w:ascii="Tahoma" w:hAnsi="Tahoma" w:cs="Tahoma"/>
          <w:b/>
          <w:sz w:val="24"/>
          <w:szCs w:val="24"/>
        </w:rPr>
        <w:t>isclosure Statement</w:t>
      </w:r>
      <w:r w:rsidRPr="00A417C7">
        <w:rPr>
          <w:rFonts w:ascii="Tahoma" w:hAnsi="Tahoma" w:cs="Tahoma"/>
          <w:b/>
          <w:sz w:val="24"/>
          <w:szCs w:val="24"/>
        </w:rPr>
        <w:t xml:space="preserve"> </w:t>
      </w:r>
    </w:p>
    <w:p w:rsidR="00A417C7" w:rsidRPr="00A417C7" w:rsidRDefault="00A417C7" w:rsidP="00A417C7">
      <w:pPr>
        <w:spacing w:line="360" w:lineRule="auto"/>
        <w:rPr>
          <w:rFonts w:ascii="Tahoma" w:hAnsi="Tahoma" w:cs="Tahoma"/>
        </w:rPr>
      </w:pPr>
      <w:r>
        <w:rPr>
          <w:rFonts w:ascii="Tahoma" w:hAnsi="Tahoma" w:cs="Tahoma"/>
        </w:rPr>
        <w:t>The author declares that they have no conflicts of interest.</w:t>
      </w:r>
    </w:p>
    <w:p w:rsidR="00A8181C" w:rsidRDefault="00A8181C" w:rsidP="00A8181C">
      <w:pPr>
        <w:tabs>
          <w:tab w:val="num" w:pos="0"/>
        </w:tabs>
        <w:spacing w:line="360" w:lineRule="auto"/>
        <w:rPr>
          <w:rFonts w:ascii="Tahoma" w:hAnsi="Tahoma" w:cs="Tahoma"/>
        </w:rPr>
      </w:pPr>
    </w:p>
    <w:p w:rsidR="00D24269" w:rsidRDefault="00D24269" w:rsidP="000D5840">
      <w:pPr>
        <w:spacing w:line="360" w:lineRule="auto"/>
        <w:jc w:val="both"/>
        <w:rPr>
          <w:rFonts w:ascii="Tahoma" w:hAnsi="Tahoma" w:cs="Tahoma"/>
          <w:b/>
          <w:sz w:val="24"/>
          <w:szCs w:val="24"/>
        </w:rPr>
      </w:pPr>
    </w:p>
    <w:p w:rsidR="001C3D14" w:rsidRPr="000818F0" w:rsidRDefault="000818F0" w:rsidP="000D5840">
      <w:pPr>
        <w:spacing w:line="360" w:lineRule="auto"/>
        <w:jc w:val="both"/>
        <w:rPr>
          <w:rFonts w:ascii="Tahoma" w:hAnsi="Tahoma" w:cs="Tahoma"/>
          <w:b/>
          <w:sz w:val="24"/>
          <w:szCs w:val="24"/>
        </w:rPr>
      </w:pPr>
      <w:r>
        <w:rPr>
          <w:rFonts w:ascii="Tahoma" w:hAnsi="Tahoma" w:cs="Tahoma"/>
          <w:b/>
          <w:sz w:val="24"/>
          <w:szCs w:val="24"/>
        </w:rPr>
        <w:t>References</w:t>
      </w:r>
    </w:p>
    <w:p w:rsidR="001C3D14" w:rsidRPr="00AA7FF8" w:rsidRDefault="001C3D14" w:rsidP="00184B9D">
      <w:pPr>
        <w:spacing w:line="360" w:lineRule="auto"/>
        <w:ind w:firstLine="720"/>
        <w:rPr>
          <w:rFonts w:ascii="Tahoma" w:hAnsi="Tahoma" w:cs="Tahoma"/>
        </w:rPr>
      </w:pPr>
      <w:r w:rsidRPr="00AA7FF8">
        <w:rPr>
          <w:rFonts w:ascii="Tahoma" w:hAnsi="Tahoma" w:cs="Tahoma"/>
        </w:rPr>
        <w:t xml:space="preserve">Bachan, R., </w:t>
      </w:r>
      <w:r w:rsidR="00C04DBF">
        <w:rPr>
          <w:rFonts w:ascii="Tahoma" w:hAnsi="Tahoma" w:cs="Tahoma"/>
        </w:rPr>
        <w:t>(</w:t>
      </w:r>
      <w:r w:rsidRPr="00AA7FF8">
        <w:rPr>
          <w:rFonts w:ascii="Tahoma" w:hAnsi="Tahoma" w:cs="Tahoma"/>
        </w:rPr>
        <w:t>2014</w:t>
      </w:r>
      <w:r w:rsidR="00C04DBF">
        <w:rPr>
          <w:rFonts w:ascii="Tahoma" w:hAnsi="Tahoma" w:cs="Tahoma"/>
        </w:rPr>
        <w:t>)</w:t>
      </w:r>
      <w:r w:rsidRPr="00AA7FF8">
        <w:rPr>
          <w:rFonts w:ascii="Tahoma" w:hAnsi="Tahoma" w:cs="Tahoma"/>
        </w:rPr>
        <w:t>. Students' expectations of debt in UK higher education. </w:t>
      </w:r>
      <w:r w:rsidRPr="00AA7FF8">
        <w:rPr>
          <w:rFonts w:ascii="Tahoma" w:hAnsi="Tahoma" w:cs="Tahoma"/>
          <w:i/>
        </w:rPr>
        <w:t>Studies in Higher Education</w:t>
      </w:r>
      <w:r w:rsidRPr="00AA7FF8">
        <w:rPr>
          <w:rFonts w:ascii="Tahoma" w:hAnsi="Tahoma" w:cs="Tahoma"/>
        </w:rPr>
        <w:t>, 39(5), 848-873.</w:t>
      </w:r>
    </w:p>
    <w:p w:rsidR="001C3D14" w:rsidRPr="00AA7FF8" w:rsidRDefault="001C3D14" w:rsidP="00184B9D">
      <w:pPr>
        <w:spacing w:line="360" w:lineRule="auto"/>
        <w:ind w:firstLine="720"/>
        <w:rPr>
          <w:rFonts w:ascii="Tahoma" w:hAnsi="Tahoma" w:cs="Tahoma"/>
        </w:rPr>
      </w:pPr>
      <w:r w:rsidRPr="00AA7FF8">
        <w:rPr>
          <w:rFonts w:ascii="Tahoma" w:hAnsi="Tahoma" w:cs="Tahoma"/>
        </w:rPr>
        <w:t>Bandias, S., Fuller, D., &amp; Pfitzner, D.</w:t>
      </w:r>
      <w:r w:rsidR="00C04DBF">
        <w:rPr>
          <w:rFonts w:ascii="Tahoma" w:hAnsi="Tahoma" w:cs="Tahoma"/>
        </w:rPr>
        <w:t>,</w:t>
      </w:r>
      <w:r w:rsidRPr="00AA7FF8">
        <w:rPr>
          <w:rFonts w:ascii="Tahoma" w:hAnsi="Tahoma" w:cs="Tahoma"/>
        </w:rPr>
        <w:t xml:space="preserve"> (2011). Vocational and higher education in Australia: A need for closer collaboration. </w:t>
      </w:r>
      <w:r w:rsidRPr="00AA7FF8">
        <w:rPr>
          <w:rFonts w:ascii="Tahoma" w:hAnsi="Tahoma" w:cs="Tahoma"/>
          <w:i/>
        </w:rPr>
        <w:t>Journal of Higher Education Policy and Management</w:t>
      </w:r>
      <w:r w:rsidRPr="00AA7FF8">
        <w:rPr>
          <w:rFonts w:ascii="Tahoma" w:hAnsi="Tahoma" w:cs="Tahoma"/>
        </w:rPr>
        <w:t>, 33(6), 583-594.</w:t>
      </w:r>
    </w:p>
    <w:p w:rsidR="00F91EF8" w:rsidRDefault="00F91EF8" w:rsidP="00184B9D">
      <w:pPr>
        <w:spacing w:line="360" w:lineRule="auto"/>
        <w:ind w:firstLine="720"/>
        <w:rPr>
          <w:rFonts w:ascii="Tahoma" w:hAnsi="Tahoma" w:cs="Tahoma"/>
        </w:rPr>
      </w:pPr>
      <w:r w:rsidRPr="00F91EF8">
        <w:rPr>
          <w:rFonts w:ascii="Tahoma" w:hAnsi="Tahoma" w:cs="Tahoma"/>
        </w:rPr>
        <w:t>Bogdan, A.</w:t>
      </w:r>
      <w:r>
        <w:rPr>
          <w:rFonts w:ascii="Tahoma" w:hAnsi="Tahoma" w:cs="Tahoma"/>
        </w:rPr>
        <w:t>,</w:t>
      </w:r>
      <w:r w:rsidRPr="00F91EF8">
        <w:rPr>
          <w:rFonts w:ascii="Tahoma" w:hAnsi="Tahoma" w:cs="Tahoma"/>
        </w:rPr>
        <w:t xml:space="preserve"> </w:t>
      </w:r>
      <w:r>
        <w:rPr>
          <w:rFonts w:ascii="Tahoma" w:hAnsi="Tahoma" w:cs="Tahoma"/>
        </w:rPr>
        <w:t xml:space="preserve">&amp; </w:t>
      </w:r>
      <w:r w:rsidRPr="00F91EF8">
        <w:rPr>
          <w:rFonts w:ascii="Tahoma" w:hAnsi="Tahoma" w:cs="Tahoma"/>
        </w:rPr>
        <w:t xml:space="preserve">Elliott, I., </w:t>
      </w:r>
      <w:r>
        <w:rPr>
          <w:rFonts w:ascii="Tahoma" w:hAnsi="Tahoma" w:cs="Tahoma"/>
        </w:rPr>
        <w:t>(</w:t>
      </w:r>
      <w:r w:rsidRPr="00F91EF8">
        <w:rPr>
          <w:rFonts w:ascii="Tahoma" w:hAnsi="Tahoma" w:cs="Tahoma"/>
        </w:rPr>
        <w:t>2015</w:t>
      </w:r>
      <w:r>
        <w:rPr>
          <w:rFonts w:ascii="Tahoma" w:hAnsi="Tahoma" w:cs="Tahoma"/>
        </w:rPr>
        <w:t>)</w:t>
      </w:r>
      <w:r w:rsidRPr="00F91EF8">
        <w:rPr>
          <w:rFonts w:ascii="Tahoma" w:hAnsi="Tahoma" w:cs="Tahoma"/>
        </w:rPr>
        <w:t xml:space="preserve">. Student perspective on transitioning from FE to HE. </w:t>
      </w:r>
      <w:r w:rsidR="00993972">
        <w:rPr>
          <w:rFonts w:ascii="Tahoma" w:hAnsi="Tahoma" w:cs="Tahoma"/>
        </w:rPr>
        <w:t xml:space="preserve">Paper presented at the </w:t>
      </w:r>
      <w:r w:rsidRPr="00993972">
        <w:rPr>
          <w:rFonts w:ascii="Tahoma" w:hAnsi="Tahoma" w:cs="Tahoma"/>
        </w:rPr>
        <w:t>Enhancement and Innovation in Higher Education</w:t>
      </w:r>
      <w:r w:rsidR="00993972">
        <w:rPr>
          <w:rFonts w:ascii="Tahoma" w:hAnsi="Tahoma" w:cs="Tahoma"/>
        </w:rPr>
        <w:t xml:space="preserve"> conference</w:t>
      </w:r>
      <w:r w:rsidRPr="00993972">
        <w:rPr>
          <w:rFonts w:ascii="Tahoma" w:hAnsi="Tahoma" w:cs="Tahoma"/>
        </w:rPr>
        <w:t>,</w:t>
      </w:r>
      <w:r w:rsidRPr="00F91EF8">
        <w:rPr>
          <w:rFonts w:ascii="Tahoma" w:hAnsi="Tahoma" w:cs="Tahoma"/>
        </w:rPr>
        <w:t xml:space="preserve"> </w:t>
      </w:r>
      <w:r w:rsidR="00993972">
        <w:rPr>
          <w:rFonts w:ascii="Tahoma" w:hAnsi="Tahoma" w:cs="Tahoma"/>
        </w:rPr>
        <w:t xml:space="preserve">Glasgow, June </w:t>
      </w:r>
      <w:r w:rsidRPr="00F91EF8">
        <w:rPr>
          <w:rFonts w:ascii="Tahoma" w:hAnsi="Tahoma" w:cs="Tahoma"/>
        </w:rPr>
        <w:t>9-11.</w:t>
      </w:r>
    </w:p>
    <w:p w:rsidR="001C3D14" w:rsidRPr="00AA7FF8" w:rsidRDefault="001C3D14" w:rsidP="00184B9D">
      <w:pPr>
        <w:spacing w:line="360" w:lineRule="auto"/>
        <w:ind w:firstLine="720"/>
        <w:rPr>
          <w:rFonts w:ascii="Tahoma" w:hAnsi="Tahoma" w:cs="Tahoma"/>
        </w:rPr>
      </w:pPr>
      <w:r w:rsidRPr="00AA7FF8">
        <w:rPr>
          <w:rFonts w:ascii="Tahoma" w:hAnsi="Tahoma" w:cs="Tahoma"/>
        </w:rPr>
        <w:t>Briggs, A. R. J., Clark, J., &amp; Hall, I.</w:t>
      </w:r>
      <w:r w:rsidR="00C04DBF">
        <w:rPr>
          <w:rFonts w:ascii="Tahoma" w:hAnsi="Tahoma" w:cs="Tahoma"/>
        </w:rPr>
        <w:t>,</w:t>
      </w:r>
      <w:r w:rsidRPr="00AA7FF8">
        <w:rPr>
          <w:rFonts w:ascii="Tahoma" w:hAnsi="Tahoma" w:cs="Tahoma"/>
        </w:rPr>
        <w:t xml:space="preserve"> (2012). Building bridges: understanding student transition to university. </w:t>
      </w:r>
      <w:r w:rsidRPr="00AA7FF8">
        <w:rPr>
          <w:rFonts w:ascii="Tahoma" w:hAnsi="Tahoma" w:cs="Tahoma"/>
          <w:i/>
        </w:rPr>
        <w:t>Quality in Higher Education</w:t>
      </w:r>
      <w:r w:rsidRPr="00AA7FF8">
        <w:rPr>
          <w:rFonts w:ascii="Tahoma" w:hAnsi="Tahoma" w:cs="Tahoma"/>
        </w:rPr>
        <w:t>, 18(1), 3-21.</w:t>
      </w:r>
    </w:p>
    <w:p w:rsidR="001C3D14" w:rsidRPr="00AA7FF8" w:rsidRDefault="001C3D14" w:rsidP="00184B9D">
      <w:pPr>
        <w:spacing w:line="360" w:lineRule="auto"/>
        <w:ind w:firstLine="720"/>
        <w:rPr>
          <w:rFonts w:ascii="Tahoma" w:hAnsi="Tahoma" w:cs="Tahoma"/>
        </w:rPr>
      </w:pPr>
      <w:r w:rsidRPr="00AA7FF8">
        <w:rPr>
          <w:rFonts w:ascii="Tahoma" w:hAnsi="Tahoma" w:cs="Tahoma"/>
        </w:rPr>
        <w:t>Christensen, C. M., &amp; Eyring, H. J.</w:t>
      </w:r>
      <w:r w:rsidR="00C04DBF">
        <w:rPr>
          <w:rFonts w:ascii="Tahoma" w:hAnsi="Tahoma" w:cs="Tahoma"/>
        </w:rPr>
        <w:t>,</w:t>
      </w:r>
      <w:r w:rsidRPr="00AA7FF8">
        <w:rPr>
          <w:rFonts w:ascii="Tahoma" w:hAnsi="Tahoma" w:cs="Tahoma"/>
        </w:rPr>
        <w:t xml:space="preserve"> (2011). </w:t>
      </w:r>
      <w:r w:rsidRPr="00AA7FF8">
        <w:rPr>
          <w:rFonts w:ascii="Tahoma" w:hAnsi="Tahoma" w:cs="Tahoma"/>
          <w:i/>
        </w:rPr>
        <w:t>The innovative university: Changing the DNA of higher education from the inside out</w:t>
      </w:r>
      <w:r w:rsidRPr="00AA7FF8">
        <w:rPr>
          <w:rFonts w:ascii="Tahoma" w:hAnsi="Tahoma" w:cs="Tahoma"/>
        </w:rPr>
        <w:t>. Abingdon: Routledge.</w:t>
      </w:r>
    </w:p>
    <w:p w:rsidR="001C3D14" w:rsidRPr="00AA7FF8" w:rsidRDefault="001C3D14" w:rsidP="00184B9D">
      <w:pPr>
        <w:spacing w:line="360" w:lineRule="auto"/>
        <w:ind w:firstLine="720"/>
        <w:rPr>
          <w:rFonts w:ascii="Tahoma" w:hAnsi="Tahoma" w:cs="Tahoma"/>
        </w:rPr>
      </w:pPr>
      <w:r w:rsidRPr="00AA7FF8">
        <w:rPr>
          <w:rFonts w:ascii="Tahoma" w:hAnsi="Tahoma" w:cs="Tahoma"/>
        </w:rPr>
        <w:t xml:space="preserve">Collings, R., Swanson, V. </w:t>
      </w:r>
      <w:r w:rsidR="00C04DBF">
        <w:rPr>
          <w:rFonts w:ascii="Tahoma" w:hAnsi="Tahoma" w:cs="Tahoma"/>
        </w:rPr>
        <w:t>&amp;</w:t>
      </w:r>
      <w:r w:rsidRPr="00AA7FF8">
        <w:rPr>
          <w:rFonts w:ascii="Tahoma" w:hAnsi="Tahoma" w:cs="Tahoma"/>
        </w:rPr>
        <w:t xml:space="preserve"> Watkins, R., </w:t>
      </w:r>
      <w:r w:rsidR="00C04DBF">
        <w:rPr>
          <w:rFonts w:ascii="Tahoma" w:hAnsi="Tahoma" w:cs="Tahoma"/>
        </w:rPr>
        <w:t>(</w:t>
      </w:r>
      <w:r w:rsidRPr="00AA7FF8">
        <w:rPr>
          <w:rFonts w:ascii="Tahoma" w:hAnsi="Tahoma" w:cs="Tahoma"/>
        </w:rPr>
        <w:t>2014</w:t>
      </w:r>
      <w:r w:rsidR="00C04DBF">
        <w:rPr>
          <w:rFonts w:ascii="Tahoma" w:hAnsi="Tahoma" w:cs="Tahoma"/>
        </w:rPr>
        <w:t>)</w:t>
      </w:r>
      <w:r w:rsidRPr="00AA7FF8">
        <w:rPr>
          <w:rFonts w:ascii="Tahoma" w:hAnsi="Tahoma" w:cs="Tahoma"/>
        </w:rPr>
        <w:t xml:space="preserve">. The impact of peer mentoring on levels of student wellbeing, integration and retention: </w:t>
      </w:r>
      <w:r w:rsidR="00993972">
        <w:rPr>
          <w:rFonts w:ascii="Tahoma" w:hAnsi="Tahoma" w:cs="Tahoma"/>
        </w:rPr>
        <w:t>A</w:t>
      </w:r>
      <w:r w:rsidRPr="00AA7FF8">
        <w:rPr>
          <w:rFonts w:ascii="Tahoma" w:hAnsi="Tahoma" w:cs="Tahoma"/>
        </w:rPr>
        <w:t xml:space="preserve"> controlled comparative evaluation of residential students in UK higher education. </w:t>
      </w:r>
      <w:r w:rsidRPr="00AA7FF8">
        <w:rPr>
          <w:rFonts w:ascii="Tahoma" w:hAnsi="Tahoma" w:cs="Tahoma"/>
          <w:i/>
        </w:rPr>
        <w:t>Higher Education</w:t>
      </w:r>
      <w:r w:rsidRPr="00AA7FF8">
        <w:rPr>
          <w:rFonts w:ascii="Tahoma" w:hAnsi="Tahoma" w:cs="Tahoma"/>
        </w:rPr>
        <w:t>, 68(6), 927-942.</w:t>
      </w:r>
    </w:p>
    <w:p w:rsidR="001C3D14" w:rsidRPr="00AA7FF8" w:rsidRDefault="001C3D14" w:rsidP="00184B9D">
      <w:pPr>
        <w:spacing w:line="360" w:lineRule="auto"/>
        <w:ind w:firstLine="720"/>
        <w:rPr>
          <w:rFonts w:ascii="Tahoma" w:hAnsi="Tahoma" w:cs="Tahoma"/>
        </w:rPr>
      </w:pPr>
      <w:r w:rsidRPr="00AA7FF8">
        <w:rPr>
          <w:rFonts w:ascii="Tahoma" w:hAnsi="Tahoma" w:cs="Tahoma"/>
        </w:rPr>
        <w:t>Craig, J.</w:t>
      </w:r>
      <w:r w:rsidR="00C04DBF">
        <w:rPr>
          <w:rFonts w:ascii="Tahoma" w:hAnsi="Tahoma" w:cs="Tahoma"/>
        </w:rPr>
        <w:t>,</w:t>
      </w:r>
      <w:r w:rsidRPr="00AA7FF8">
        <w:rPr>
          <w:rFonts w:ascii="Tahoma" w:hAnsi="Tahoma" w:cs="Tahoma"/>
        </w:rPr>
        <w:t xml:space="preserve"> </w:t>
      </w:r>
      <w:r w:rsidR="00C04DBF">
        <w:rPr>
          <w:rFonts w:ascii="Tahoma" w:hAnsi="Tahoma" w:cs="Tahoma"/>
        </w:rPr>
        <w:t>(</w:t>
      </w:r>
      <w:r w:rsidRPr="00AA7FF8">
        <w:rPr>
          <w:rFonts w:ascii="Tahoma" w:hAnsi="Tahoma" w:cs="Tahoma"/>
        </w:rPr>
        <w:t>2009</w:t>
      </w:r>
      <w:r w:rsidR="00C04DBF">
        <w:rPr>
          <w:rFonts w:ascii="Tahoma" w:hAnsi="Tahoma" w:cs="Tahoma"/>
        </w:rPr>
        <w:t>)</w:t>
      </w:r>
      <w:r w:rsidRPr="00AA7FF8">
        <w:rPr>
          <w:rFonts w:ascii="Tahoma" w:hAnsi="Tahoma" w:cs="Tahoma"/>
        </w:rPr>
        <w:t xml:space="preserve">. New ways of being public: </w:t>
      </w:r>
      <w:r w:rsidR="00993972">
        <w:rPr>
          <w:rFonts w:ascii="Tahoma" w:hAnsi="Tahoma" w:cs="Tahoma"/>
        </w:rPr>
        <w:t>T</w:t>
      </w:r>
      <w:r w:rsidRPr="00AA7FF8">
        <w:rPr>
          <w:rFonts w:ascii="Tahoma" w:hAnsi="Tahoma" w:cs="Tahoma"/>
        </w:rPr>
        <w:t xml:space="preserve">he experience of foundation degrees. </w:t>
      </w:r>
      <w:r w:rsidRPr="00AA7FF8">
        <w:rPr>
          <w:rFonts w:ascii="Tahoma" w:hAnsi="Tahoma" w:cs="Tahoma"/>
          <w:i/>
        </w:rPr>
        <w:t>Journal of Further and Higher Education,</w:t>
      </w:r>
      <w:r w:rsidRPr="00AA7FF8">
        <w:rPr>
          <w:rFonts w:ascii="Tahoma" w:hAnsi="Tahoma" w:cs="Tahoma"/>
        </w:rPr>
        <w:t xml:space="preserve"> 33</w:t>
      </w:r>
      <w:r w:rsidR="00FA6F44">
        <w:rPr>
          <w:rFonts w:ascii="Tahoma" w:hAnsi="Tahoma" w:cs="Tahoma"/>
        </w:rPr>
        <w:t>(1),</w:t>
      </w:r>
      <w:r w:rsidRPr="00AA7FF8">
        <w:rPr>
          <w:rFonts w:ascii="Tahoma" w:hAnsi="Tahoma" w:cs="Tahoma"/>
        </w:rPr>
        <w:t xml:space="preserve"> 23–31.</w:t>
      </w:r>
    </w:p>
    <w:p w:rsidR="001C3D14" w:rsidRPr="00AA7FF8" w:rsidRDefault="001C3D14" w:rsidP="00184B9D">
      <w:pPr>
        <w:spacing w:line="360" w:lineRule="auto"/>
        <w:ind w:firstLine="720"/>
        <w:rPr>
          <w:rFonts w:ascii="Tahoma" w:hAnsi="Tahoma" w:cs="Tahoma"/>
        </w:rPr>
      </w:pPr>
      <w:r w:rsidRPr="00F91EF8">
        <w:rPr>
          <w:rFonts w:ascii="Tahoma" w:hAnsi="Tahoma" w:cs="Tahoma"/>
        </w:rPr>
        <w:t>Creswell, J. W.</w:t>
      </w:r>
      <w:r w:rsidR="00C04DBF" w:rsidRPr="00F91EF8">
        <w:rPr>
          <w:rFonts w:ascii="Tahoma" w:hAnsi="Tahoma" w:cs="Tahoma"/>
        </w:rPr>
        <w:t>,</w:t>
      </w:r>
      <w:r w:rsidRPr="00F91EF8">
        <w:rPr>
          <w:rFonts w:ascii="Tahoma" w:hAnsi="Tahoma" w:cs="Tahoma"/>
        </w:rPr>
        <w:t xml:space="preserve"> (1998). </w:t>
      </w:r>
      <w:r w:rsidRPr="00F91EF8">
        <w:rPr>
          <w:rFonts w:ascii="Tahoma" w:hAnsi="Tahoma" w:cs="Tahoma"/>
          <w:i/>
        </w:rPr>
        <w:t>Qualita</w:t>
      </w:r>
      <w:r w:rsidR="002A0EAE">
        <w:rPr>
          <w:rFonts w:ascii="Tahoma" w:hAnsi="Tahoma" w:cs="Tahoma"/>
          <w:i/>
        </w:rPr>
        <w:t>tive i</w:t>
      </w:r>
      <w:r w:rsidRPr="00F91EF8">
        <w:rPr>
          <w:rFonts w:ascii="Tahoma" w:hAnsi="Tahoma" w:cs="Tahoma"/>
          <w:i/>
        </w:rPr>
        <w:t xml:space="preserve">nquiry and </w:t>
      </w:r>
      <w:r w:rsidR="002A0EAE">
        <w:rPr>
          <w:rFonts w:ascii="Tahoma" w:hAnsi="Tahoma" w:cs="Tahoma"/>
          <w:i/>
        </w:rPr>
        <w:t>r</w:t>
      </w:r>
      <w:r w:rsidRPr="00F91EF8">
        <w:rPr>
          <w:rFonts w:ascii="Tahoma" w:hAnsi="Tahoma" w:cs="Tahoma"/>
          <w:i/>
        </w:rPr>
        <w:t xml:space="preserve">esearch </w:t>
      </w:r>
      <w:r w:rsidR="002A0EAE">
        <w:rPr>
          <w:rFonts w:ascii="Tahoma" w:hAnsi="Tahoma" w:cs="Tahoma"/>
          <w:i/>
        </w:rPr>
        <w:t>d</w:t>
      </w:r>
      <w:r w:rsidRPr="00F91EF8">
        <w:rPr>
          <w:rFonts w:ascii="Tahoma" w:hAnsi="Tahoma" w:cs="Tahoma"/>
          <w:i/>
        </w:rPr>
        <w:t>esign</w:t>
      </w:r>
      <w:r w:rsidR="002A0EAE">
        <w:rPr>
          <w:rFonts w:ascii="Tahoma" w:hAnsi="Tahoma" w:cs="Tahoma"/>
          <w:i/>
        </w:rPr>
        <w:t xml:space="preserve">: </w:t>
      </w:r>
      <w:r w:rsidR="002A0EAE" w:rsidRPr="002A0EAE">
        <w:rPr>
          <w:rFonts w:ascii="Tahoma" w:hAnsi="Tahoma" w:cs="Tahoma"/>
          <w:i/>
        </w:rPr>
        <w:t>Choosing among five approaches.</w:t>
      </w:r>
      <w:r w:rsidR="002A0EAE" w:rsidRPr="002A0EAE">
        <w:rPr>
          <w:rFonts w:ascii="Tahoma" w:hAnsi="Tahoma" w:cs="Tahoma"/>
        </w:rPr>
        <w:t xml:space="preserve"> Thousand Oaks, CA: Sage.</w:t>
      </w:r>
    </w:p>
    <w:p w:rsidR="001C3D14" w:rsidRPr="00A44531" w:rsidRDefault="001C3D14" w:rsidP="00184B9D">
      <w:pPr>
        <w:spacing w:line="360" w:lineRule="auto"/>
        <w:ind w:firstLine="720"/>
        <w:rPr>
          <w:rFonts w:ascii="Tahoma" w:hAnsi="Tahoma" w:cs="Tahoma"/>
        </w:rPr>
      </w:pPr>
      <w:r w:rsidRPr="00A44531">
        <w:rPr>
          <w:rFonts w:ascii="Tahoma" w:hAnsi="Tahoma" w:cs="Tahoma"/>
        </w:rPr>
        <w:t>DfEE</w:t>
      </w:r>
      <w:r w:rsidR="00F91EF8" w:rsidRPr="00A44531">
        <w:rPr>
          <w:rFonts w:ascii="Tahoma" w:hAnsi="Tahoma" w:cs="Tahoma"/>
        </w:rPr>
        <w:t>.</w:t>
      </w:r>
      <w:r w:rsidR="00C04DBF" w:rsidRPr="00A44531">
        <w:rPr>
          <w:rFonts w:ascii="Tahoma" w:hAnsi="Tahoma" w:cs="Tahoma"/>
        </w:rPr>
        <w:t>,</w:t>
      </w:r>
      <w:r w:rsidRPr="00A44531">
        <w:rPr>
          <w:rFonts w:ascii="Tahoma" w:hAnsi="Tahoma" w:cs="Tahoma"/>
        </w:rPr>
        <w:t xml:space="preserve"> </w:t>
      </w:r>
      <w:r w:rsidR="00C04DBF" w:rsidRPr="00A44531">
        <w:rPr>
          <w:rFonts w:ascii="Tahoma" w:hAnsi="Tahoma" w:cs="Tahoma"/>
        </w:rPr>
        <w:t>(</w:t>
      </w:r>
      <w:r w:rsidRPr="00A44531">
        <w:rPr>
          <w:rFonts w:ascii="Tahoma" w:hAnsi="Tahoma" w:cs="Tahoma"/>
        </w:rPr>
        <w:t>2000</w:t>
      </w:r>
      <w:r w:rsidR="00C04DBF" w:rsidRPr="00A44531">
        <w:rPr>
          <w:rFonts w:ascii="Tahoma" w:hAnsi="Tahoma" w:cs="Tahoma"/>
        </w:rPr>
        <w:t>)</w:t>
      </w:r>
      <w:r w:rsidRPr="00A44531">
        <w:rPr>
          <w:rFonts w:ascii="Tahoma" w:hAnsi="Tahoma" w:cs="Tahoma"/>
        </w:rPr>
        <w:t xml:space="preserve">. Foundation degrees: </w:t>
      </w:r>
      <w:r w:rsidR="002A0EAE">
        <w:rPr>
          <w:rFonts w:ascii="Tahoma" w:hAnsi="Tahoma" w:cs="Tahoma"/>
        </w:rPr>
        <w:t>A</w:t>
      </w:r>
      <w:r w:rsidRPr="00A44531">
        <w:rPr>
          <w:rFonts w:ascii="Tahoma" w:hAnsi="Tahoma" w:cs="Tahoma"/>
        </w:rPr>
        <w:t xml:space="preserve"> consultation document</w:t>
      </w:r>
      <w:r w:rsidR="00F91EF8" w:rsidRPr="00A44531">
        <w:rPr>
          <w:rFonts w:ascii="Tahoma" w:hAnsi="Tahoma" w:cs="Tahoma"/>
        </w:rPr>
        <w:t xml:space="preserve"> [online]</w:t>
      </w:r>
      <w:r w:rsidRPr="00A44531">
        <w:rPr>
          <w:rFonts w:ascii="Tahoma" w:hAnsi="Tahoma" w:cs="Tahoma"/>
        </w:rPr>
        <w:t>.</w:t>
      </w:r>
      <w:r w:rsidR="00F91EF8" w:rsidRPr="00A44531">
        <w:rPr>
          <w:rFonts w:ascii="Tahoma" w:hAnsi="Tahoma" w:cs="Tahoma"/>
        </w:rPr>
        <w:t xml:space="preserve"> [</w:t>
      </w:r>
      <w:r w:rsidR="00A44531" w:rsidRPr="00A44531">
        <w:rPr>
          <w:rFonts w:ascii="Tahoma" w:hAnsi="Tahoma" w:cs="Tahoma"/>
        </w:rPr>
        <w:t>Viewed 14 October 2018]. Available from:</w:t>
      </w:r>
      <w:r w:rsidRPr="00A44531">
        <w:rPr>
          <w:rFonts w:ascii="Tahoma" w:hAnsi="Tahoma" w:cs="Tahoma"/>
        </w:rPr>
        <w:t xml:space="preserve"> </w:t>
      </w:r>
      <w:hyperlink r:id="rId9" w:history="1">
        <w:r w:rsidRPr="00A44531">
          <w:rPr>
            <w:rStyle w:val="Hyperlink"/>
            <w:rFonts w:ascii="Tahoma" w:hAnsi="Tahoma" w:cs="Tahoma"/>
          </w:rPr>
          <w:t>http://www.df</w:t>
        </w:r>
        <w:r w:rsidRPr="00A44531">
          <w:rPr>
            <w:rStyle w:val="Hyperlink"/>
            <w:rFonts w:ascii="Tahoma" w:hAnsi="Tahoma" w:cs="Tahoma"/>
          </w:rPr>
          <w:t>e</w:t>
        </w:r>
        <w:r w:rsidRPr="00A44531">
          <w:rPr>
            <w:rStyle w:val="Hyperlink"/>
            <w:rFonts w:ascii="Tahoma" w:hAnsi="Tahoma" w:cs="Tahoma"/>
          </w:rPr>
          <w:t>e/</w:t>
        </w:r>
        <w:r w:rsidRPr="00A44531">
          <w:rPr>
            <w:rStyle w:val="Hyperlink"/>
            <w:rFonts w:ascii="Tahoma" w:hAnsi="Tahoma" w:cs="Tahoma"/>
          </w:rPr>
          <w:t>h</w:t>
        </w:r>
        <w:r w:rsidRPr="00A44531">
          <w:rPr>
            <w:rStyle w:val="Hyperlink"/>
            <w:rFonts w:ascii="Tahoma" w:hAnsi="Tahoma" w:cs="Tahoma"/>
          </w:rPr>
          <w:t>eqe/fdcd.htm</w:t>
        </w:r>
      </w:hyperlink>
      <w:r w:rsidRPr="00A44531">
        <w:rPr>
          <w:rFonts w:ascii="Tahoma" w:hAnsi="Tahoma" w:cs="Tahoma"/>
        </w:rPr>
        <w:t>.</w:t>
      </w:r>
    </w:p>
    <w:p w:rsidR="001C3D14" w:rsidRPr="00A44531" w:rsidRDefault="001C3D14" w:rsidP="00184B9D">
      <w:pPr>
        <w:spacing w:line="360" w:lineRule="auto"/>
        <w:ind w:firstLine="720"/>
        <w:rPr>
          <w:rFonts w:ascii="Tahoma" w:hAnsi="Tahoma" w:cs="Tahoma"/>
        </w:rPr>
      </w:pPr>
      <w:r w:rsidRPr="00A44531">
        <w:rPr>
          <w:rFonts w:ascii="Tahoma" w:hAnsi="Tahoma" w:cs="Tahoma"/>
        </w:rPr>
        <w:t>DfES</w:t>
      </w:r>
      <w:r w:rsidR="00F91EF8" w:rsidRPr="00A44531">
        <w:rPr>
          <w:rFonts w:ascii="Tahoma" w:hAnsi="Tahoma" w:cs="Tahoma"/>
        </w:rPr>
        <w:t>.,</w:t>
      </w:r>
      <w:r w:rsidRPr="00A44531">
        <w:rPr>
          <w:rFonts w:ascii="Tahoma" w:hAnsi="Tahoma" w:cs="Tahoma"/>
        </w:rPr>
        <w:t xml:space="preserve"> (2004)</w:t>
      </w:r>
      <w:r w:rsidR="00F91EF8" w:rsidRPr="00A44531">
        <w:rPr>
          <w:rFonts w:ascii="Tahoma" w:hAnsi="Tahoma" w:cs="Tahoma"/>
        </w:rPr>
        <w:t>.</w:t>
      </w:r>
      <w:r w:rsidRPr="00A44531">
        <w:rPr>
          <w:rFonts w:ascii="Tahoma" w:hAnsi="Tahoma" w:cs="Tahoma"/>
        </w:rPr>
        <w:t xml:space="preserve"> </w:t>
      </w:r>
      <w:r w:rsidRPr="00CD5D9A">
        <w:rPr>
          <w:rFonts w:ascii="Tahoma" w:hAnsi="Tahoma" w:cs="Tahoma"/>
          <w:i/>
        </w:rPr>
        <w:t>Foundation Degree Task Force Report to Ministers</w:t>
      </w:r>
      <w:r w:rsidR="00CD5D9A">
        <w:rPr>
          <w:rFonts w:ascii="Tahoma" w:hAnsi="Tahoma" w:cs="Tahoma"/>
        </w:rPr>
        <w:t>.</w:t>
      </w:r>
      <w:r w:rsidRPr="00A44531">
        <w:rPr>
          <w:rFonts w:ascii="Tahoma" w:hAnsi="Tahoma" w:cs="Tahoma"/>
        </w:rPr>
        <w:t xml:space="preserve"> </w:t>
      </w:r>
      <w:r w:rsidR="00CD5D9A">
        <w:rPr>
          <w:rFonts w:ascii="Tahoma" w:hAnsi="Tahoma" w:cs="Tahoma"/>
        </w:rPr>
        <w:t xml:space="preserve">Nottigham: </w:t>
      </w:r>
      <w:r w:rsidRPr="00CD5D9A">
        <w:rPr>
          <w:rFonts w:ascii="Tahoma" w:hAnsi="Tahoma" w:cs="Tahoma"/>
        </w:rPr>
        <w:t>Department for Education and Skills</w:t>
      </w:r>
      <w:r w:rsidR="00CD5D9A">
        <w:rPr>
          <w:rFonts w:ascii="Tahoma" w:hAnsi="Tahoma" w:cs="Tahoma"/>
        </w:rPr>
        <w:t xml:space="preserve"> Publications</w:t>
      </w:r>
      <w:r w:rsidR="003F5AFC">
        <w:rPr>
          <w:rFonts w:ascii="Tahoma" w:hAnsi="Tahoma" w:cs="Tahoma"/>
        </w:rPr>
        <w:t>.</w:t>
      </w:r>
    </w:p>
    <w:p w:rsidR="001C3D14" w:rsidRPr="00AA7FF8" w:rsidRDefault="001C3D14" w:rsidP="00184B9D">
      <w:pPr>
        <w:spacing w:line="360" w:lineRule="auto"/>
        <w:ind w:firstLine="720"/>
        <w:rPr>
          <w:rFonts w:ascii="Tahoma" w:hAnsi="Tahoma" w:cs="Tahoma"/>
        </w:rPr>
      </w:pPr>
      <w:r w:rsidRPr="003F5AFC">
        <w:rPr>
          <w:rFonts w:ascii="Tahoma" w:hAnsi="Tahoma" w:cs="Tahoma"/>
        </w:rPr>
        <w:t>DiCicco‐Bloom, B., &amp; Crabtree, B. F.</w:t>
      </w:r>
      <w:r w:rsidR="00C04DBF" w:rsidRPr="003F5AFC">
        <w:rPr>
          <w:rFonts w:ascii="Tahoma" w:hAnsi="Tahoma" w:cs="Tahoma"/>
        </w:rPr>
        <w:t>,</w:t>
      </w:r>
      <w:r w:rsidRPr="003F5AFC">
        <w:rPr>
          <w:rFonts w:ascii="Tahoma" w:hAnsi="Tahoma" w:cs="Tahoma"/>
        </w:rPr>
        <w:t xml:space="preserve"> (2006). The Qualitative Research Interview. </w:t>
      </w:r>
      <w:r w:rsidRPr="003F5AFC">
        <w:rPr>
          <w:rFonts w:ascii="Tahoma" w:hAnsi="Tahoma" w:cs="Tahoma"/>
          <w:i/>
        </w:rPr>
        <w:t>Medical Education</w:t>
      </w:r>
      <w:r w:rsidRPr="003F5AFC">
        <w:rPr>
          <w:rFonts w:ascii="Tahoma" w:hAnsi="Tahoma" w:cs="Tahoma"/>
        </w:rPr>
        <w:t>, 40(4), 314-321.</w:t>
      </w:r>
    </w:p>
    <w:p w:rsidR="001C3D14" w:rsidRPr="00AA7FF8" w:rsidRDefault="001C3D14" w:rsidP="00184B9D">
      <w:pPr>
        <w:spacing w:line="360" w:lineRule="auto"/>
        <w:ind w:firstLine="720"/>
        <w:rPr>
          <w:rFonts w:ascii="Tahoma" w:hAnsi="Tahoma" w:cs="Tahoma"/>
        </w:rPr>
      </w:pPr>
      <w:r w:rsidRPr="00AA7FF8">
        <w:rPr>
          <w:rFonts w:ascii="Tahoma" w:hAnsi="Tahoma" w:cs="Tahoma"/>
        </w:rPr>
        <w:t>Edmond, N., Hillier, Y.</w:t>
      </w:r>
      <w:r w:rsidR="00CD5D9A">
        <w:rPr>
          <w:rFonts w:ascii="Tahoma" w:hAnsi="Tahoma" w:cs="Tahoma"/>
        </w:rPr>
        <w:t>,</w:t>
      </w:r>
      <w:r w:rsidRPr="00AA7FF8">
        <w:rPr>
          <w:rFonts w:ascii="Tahoma" w:hAnsi="Tahoma" w:cs="Tahoma"/>
        </w:rPr>
        <w:t xml:space="preserve"> </w:t>
      </w:r>
      <w:r w:rsidR="00A44531">
        <w:rPr>
          <w:rFonts w:ascii="Tahoma" w:hAnsi="Tahoma" w:cs="Tahoma"/>
        </w:rPr>
        <w:t>&amp;</w:t>
      </w:r>
      <w:r w:rsidRPr="00AA7FF8">
        <w:rPr>
          <w:rFonts w:ascii="Tahoma" w:hAnsi="Tahoma" w:cs="Tahoma"/>
        </w:rPr>
        <w:t xml:space="preserve"> Price, M., </w:t>
      </w:r>
      <w:r w:rsidR="00C04DBF">
        <w:rPr>
          <w:rFonts w:ascii="Tahoma" w:hAnsi="Tahoma" w:cs="Tahoma"/>
        </w:rPr>
        <w:t>(</w:t>
      </w:r>
      <w:r w:rsidRPr="00AA7FF8">
        <w:rPr>
          <w:rFonts w:ascii="Tahoma" w:hAnsi="Tahoma" w:cs="Tahoma"/>
        </w:rPr>
        <w:t>2007</w:t>
      </w:r>
      <w:r w:rsidR="00C04DBF">
        <w:rPr>
          <w:rFonts w:ascii="Tahoma" w:hAnsi="Tahoma" w:cs="Tahoma"/>
        </w:rPr>
        <w:t>)</w:t>
      </w:r>
      <w:r w:rsidRPr="00AA7FF8">
        <w:rPr>
          <w:rFonts w:ascii="Tahoma" w:hAnsi="Tahoma" w:cs="Tahoma"/>
        </w:rPr>
        <w:t>. Between a rock and a hard place: The role of HE and foundation degrees in workforce development. </w:t>
      </w:r>
      <w:r w:rsidRPr="00AA7FF8">
        <w:rPr>
          <w:rFonts w:ascii="Tahoma" w:hAnsi="Tahoma" w:cs="Tahoma"/>
          <w:i/>
        </w:rPr>
        <w:t>Education + Training</w:t>
      </w:r>
      <w:r w:rsidRPr="00AA7FF8">
        <w:rPr>
          <w:rFonts w:ascii="Tahoma" w:hAnsi="Tahoma" w:cs="Tahoma"/>
        </w:rPr>
        <w:t>, 49(3), 170-181.</w:t>
      </w:r>
    </w:p>
    <w:p w:rsidR="001C3D14" w:rsidRPr="00AA7FF8" w:rsidRDefault="001C3D14" w:rsidP="00184B9D">
      <w:pPr>
        <w:spacing w:line="360" w:lineRule="auto"/>
        <w:ind w:firstLine="720"/>
        <w:rPr>
          <w:rFonts w:ascii="Tahoma" w:hAnsi="Tahoma" w:cs="Tahoma"/>
        </w:rPr>
      </w:pPr>
      <w:r w:rsidRPr="00AA7FF8">
        <w:rPr>
          <w:rFonts w:ascii="Tahoma" w:hAnsi="Tahoma" w:cs="Tahoma"/>
        </w:rPr>
        <w:t>Flores, M.</w:t>
      </w:r>
      <w:r w:rsidR="00C04DBF">
        <w:rPr>
          <w:rFonts w:ascii="Tahoma" w:hAnsi="Tahoma" w:cs="Tahoma"/>
        </w:rPr>
        <w:t xml:space="preserve"> </w:t>
      </w:r>
      <w:r w:rsidRPr="00AA7FF8">
        <w:rPr>
          <w:rFonts w:ascii="Tahoma" w:hAnsi="Tahoma" w:cs="Tahoma"/>
        </w:rPr>
        <w:t>A., Veiga</w:t>
      </w:r>
      <w:r w:rsidR="00C04DBF">
        <w:rPr>
          <w:rFonts w:ascii="Tahoma" w:hAnsi="Tahoma" w:cs="Tahoma"/>
        </w:rPr>
        <w:t>-</w:t>
      </w:r>
      <w:r w:rsidRPr="00AA7FF8">
        <w:rPr>
          <w:rFonts w:ascii="Tahoma" w:hAnsi="Tahoma" w:cs="Tahoma"/>
        </w:rPr>
        <w:t>Simão, A.</w:t>
      </w:r>
      <w:r w:rsidR="00A44531">
        <w:rPr>
          <w:rFonts w:ascii="Tahoma" w:hAnsi="Tahoma" w:cs="Tahoma"/>
        </w:rPr>
        <w:t xml:space="preserve"> </w:t>
      </w:r>
      <w:r w:rsidRPr="00AA7FF8">
        <w:rPr>
          <w:rFonts w:ascii="Tahoma" w:hAnsi="Tahoma" w:cs="Tahoma"/>
        </w:rPr>
        <w:t>M., Barros, A.</w:t>
      </w:r>
      <w:r w:rsidR="003F5AFC">
        <w:rPr>
          <w:rFonts w:ascii="Tahoma" w:hAnsi="Tahoma" w:cs="Tahoma"/>
        </w:rPr>
        <w:t>, &amp;</w:t>
      </w:r>
      <w:r w:rsidRPr="00AA7FF8">
        <w:rPr>
          <w:rFonts w:ascii="Tahoma" w:hAnsi="Tahoma" w:cs="Tahoma"/>
        </w:rPr>
        <w:t xml:space="preserve"> Pereira, D., </w:t>
      </w:r>
      <w:r w:rsidR="00C04DBF">
        <w:rPr>
          <w:rFonts w:ascii="Tahoma" w:hAnsi="Tahoma" w:cs="Tahoma"/>
        </w:rPr>
        <w:t>(</w:t>
      </w:r>
      <w:r w:rsidRPr="00AA7FF8">
        <w:rPr>
          <w:rFonts w:ascii="Tahoma" w:hAnsi="Tahoma" w:cs="Tahoma"/>
        </w:rPr>
        <w:t>2015</w:t>
      </w:r>
      <w:r w:rsidR="00C04DBF">
        <w:rPr>
          <w:rFonts w:ascii="Tahoma" w:hAnsi="Tahoma" w:cs="Tahoma"/>
        </w:rPr>
        <w:t>)</w:t>
      </w:r>
      <w:r w:rsidRPr="00AA7FF8">
        <w:rPr>
          <w:rFonts w:ascii="Tahoma" w:hAnsi="Tahoma" w:cs="Tahoma"/>
        </w:rPr>
        <w:t xml:space="preserve">. Perceptions of effectiveness, fairness and feedback of assessment methods: </w:t>
      </w:r>
      <w:r w:rsidR="003F5AFC">
        <w:rPr>
          <w:rFonts w:ascii="Tahoma" w:hAnsi="Tahoma" w:cs="Tahoma"/>
        </w:rPr>
        <w:t>A</w:t>
      </w:r>
      <w:r w:rsidRPr="00AA7FF8">
        <w:rPr>
          <w:rFonts w:ascii="Tahoma" w:hAnsi="Tahoma" w:cs="Tahoma"/>
        </w:rPr>
        <w:t xml:space="preserve"> study in higher education. </w:t>
      </w:r>
      <w:r w:rsidRPr="00AA7FF8">
        <w:rPr>
          <w:rFonts w:ascii="Tahoma" w:hAnsi="Tahoma" w:cs="Tahoma"/>
          <w:i/>
        </w:rPr>
        <w:t>Studies in Higher Education</w:t>
      </w:r>
      <w:r w:rsidRPr="00AA7FF8">
        <w:rPr>
          <w:rFonts w:ascii="Tahoma" w:hAnsi="Tahoma" w:cs="Tahoma"/>
        </w:rPr>
        <w:t>, 40(9), 1523-1534.</w:t>
      </w:r>
    </w:p>
    <w:p w:rsidR="001C3D14" w:rsidRPr="00AA7FF8" w:rsidRDefault="001C3D14" w:rsidP="00184B9D">
      <w:pPr>
        <w:spacing w:line="360" w:lineRule="auto"/>
        <w:ind w:firstLine="720"/>
        <w:rPr>
          <w:rFonts w:ascii="Tahoma" w:hAnsi="Tahoma" w:cs="Tahoma"/>
        </w:rPr>
      </w:pPr>
      <w:r w:rsidRPr="00A44531">
        <w:rPr>
          <w:rFonts w:ascii="Tahoma" w:hAnsi="Tahoma" w:cs="Tahoma"/>
        </w:rPr>
        <w:t>Giles, L.</w:t>
      </w:r>
      <w:r w:rsidR="00FA6F44" w:rsidRPr="00A44531">
        <w:rPr>
          <w:rFonts w:ascii="Tahoma" w:hAnsi="Tahoma" w:cs="Tahoma"/>
        </w:rPr>
        <w:t>,</w:t>
      </w:r>
      <w:r w:rsidRPr="00A44531">
        <w:rPr>
          <w:rFonts w:ascii="Tahoma" w:hAnsi="Tahoma" w:cs="Tahoma"/>
        </w:rPr>
        <w:t xml:space="preserve"> (2007). Communicating with students about their workload</w:t>
      </w:r>
      <w:r w:rsidR="00A44531" w:rsidRPr="00A44531">
        <w:rPr>
          <w:rFonts w:ascii="Tahoma" w:hAnsi="Tahoma" w:cs="Tahoma"/>
        </w:rPr>
        <w:t xml:space="preserve"> [online]</w:t>
      </w:r>
      <w:r w:rsidRPr="00A44531">
        <w:rPr>
          <w:rFonts w:ascii="Tahoma" w:hAnsi="Tahoma" w:cs="Tahoma"/>
        </w:rPr>
        <w:t>. New Zealand Communication Association, Eastern Institute of Technology.</w:t>
      </w:r>
      <w:r w:rsidR="00A44531" w:rsidRPr="00A44531">
        <w:rPr>
          <w:rFonts w:ascii="Tahoma" w:hAnsi="Tahoma" w:cs="Tahoma"/>
        </w:rPr>
        <w:t xml:space="preserve"> [Viewed 14 October 2018].</w:t>
      </w:r>
      <w:r w:rsidRPr="00A44531">
        <w:rPr>
          <w:rFonts w:ascii="Tahoma" w:hAnsi="Tahoma" w:cs="Tahoma"/>
        </w:rPr>
        <w:t xml:space="preserve"> </w:t>
      </w:r>
      <w:r w:rsidR="00A44531" w:rsidRPr="00A44531">
        <w:rPr>
          <w:rFonts w:ascii="Tahoma" w:hAnsi="Tahoma" w:cs="Tahoma"/>
        </w:rPr>
        <w:t xml:space="preserve">Available </w:t>
      </w:r>
      <w:r w:rsidRPr="00A44531">
        <w:rPr>
          <w:rFonts w:ascii="Tahoma" w:hAnsi="Tahoma" w:cs="Tahoma"/>
        </w:rPr>
        <w:t>from</w:t>
      </w:r>
      <w:r w:rsidR="00A44531" w:rsidRPr="00A44531">
        <w:rPr>
          <w:rFonts w:ascii="Tahoma" w:hAnsi="Tahoma" w:cs="Tahoma"/>
        </w:rPr>
        <w:t xml:space="preserve"> </w:t>
      </w:r>
      <w:r w:rsidR="00C04DBF" w:rsidRPr="00A44531">
        <w:rPr>
          <w:rFonts w:ascii="Tahoma" w:hAnsi="Tahoma" w:cs="Tahoma"/>
        </w:rPr>
        <w:t xml:space="preserve"> </w:t>
      </w:r>
      <w:hyperlink r:id="rId10" w:anchor="page=24" w:history="1">
        <w:r w:rsidRPr="00A44531">
          <w:rPr>
            <w:rStyle w:val="Hyperlink"/>
            <w:rFonts w:ascii="Tahoma" w:hAnsi="Tahoma" w:cs="Tahoma"/>
          </w:rPr>
          <w:t>http://www.nzca.org/2007NZCAProgrammeProgramme.pdf#page=24</w:t>
        </w:r>
      </w:hyperlink>
    </w:p>
    <w:p w:rsidR="004F4E25" w:rsidRPr="004F4E25" w:rsidRDefault="004F4E25" w:rsidP="00184B9D">
      <w:pPr>
        <w:spacing w:line="360" w:lineRule="auto"/>
        <w:ind w:firstLine="720"/>
        <w:rPr>
          <w:rFonts w:ascii="Tahoma" w:hAnsi="Tahoma" w:cs="Tahoma"/>
        </w:rPr>
      </w:pPr>
      <w:r w:rsidRPr="00A44531">
        <w:rPr>
          <w:rFonts w:ascii="Tahoma" w:hAnsi="Tahoma" w:cs="Tahoma"/>
        </w:rPr>
        <w:t>Gill, A.</w:t>
      </w:r>
      <w:r w:rsidR="00FA6F44" w:rsidRPr="00A44531">
        <w:rPr>
          <w:rFonts w:ascii="Tahoma" w:hAnsi="Tahoma" w:cs="Tahoma"/>
        </w:rPr>
        <w:t>,</w:t>
      </w:r>
      <w:r w:rsidRPr="00A44531">
        <w:rPr>
          <w:rFonts w:ascii="Tahoma" w:hAnsi="Tahoma" w:cs="Tahoma"/>
        </w:rPr>
        <w:t xml:space="preserve"> (2017). The </w:t>
      </w:r>
      <w:r w:rsidR="003F5AFC">
        <w:rPr>
          <w:rFonts w:ascii="Tahoma" w:hAnsi="Tahoma" w:cs="Tahoma"/>
        </w:rPr>
        <w:t>t</w:t>
      </w:r>
      <w:r w:rsidRPr="00A44531">
        <w:rPr>
          <w:rFonts w:ascii="Tahoma" w:hAnsi="Tahoma" w:cs="Tahoma"/>
        </w:rPr>
        <w:t xml:space="preserve">ransitional </w:t>
      </w:r>
      <w:r w:rsidR="003F5AFC">
        <w:rPr>
          <w:rFonts w:ascii="Tahoma" w:hAnsi="Tahoma" w:cs="Tahoma"/>
        </w:rPr>
        <w:t>e</w:t>
      </w:r>
      <w:r w:rsidRPr="00A44531">
        <w:rPr>
          <w:rFonts w:ascii="Tahoma" w:hAnsi="Tahoma" w:cs="Tahoma"/>
        </w:rPr>
        <w:t xml:space="preserve">xperiences of </w:t>
      </w:r>
      <w:r w:rsidR="003F5AFC">
        <w:rPr>
          <w:rFonts w:ascii="Tahoma" w:hAnsi="Tahoma" w:cs="Tahoma"/>
        </w:rPr>
        <w:t>s</w:t>
      </w:r>
      <w:r w:rsidRPr="00A44531">
        <w:rPr>
          <w:rFonts w:ascii="Tahoma" w:hAnsi="Tahoma" w:cs="Tahoma"/>
        </w:rPr>
        <w:t xml:space="preserve">port and </w:t>
      </w:r>
      <w:r w:rsidR="003F5AFC">
        <w:rPr>
          <w:rFonts w:ascii="Tahoma" w:hAnsi="Tahoma" w:cs="Tahoma"/>
        </w:rPr>
        <w:t>e</w:t>
      </w:r>
      <w:r w:rsidRPr="00A44531">
        <w:rPr>
          <w:rFonts w:ascii="Tahoma" w:hAnsi="Tahoma" w:cs="Tahoma"/>
        </w:rPr>
        <w:t xml:space="preserve">xercise </w:t>
      </w:r>
      <w:r w:rsidR="003F5AFC">
        <w:rPr>
          <w:rFonts w:ascii="Tahoma" w:hAnsi="Tahoma" w:cs="Tahoma"/>
        </w:rPr>
        <w:t>s</w:t>
      </w:r>
      <w:r w:rsidRPr="00A44531">
        <w:rPr>
          <w:rFonts w:ascii="Tahoma" w:hAnsi="Tahoma" w:cs="Tahoma"/>
        </w:rPr>
        <w:t xml:space="preserve">tudents from </w:t>
      </w:r>
      <w:r w:rsidR="003F5AFC">
        <w:rPr>
          <w:rFonts w:ascii="Tahoma" w:hAnsi="Tahoma" w:cs="Tahoma"/>
        </w:rPr>
        <w:t>f</w:t>
      </w:r>
      <w:r w:rsidRPr="00A44531">
        <w:rPr>
          <w:rFonts w:ascii="Tahoma" w:hAnsi="Tahoma" w:cs="Tahoma"/>
        </w:rPr>
        <w:t xml:space="preserve">urther to </w:t>
      </w:r>
      <w:r w:rsidR="003F5AFC">
        <w:rPr>
          <w:rFonts w:ascii="Tahoma" w:hAnsi="Tahoma" w:cs="Tahoma"/>
        </w:rPr>
        <w:t>h</w:t>
      </w:r>
      <w:r w:rsidRPr="00A44531">
        <w:rPr>
          <w:rFonts w:ascii="Tahoma" w:hAnsi="Tahoma" w:cs="Tahoma"/>
        </w:rPr>
        <w:t xml:space="preserve">igher </w:t>
      </w:r>
      <w:r w:rsidR="003F5AFC">
        <w:rPr>
          <w:rFonts w:ascii="Tahoma" w:hAnsi="Tahoma" w:cs="Tahoma"/>
        </w:rPr>
        <w:t>e</w:t>
      </w:r>
      <w:r w:rsidRPr="00A44531">
        <w:rPr>
          <w:rFonts w:ascii="Tahoma" w:hAnsi="Tahoma" w:cs="Tahoma"/>
        </w:rPr>
        <w:t xml:space="preserve">ducation. </w:t>
      </w:r>
      <w:r w:rsidRPr="003F5AFC">
        <w:rPr>
          <w:rFonts w:ascii="Tahoma" w:hAnsi="Tahoma" w:cs="Tahoma"/>
          <w:i/>
        </w:rPr>
        <w:t>Innovative Practice in Higher Education,</w:t>
      </w:r>
      <w:r w:rsidRPr="00A44531">
        <w:rPr>
          <w:rFonts w:ascii="Tahoma" w:hAnsi="Tahoma" w:cs="Tahoma"/>
        </w:rPr>
        <w:t xml:space="preserve"> 3(1)</w:t>
      </w:r>
      <w:r w:rsidR="00A44531" w:rsidRPr="00A44531">
        <w:rPr>
          <w:rFonts w:ascii="Tahoma" w:hAnsi="Tahoma" w:cs="Tahoma"/>
        </w:rPr>
        <w:t>, 22-47.</w:t>
      </w:r>
    </w:p>
    <w:p w:rsidR="004F4E25" w:rsidRDefault="004F4E25" w:rsidP="00184B9D">
      <w:pPr>
        <w:spacing w:line="360" w:lineRule="auto"/>
        <w:ind w:firstLine="720"/>
        <w:rPr>
          <w:rFonts w:ascii="Tahoma" w:hAnsi="Tahoma" w:cs="Tahoma"/>
        </w:rPr>
      </w:pPr>
      <w:r w:rsidRPr="004F4E25">
        <w:rPr>
          <w:rFonts w:ascii="Tahoma" w:hAnsi="Tahoma" w:cs="Tahoma"/>
        </w:rPr>
        <w:t>Gill, A.</w:t>
      </w:r>
      <w:r w:rsidR="00FA6F44">
        <w:rPr>
          <w:rFonts w:ascii="Tahoma" w:hAnsi="Tahoma" w:cs="Tahoma"/>
        </w:rPr>
        <w:t>,</w:t>
      </w:r>
      <w:r w:rsidRPr="004F4E25">
        <w:rPr>
          <w:rFonts w:ascii="Tahoma" w:hAnsi="Tahoma" w:cs="Tahoma"/>
        </w:rPr>
        <w:t xml:space="preserve"> (2018). The </w:t>
      </w:r>
      <w:r w:rsidR="003F5AFC">
        <w:rPr>
          <w:rFonts w:ascii="Tahoma" w:hAnsi="Tahoma" w:cs="Tahoma"/>
        </w:rPr>
        <w:t>t</w:t>
      </w:r>
      <w:r w:rsidRPr="004F4E25">
        <w:rPr>
          <w:rFonts w:ascii="Tahoma" w:hAnsi="Tahoma" w:cs="Tahoma"/>
        </w:rPr>
        <w:t xml:space="preserve">houghts, </w:t>
      </w:r>
      <w:r w:rsidR="003F5AFC">
        <w:rPr>
          <w:rFonts w:ascii="Tahoma" w:hAnsi="Tahoma" w:cs="Tahoma"/>
        </w:rPr>
        <w:t>f</w:t>
      </w:r>
      <w:r w:rsidRPr="004F4E25">
        <w:rPr>
          <w:rFonts w:ascii="Tahoma" w:hAnsi="Tahoma" w:cs="Tahoma"/>
        </w:rPr>
        <w:t xml:space="preserve">eelings &amp; </w:t>
      </w:r>
      <w:r w:rsidR="003F5AFC">
        <w:rPr>
          <w:rFonts w:ascii="Tahoma" w:hAnsi="Tahoma" w:cs="Tahoma"/>
        </w:rPr>
        <w:t>p</w:t>
      </w:r>
      <w:r w:rsidRPr="004F4E25">
        <w:rPr>
          <w:rFonts w:ascii="Tahoma" w:hAnsi="Tahoma" w:cs="Tahoma"/>
        </w:rPr>
        <w:t xml:space="preserve">erceptions of </w:t>
      </w:r>
      <w:r w:rsidR="003F5AFC">
        <w:rPr>
          <w:rFonts w:ascii="Tahoma" w:hAnsi="Tahoma" w:cs="Tahoma"/>
        </w:rPr>
        <w:t>s</w:t>
      </w:r>
      <w:r w:rsidRPr="004F4E25">
        <w:rPr>
          <w:rFonts w:ascii="Tahoma" w:hAnsi="Tahoma" w:cs="Tahoma"/>
        </w:rPr>
        <w:t xml:space="preserve">ports </w:t>
      </w:r>
      <w:r w:rsidR="003F5AFC">
        <w:rPr>
          <w:rFonts w:ascii="Tahoma" w:hAnsi="Tahoma" w:cs="Tahoma"/>
        </w:rPr>
        <w:t>s</w:t>
      </w:r>
      <w:r w:rsidRPr="004F4E25">
        <w:rPr>
          <w:rFonts w:ascii="Tahoma" w:hAnsi="Tahoma" w:cs="Tahoma"/>
        </w:rPr>
        <w:t xml:space="preserve">tudents </w:t>
      </w:r>
      <w:r w:rsidR="003F5AFC">
        <w:rPr>
          <w:rFonts w:ascii="Tahoma" w:hAnsi="Tahoma" w:cs="Tahoma"/>
        </w:rPr>
        <w:t>p</w:t>
      </w:r>
      <w:r w:rsidRPr="004F4E25">
        <w:rPr>
          <w:rFonts w:ascii="Tahoma" w:hAnsi="Tahoma" w:cs="Tahoma"/>
        </w:rPr>
        <w:t xml:space="preserve">rogressing from VET to </w:t>
      </w:r>
      <w:r w:rsidR="003F5AFC">
        <w:rPr>
          <w:rFonts w:ascii="Tahoma" w:hAnsi="Tahoma" w:cs="Tahoma"/>
        </w:rPr>
        <w:t>a</w:t>
      </w:r>
      <w:r w:rsidRPr="004F4E25">
        <w:rPr>
          <w:rFonts w:ascii="Tahoma" w:hAnsi="Tahoma" w:cs="Tahoma"/>
        </w:rPr>
        <w:t xml:space="preserve">cademic </w:t>
      </w:r>
      <w:r w:rsidR="003F5AFC">
        <w:rPr>
          <w:rFonts w:ascii="Tahoma" w:hAnsi="Tahoma" w:cs="Tahoma"/>
        </w:rPr>
        <w:t>e</w:t>
      </w:r>
      <w:r w:rsidRPr="004F4E25">
        <w:rPr>
          <w:rFonts w:ascii="Tahoma" w:hAnsi="Tahoma" w:cs="Tahoma"/>
        </w:rPr>
        <w:t xml:space="preserve">ducation. </w:t>
      </w:r>
      <w:r w:rsidRPr="003F5AFC">
        <w:rPr>
          <w:rFonts w:ascii="Tahoma" w:hAnsi="Tahoma" w:cs="Tahoma"/>
          <w:i/>
        </w:rPr>
        <w:t>The Journal of Further and Higher Education</w:t>
      </w:r>
      <w:r w:rsidRPr="004F4E25">
        <w:rPr>
          <w:rFonts w:ascii="Tahoma" w:hAnsi="Tahoma" w:cs="Tahoma"/>
        </w:rPr>
        <w:t xml:space="preserve"> [In Press]</w:t>
      </w:r>
    </w:p>
    <w:p w:rsidR="001C3D14" w:rsidRPr="00AA7FF8" w:rsidRDefault="001C3D14" w:rsidP="00184B9D">
      <w:pPr>
        <w:spacing w:line="360" w:lineRule="auto"/>
        <w:ind w:firstLine="720"/>
        <w:rPr>
          <w:rFonts w:ascii="Tahoma" w:hAnsi="Tahoma" w:cs="Tahoma"/>
        </w:rPr>
      </w:pPr>
      <w:r w:rsidRPr="00AA7FF8">
        <w:rPr>
          <w:rFonts w:ascii="Tahoma" w:hAnsi="Tahoma" w:cs="Tahoma"/>
        </w:rPr>
        <w:t xml:space="preserve">Goodship, J., </w:t>
      </w:r>
      <w:r w:rsidR="004F4E25">
        <w:rPr>
          <w:rFonts w:ascii="Tahoma" w:hAnsi="Tahoma" w:cs="Tahoma"/>
        </w:rPr>
        <w:t>&amp;</w:t>
      </w:r>
      <w:r w:rsidRPr="00AA7FF8">
        <w:rPr>
          <w:rFonts w:ascii="Tahoma" w:hAnsi="Tahoma" w:cs="Tahoma"/>
        </w:rPr>
        <w:t xml:space="preserve"> K. Jacks.</w:t>
      </w:r>
      <w:r w:rsidR="00C04DBF">
        <w:rPr>
          <w:rFonts w:ascii="Tahoma" w:hAnsi="Tahoma" w:cs="Tahoma"/>
        </w:rPr>
        <w:t>,</w:t>
      </w:r>
      <w:r w:rsidRPr="00AA7FF8">
        <w:rPr>
          <w:rFonts w:ascii="Tahoma" w:hAnsi="Tahoma" w:cs="Tahoma"/>
        </w:rPr>
        <w:t xml:space="preserve"> </w:t>
      </w:r>
      <w:r w:rsidR="00C04DBF">
        <w:rPr>
          <w:rFonts w:ascii="Tahoma" w:hAnsi="Tahoma" w:cs="Tahoma"/>
        </w:rPr>
        <w:t>(</w:t>
      </w:r>
      <w:r w:rsidRPr="00AA7FF8">
        <w:rPr>
          <w:rFonts w:ascii="Tahoma" w:hAnsi="Tahoma" w:cs="Tahoma"/>
        </w:rPr>
        <w:t>2007</w:t>
      </w:r>
      <w:r w:rsidR="00C04DBF">
        <w:rPr>
          <w:rFonts w:ascii="Tahoma" w:hAnsi="Tahoma" w:cs="Tahoma"/>
        </w:rPr>
        <w:t>)</w:t>
      </w:r>
      <w:r w:rsidRPr="00AA7FF8">
        <w:rPr>
          <w:rFonts w:ascii="Tahoma" w:hAnsi="Tahoma" w:cs="Tahoma"/>
        </w:rPr>
        <w:t xml:space="preserve">. </w:t>
      </w:r>
      <w:r w:rsidR="003F5AFC">
        <w:rPr>
          <w:rFonts w:ascii="Tahoma" w:hAnsi="Tahoma" w:cs="Tahoma"/>
          <w:i/>
        </w:rPr>
        <w:t>The i</w:t>
      </w:r>
      <w:r w:rsidRPr="00AA7FF8">
        <w:rPr>
          <w:rFonts w:ascii="Tahoma" w:hAnsi="Tahoma" w:cs="Tahoma"/>
          <w:i/>
        </w:rPr>
        <w:t xml:space="preserve">mpact of </w:t>
      </w:r>
      <w:r w:rsidR="003F5AFC">
        <w:rPr>
          <w:rFonts w:ascii="Tahoma" w:hAnsi="Tahoma" w:cs="Tahoma"/>
          <w:i/>
        </w:rPr>
        <w:t>f</w:t>
      </w:r>
      <w:r w:rsidRPr="00AA7FF8">
        <w:rPr>
          <w:rFonts w:ascii="Tahoma" w:hAnsi="Tahoma" w:cs="Tahoma"/>
          <w:i/>
        </w:rPr>
        <w:t xml:space="preserve">oundation </w:t>
      </w:r>
      <w:r w:rsidR="003F5AFC">
        <w:rPr>
          <w:rFonts w:ascii="Tahoma" w:hAnsi="Tahoma" w:cs="Tahoma"/>
          <w:i/>
        </w:rPr>
        <w:t>d</w:t>
      </w:r>
      <w:r w:rsidRPr="00AA7FF8">
        <w:rPr>
          <w:rFonts w:ascii="Tahoma" w:hAnsi="Tahoma" w:cs="Tahoma"/>
          <w:i/>
        </w:rPr>
        <w:t xml:space="preserve">egrees– The </w:t>
      </w:r>
      <w:r w:rsidR="003F5AFC">
        <w:rPr>
          <w:rFonts w:ascii="Tahoma" w:hAnsi="Tahoma" w:cs="Tahoma"/>
          <w:i/>
        </w:rPr>
        <w:t>s</w:t>
      </w:r>
      <w:r w:rsidRPr="00AA7FF8">
        <w:rPr>
          <w:rFonts w:ascii="Tahoma" w:hAnsi="Tahoma" w:cs="Tahoma"/>
          <w:i/>
        </w:rPr>
        <w:t xml:space="preserve">tudent </w:t>
      </w:r>
      <w:r w:rsidR="003F5AFC">
        <w:rPr>
          <w:rFonts w:ascii="Tahoma" w:hAnsi="Tahoma" w:cs="Tahoma"/>
          <w:i/>
        </w:rPr>
        <w:t>e</w:t>
      </w:r>
      <w:r w:rsidRPr="00AA7FF8">
        <w:rPr>
          <w:rFonts w:ascii="Tahoma" w:hAnsi="Tahoma" w:cs="Tahoma"/>
          <w:i/>
        </w:rPr>
        <w:t>xperience</w:t>
      </w:r>
      <w:r w:rsidRPr="00AA7FF8">
        <w:rPr>
          <w:rFonts w:ascii="Tahoma" w:hAnsi="Tahoma" w:cs="Tahoma"/>
        </w:rPr>
        <w:t xml:space="preserve">. </w:t>
      </w:r>
      <w:r w:rsidR="00F91EF8">
        <w:rPr>
          <w:rFonts w:ascii="Tahoma" w:hAnsi="Tahoma" w:cs="Tahoma"/>
        </w:rPr>
        <w:t xml:space="preserve">Portsmouth: </w:t>
      </w:r>
      <w:r w:rsidRPr="00AA7FF8">
        <w:rPr>
          <w:rFonts w:ascii="Tahoma" w:hAnsi="Tahoma" w:cs="Tahoma"/>
        </w:rPr>
        <w:t>Foundation Direct.</w:t>
      </w:r>
    </w:p>
    <w:p w:rsidR="001C3D14" w:rsidRPr="00AA7FF8" w:rsidRDefault="001C3D14" w:rsidP="00184B9D">
      <w:pPr>
        <w:spacing w:line="360" w:lineRule="auto"/>
        <w:ind w:firstLine="720"/>
        <w:rPr>
          <w:rFonts w:ascii="Tahoma" w:hAnsi="Tahoma" w:cs="Tahoma"/>
        </w:rPr>
      </w:pPr>
      <w:r w:rsidRPr="00AA7FF8">
        <w:rPr>
          <w:rFonts w:ascii="Tahoma" w:hAnsi="Tahoma" w:cs="Tahoma"/>
        </w:rPr>
        <w:t>Gratton, C., &amp; Jones, I.</w:t>
      </w:r>
      <w:r w:rsidR="00C04DBF">
        <w:rPr>
          <w:rFonts w:ascii="Tahoma" w:hAnsi="Tahoma" w:cs="Tahoma"/>
        </w:rPr>
        <w:t>,</w:t>
      </w:r>
      <w:r w:rsidRPr="00AA7FF8">
        <w:rPr>
          <w:rFonts w:ascii="Tahoma" w:hAnsi="Tahoma" w:cs="Tahoma"/>
        </w:rPr>
        <w:t xml:space="preserve"> (2010). </w:t>
      </w:r>
      <w:r w:rsidRPr="00AA7FF8">
        <w:rPr>
          <w:rFonts w:ascii="Tahoma" w:hAnsi="Tahoma" w:cs="Tahoma"/>
          <w:i/>
        </w:rPr>
        <w:t>Research methods for sports studies</w:t>
      </w:r>
      <w:r w:rsidRPr="00AA7FF8">
        <w:rPr>
          <w:rFonts w:ascii="Tahoma" w:hAnsi="Tahoma" w:cs="Tahoma"/>
        </w:rPr>
        <w:t>. Abingdon: Taylor &amp; Francis.</w:t>
      </w:r>
    </w:p>
    <w:p w:rsidR="001C3D14" w:rsidRPr="00AA7FF8" w:rsidRDefault="001C3D14" w:rsidP="00184B9D">
      <w:pPr>
        <w:spacing w:line="360" w:lineRule="auto"/>
        <w:ind w:firstLine="720"/>
        <w:rPr>
          <w:rFonts w:ascii="Tahoma" w:hAnsi="Tahoma" w:cs="Tahoma"/>
        </w:rPr>
      </w:pPr>
      <w:r w:rsidRPr="00AA7FF8">
        <w:rPr>
          <w:rFonts w:ascii="Tahoma" w:hAnsi="Tahoma" w:cs="Tahoma"/>
        </w:rPr>
        <w:t>Greenbank, P.</w:t>
      </w:r>
      <w:r w:rsidR="00C04DBF">
        <w:rPr>
          <w:rFonts w:ascii="Tahoma" w:hAnsi="Tahoma" w:cs="Tahoma"/>
        </w:rPr>
        <w:t>,</w:t>
      </w:r>
      <w:r w:rsidRPr="00AA7FF8">
        <w:rPr>
          <w:rFonts w:ascii="Tahoma" w:hAnsi="Tahoma" w:cs="Tahoma"/>
        </w:rPr>
        <w:t xml:space="preserve"> </w:t>
      </w:r>
      <w:r w:rsidR="00C04DBF">
        <w:rPr>
          <w:rFonts w:ascii="Tahoma" w:hAnsi="Tahoma" w:cs="Tahoma"/>
        </w:rPr>
        <w:t>(</w:t>
      </w:r>
      <w:r w:rsidRPr="00AA7FF8">
        <w:rPr>
          <w:rFonts w:ascii="Tahoma" w:hAnsi="Tahoma" w:cs="Tahoma"/>
        </w:rPr>
        <w:t>2007</w:t>
      </w:r>
      <w:r w:rsidR="00C04DBF">
        <w:rPr>
          <w:rFonts w:ascii="Tahoma" w:hAnsi="Tahoma" w:cs="Tahoma"/>
        </w:rPr>
        <w:t>)</w:t>
      </w:r>
      <w:r w:rsidRPr="00AA7FF8">
        <w:rPr>
          <w:rFonts w:ascii="Tahoma" w:hAnsi="Tahoma" w:cs="Tahoma"/>
        </w:rPr>
        <w:t>. From foundation to honours degree: the student experience. </w:t>
      </w:r>
      <w:r w:rsidRPr="00AA7FF8">
        <w:rPr>
          <w:rFonts w:ascii="Tahoma" w:hAnsi="Tahoma" w:cs="Tahoma"/>
          <w:i/>
        </w:rPr>
        <w:t>Education + Training</w:t>
      </w:r>
      <w:r w:rsidRPr="00AA7FF8">
        <w:rPr>
          <w:rFonts w:ascii="Tahoma" w:hAnsi="Tahoma" w:cs="Tahoma"/>
        </w:rPr>
        <w:t>, 49(2),</w:t>
      </w:r>
      <w:r w:rsidR="00FA6F44">
        <w:rPr>
          <w:rFonts w:ascii="Tahoma" w:hAnsi="Tahoma" w:cs="Tahoma"/>
        </w:rPr>
        <w:t xml:space="preserve"> </w:t>
      </w:r>
      <w:r w:rsidRPr="00AA7FF8">
        <w:rPr>
          <w:rFonts w:ascii="Tahoma" w:hAnsi="Tahoma" w:cs="Tahoma"/>
        </w:rPr>
        <w:t>91-102.</w:t>
      </w:r>
    </w:p>
    <w:p w:rsidR="001C3D14" w:rsidRPr="00AA7FF8" w:rsidRDefault="001C3D14" w:rsidP="00184B9D">
      <w:pPr>
        <w:spacing w:line="360" w:lineRule="auto"/>
        <w:ind w:firstLine="720"/>
        <w:rPr>
          <w:rFonts w:ascii="Tahoma" w:hAnsi="Tahoma" w:cs="Tahoma"/>
        </w:rPr>
      </w:pPr>
      <w:r w:rsidRPr="00AA7FF8">
        <w:rPr>
          <w:rFonts w:ascii="Tahoma" w:hAnsi="Tahoma" w:cs="Tahoma"/>
        </w:rPr>
        <w:t>Hatt, S., &amp; Baxter, A.</w:t>
      </w:r>
      <w:r w:rsidR="00C04DBF">
        <w:rPr>
          <w:rFonts w:ascii="Tahoma" w:hAnsi="Tahoma" w:cs="Tahoma"/>
        </w:rPr>
        <w:t>,</w:t>
      </w:r>
      <w:r w:rsidRPr="00AA7FF8">
        <w:rPr>
          <w:rFonts w:ascii="Tahoma" w:hAnsi="Tahoma" w:cs="Tahoma"/>
        </w:rPr>
        <w:t xml:space="preserve"> (2003). From FE to HE: </w:t>
      </w:r>
      <w:r w:rsidR="00127D50">
        <w:rPr>
          <w:rFonts w:ascii="Tahoma" w:hAnsi="Tahoma" w:cs="Tahoma"/>
        </w:rPr>
        <w:t>S</w:t>
      </w:r>
      <w:r w:rsidRPr="00AA7FF8">
        <w:rPr>
          <w:rFonts w:ascii="Tahoma" w:hAnsi="Tahoma" w:cs="Tahoma"/>
        </w:rPr>
        <w:t xml:space="preserve">tudies in transition: </w:t>
      </w:r>
      <w:r w:rsidR="00127D50">
        <w:rPr>
          <w:rFonts w:ascii="Tahoma" w:hAnsi="Tahoma" w:cs="Tahoma"/>
        </w:rPr>
        <w:t>A</w:t>
      </w:r>
      <w:r w:rsidRPr="00AA7FF8">
        <w:rPr>
          <w:rFonts w:ascii="Tahoma" w:hAnsi="Tahoma" w:cs="Tahoma"/>
        </w:rPr>
        <w:t xml:space="preserve"> comparison of students entering higher education with academic and vocational qualifications. </w:t>
      </w:r>
      <w:r w:rsidRPr="00AA7FF8">
        <w:rPr>
          <w:rFonts w:ascii="Tahoma" w:hAnsi="Tahoma" w:cs="Tahoma"/>
          <w:i/>
        </w:rPr>
        <w:t>Widening Participation and Lifelong Learning</w:t>
      </w:r>
      <w:r w:rsidRPr="00AA7FF8">
        <w:rPr>
          <w:rFonts w:ascii="Tahoma" w:hAnsi="Tahoma" w:cs="Tahoma"/>
        </w:rPr>
        <w:t>, 5(2), 18-29.</w:t>
      </w:r>
    </w:p>
    <w:p w:rsidR="001C3D14" w:rsidRPr="00AA7FF8" w:rsidRDefault="001C3D14" w:rsidP="00184B9D">
      <w:pPr>
        <w:spacing w:line="360" w:lineRule="auto"/>
        <w:ind w:firstLine="720"/>
        <w:rPr>
          <w:rFonts w:ascii="Tahoma" w:hAnsi="Tahoma" w:cs="Tahoma"/>
        </w:rPr>
      </w:pPr>
      <w:r w:rsidRPr="00AA7FF8">
        <w:rPr>
          <w:rFonts w:ascii="Tahoma" w:hAnsi="Tahoma" w:cs="Tahoma"/>
        </w:rPr>
        <w:t>Herrera, H., Brown, D.</w:t>
      </w:r>
      <w:r w:rsidR="00127D50">
        <w:rPr>
          <w:rFonts w:ascii="Tahoma" w:hAnsi="Tahoma" w:cs="Tahoma"/>
        </w:rPr>
        <w:t>, &amp;</w:t>
      </w:r>
      <w:r w:rsidRPr="00AA7FF8">
        <w:rPr>
          <w:rFonts w:ascii="Tahoma" w:hAnsi="Tahoma" w:cs="Tahoma"/>
        </w:rPr>
        <w:t xml:space="preserve"> Portlock, J., </w:t>
      </w:r>
      <w:r w:rsidR="00C04DBF">
        <w:rPr>
          <w:rFonts w:ascii="Tahoma" w:hAnsi="Tahoma" w:cs="Tahoma"/>
        </w:rPr>
        <w:t>(</w:t>
      </w:r>
      <w:r w:rsidRPr="00AA7FF8">
        <w:rPr>
          <w:rFonts w:ascii="Tahoma" w:hAnsi="Tahoma" w:cs="Tahoma"/>
        </w:rPr>
        <w:t>2015</w:t>
      </w:r>
      <w:r w:rsidR="00C04DBF">
        <w:rPr>
          <w:rFonts w:ascii="Tahoma" w:hAnsi="Tahoma" w:cs="Tahoma"/>
        </w:rPr>
        <w:t>)</w:t>
      </w:r>
      <w:r w:rsidRPr="00AA7FF8">
        <w:rPr>
          <w:rFonts w:ascii="Tahoma" w:hAnsi="Tahoma" w:cs="Tahoma"/>
        </w:rPr>
        <w:t xml:space="preserve">. Foundation degree learning: </w:t>
      </w:r>
      <w:r w:rsidR="00127D50">
        <w:rPr>
          <w:rFonts w:ascii="Tahoma" w:hAnsi="Tahoma" w:cs="Tahoma"/>
        </w:rPr>
        <w:t>A</w:t>
      </w:r>
      <w:r w:rsidRPr="00AA7FF8">
        <w:rPr>
          <w:rFonts w:ascii="Tahoma" w:hAnsi="Tahoma" w:cs="Tahoma"/>
        </w:rPr>
        <w:t>n educational journey of personal development. </w:t>
      </w:r>
      <w:r w:rsidRPr="00AA7FF8">
        <w:rPr>
          <w:rFonts w:ascii="Tahoma" w:hAnsi="Tahoma" w:cs="Tahoma"/>
          <w:i/>
        </w:rPr>
        <w:t>Journal of Further and Higher Education</w:t>
      </w:r>
      <w:r w:rsidRPr="00AA7FF8">
        <w:rPr>
          <w:rFonts w:ascii="Tahoma" w:hAnsi="Tahoma" w:cs="Tahoma"/>
        </w:rPr>
        <w:t>, 39(6), 839-861.</w:t>
      </w:r>
    </w:p>
    <w:p w:rsidR="003B364E" w:rsidRDefault="003B364E" w:rsidP="00184B9D">
      <w:pPr>
        <w:spacing w:line="360" w:lineRule="auto"/>
        <w:ind w:firstLine="720"/>
        <w:rPr>
          <w:rFonts w:ascii="Tahoma" w:hAnsi="Tahoma" w:cs="Tahoma"/>
        </w:rPr>
      </w:pPr>
      <w:r w:rsidRPr="003B364E">
        <w:rPr>
          <w:rFonts w:ascii="Tahoma" w:hAnsi="Tahoma" w:cs="Tahoma"/>
        </w:rPr>
        <w:t xml:space="preserve">HEFCE, (2007). Foundation degrees: Key statistics 2001–02 to 2006–07 [online]. Higher Education Funding Council for England, Bristol, England. [Viewed 14 October 2018]. Available from: </w:t>
      </w:r>
      <w:hyperlink r:id="rId11" w:history="1">
        <w:r w:rsidRPr="00D420A2">
          <w:rPr>
            <w:rStyle w:val="Hyperlink"/>
            <w:rFonts w:ascii="Tahoma" w:hAnsi="Tahoma" w:cs="Tahoma"/>
          </w:rPr>
          <w:t>http://www.hefce.ac.uk/pubs/hefce/2007/07_03/default.html</w:t>
        </w:r>
      </w:hyperlink>
    </w:p>
    <w:p w:rsidR="001C3D14" w:rsidRPr="00A44531" w:rsidRDefault="003B364E" w:rsidP="00184B9D">
      <w:pPr>
        <w:spacing w:line="360" w:lineRule="auto"/>
        <w:ind w:firstLine="720"/>
        <w:rPr>
          <w:rFonts w:ascii="Tahoma" w:hAnsi="Tahoma" w:cs="Tahoma"/>
        </w:rPr>
      </w:pPr>
      <w:r w:rsidRPr="003B364E">
        <w:rPr>
          <w:rFonts w:ascii="Tahoma" w:hAnsi="Tahoma" w:cs="Tahoma"/>
        </w:rPr>
        <w:t>HEFCE</w:t>
      </w:r>
      <w:r w:rsidR="00127D50">
        <w:rPr>
          <w:rFonts w:ascii="Tahoma" w:hAnsi="Tahoma" w:cs="Tahoma"/>
        </w:rPr>
        <w:t>,</w:t>
      </w:r>
      <w:r w:rsidR="001C3D14" w:rsidRPr="00A44531">
        <w:rPr>
          <w:rFonts w:ascii="Tahoma" w:hAnsi="Tahoma" w:cs="Tahoma"/>
        </w:rPr>
        <w:t xml:space="preserve"> (2017)</w:t>
      </w:r>
      <w:r w:rsidR="00127D50">
        <w:rPr>
          <w:rFonts w:ascii="Tahoma" w:hAnsi="Tahoma" w:cs="Tahoma"/>
        </w:rPr>
        <w:t>.</w:t>
      </w:r>
      <w:r>
        <w:rPr>
          <w:rFonts w:ascii="Tahoma" w:hAnsi="Tahoma" w:cs="Tahoma"/>
        </w:rPr>
        <w:t xml:space="preserve"> HEFCE</w:t>
      </w:r>
      <w:r w:rsidR="001C3D14" w:rsidRPr="00A44531">
        <w:rPr>
          <w:rFonts w:ascii="Tahoma" w:hAnsi="Tahoma" w:cs="Tahoma"/>
        </w:rPr>
        <w:t xml:space="preserve">: Further </w:t>
      </w:r>
      <w:r w:rsidR="00127D50">
        <w:rPr>
          <w:rFonts w:ascii="Tahoma" w:hAnsi="Tahoma" w:cs="Tahoma"/>
        </w:rPr>
        <w:t>e</w:t>
      </w:r>
      <w:r w:rsidR="001C3D14" w:rsidRPr="00A44531">
        <w:rPr>
          <w:rFonts w:ascii="Tahoma" w:hAnsi="Tahoma" w:cs="Tahoma"/>
        </w:rPr>
        <w:t xml:space="preserve">ducation </w:t>
      </w:r>
      <w:r w:rsidR="00127D50">
        <w:rPr>
          <w:rFonts w:ascii="Tahoma" w:hAnsi="Tahoma" w:cs="Tahoma"/>
        </w:rPr>
        <w:t>c</w:t>
      </w:r>
      <w:r w:rsidR="001C3D14" w:rsidRPr="00A44531">
        <w:rPr>
          <w:rFonts w:ascii="Tahoma" w:hAnsi="Tahoma" w:cs="Tahoma"/>
        </w:rPr>
        <w:t xml:space="preserve">olleges </w:t>
      </w:r>
      <w:r w:rsidR="00A44531" w:rsidRPr="00A44531">
        <w:rPr>
          <w:rFonts w:ascii="Tahoma" w:hAnsi="Tahoma" w:cs="Tahoma"/>
        </w:rPr>
        <w:t>[</w:t>
      </w:r>
      <w:r w:rsidR="008075B8">
        <w:rPr>
          <w:rFonts w:ascii="Tahoma" w:hAnsi="Tahoma" w:cs="Tahoma"/>
        </w:rPr>
        <w:t>o</w:t>
      </w:r>
      <w:r w:rsidR="00A44531" w:rsidRPr="00A44531">
        <w:rPr>
          <w:rFonts w:ascii="Tahoma" w:hAnsi="Tahoma" w:cs="Tahoma"/>
        </w:rPr>
        <w:t>nline]</w:t>
      </w:r>
      <w:r w:rsidR="001C3D14" w:rsidRPr="00A44531">
        <w:rPr>
          <w:rFonts w:ascii="Tahoma" w:hAnsi="Tahoma" w:cs="Tahoma"/>
        </w:rPr>
        <w:t>.</w:t>
      </w:r>
      <w:r w:rsidR="00A44531" w:rsidRPr="00A44531">
        <w:rPr>
          <w:rFonts w:ascii="Tahoma" w:hAnsi="Tahoma" w:cs="Tahoma"/>
        </w:rPr>
        <w:t xml:space="preserve"> </w:t>
      </w:r>
      <w:r w:rsidRPr="003B364E">
        <w:rPr>
          <w:rFonts w:ascii="Tahoma" w:hAnsi="Tahoma" w:cs="Tahoma"/>
        </w:rPr>
        <w:t>Higher Education Funding Council for England</w:t>
      </w:r>
      <w:r w:rsidR="001877A3">
        <w:rPr>
          <w:rFonts w:ascii="Tahoma" w:hAnsi="Tahoma" w:cs="Tahoma"/>
        </w:rPr>
        <w:t>,</w:t>
      </w:r>
      <w:r w:rsidR="00127D50" w:rsidRPr="00127D50">
        <w:rPr>
          <w:rFonts w:ascii="Tahoma" w:hAnsi="Tahoma" w:cs="Tahoma"/>
        </w:rPr>
        <w:t xml:space="preserve"> Bristol, England</w:t>
      </w:r>
      <w:r w:rsidR="002A3E1F">
        <w:rPr>
          <w:rFonts w:ascii="Tahoma" w:hAnsi="Tahoma" w:cs="Tahoma"/>
        </w:rPr>
        <w:t xml:space="preserve">. </w:t>
      </w:r>
      <w:r w:rsidR="002A3E1F" w:rsidRPr="002A3E1F">
        <w:rPr>
          <w:rFonts w:ascii="Tahoma" w:hAnsi="Tahoma" w:cs="Tahoma"/>
        </w:rPr>
        <w:t>[Viewed 14 October 2018]</w:t>
      </w:r>
      <w:r w:rsidR="002A3E1F">
        <w:rPr>
          <w:rFonts w:ascii="Tahoma" w:hAnsi="Tahoma" w:cs="Tahoma"/>
        </w:rPr>
        <w:t>.</w:t>
      </w:r>
      <w:r w:rsidR="00127D50" w:rsidRPr="00127D50">
        <w:rPr>
          <w:rFonts w:ascii="Tahoma" w:hAnsi="Tahoma" w:cs="Tahoma"/>
        </w:rPr>
        <w:t xml:space="preserve"> </w:t>
      </w:r>
      <w:r w:rsidR="001C3D14" w:rsidRPr="00A44531">
        <w:rPr>
          <w:rFonts w:ascii="Tahoma" w:hAnsi="Tahoma" w:cs="Tahoma"/>
        </w:rPr>
        <w:t xml:space="preserve">Available </w:t>
      </w:r>
      <w:r w:rsidR="00A44531">
        <w:rPr>
          <w:rFonts w:ascii="Tahoma" w:hAnsi="Tahoma" w:cs="Tahoma"/>
        </w:rPr>
        <w:t>from</w:t>
      </w:r>
      <w:r w:rsidR="001C3D14" w:rsidRPr="00A44531">
        <w:rPr>
          <w:rFonts w:ascii="Tahoma" w:hAnsi="Tahoma" w:cs="Tahoma"/>
        </w:rPr>
        <w:t xml:space="preserve">: </w:t>
      </w:r>
      <w:hyperlink r:id="rId12" w:history="1">
        <w:r w:rsidR="001C3D14" w:rsidRPr="00A44531">
          <w:rPr>
            <w:rStyle w:val="Hyperlink"/>
            <w:rFonts w:ascii="Tahoma" w:hAnsi="Tahoma" w:cs="Tahoma"/>
          </w:rPr>
          <w:t>http://www.hefce.ac.uk/analysis</w:t>
        </w:r>
        <w:r w:rsidR="001C3D14" w:rsidRPr="00A44531">
          <w:rPr>
            <w:rStyle w:val="Hyperlink"/>
            <w:rFonts w:ascii="Tahoma" w:hAnsi="Tahoma" w:cs="Tahoma"/>
          </w:rPr>
          <w:t>/</w:t>
        </w:r>
        <w:r w:rsidR="001C3D14" w:rsidRPr="00A44531">
          <w:rPr>
            <w:rStyle w:val="Hyperlink"/>
            <w:rFonts w:ascii="Tahoma" w:hAnsi="Tahoma" w:cs="Tahoma"/>
          </w:rPr>
          <w:t>HE</w:t>
        </w:r>
        <w:r w:rsidR="001C3D14" w:rsidRPr="00A44531">
          <w:rPr>
            <w:rStyle w:val="Hyperlink"/>
            <w:rFonts w:ascii="Tahoma" w:hAnsi="Tahoma" w:cs="Tahoma"/>
          </w:rPr>
          <w:t>i</w:t>
        </w:r>
        <w:r w:rsidR="001C3D14" w:rsidRPr="00A44531">
          <w:rPr>
            <w:rStyle w:val="Hyperlink"/>
            <w:rFonts w:ascii="Tahoma" w:hAnsi="Tahoma" w:cs="Tahoma"/>
          </w:rPr>
          <w:t>nEngland/providers/colleges/</w:t>
        </w:r>
      </w:hyperlink>
    </w:p>
    <w:p w:rsidR="001C3D14" w:rsidRPr="00AA7FF8" w:rsidRDefault="001C3D14" w:rsidP="00184B9D">
      <w:pPr>
        <w:spacing w:line="360" w:lineRule="auto"/>
        <w:ind w:firstLine="720"/>
        <w:rPr>
          <w:rFonts w:ascii="Tahoma" w:hAnsi="Tahoma" w:cs="Tahoma"/>
        </w:rPr>
      </w:pPr>
      <w:r w:rsidRPr="00AA7FF8">
        <w:rPr>
          <w:rFonts w:ascii="Tahoma" w:hAnsi="Tahoma" w:cs="Tahoma"/>
        </w:rPr>
        <w:t>Hoelscher, M., Hayward, G., Ertl, H., &amp; Dunbar‐Goddet, H.</w:t>
      </w:r>
      <w:r w:rsidR="00C04DBF">
        <w:rPr>
          <w:rFonts w:ascii="Tahoma" w:hAnsi="Tahoma" w:cs="Tahoma"/>
        </w:rPr>
        <w:t>,</w:t>
      </w:r>
      <w:r w:rsidRPr="00AA7FF8">
        <w:rPr>
          <w:rFonts w:ascii="Tahoma" w:hAnsi="Tahoma" w:cs="Tahoma"/>
        </w:rPr>
        <w:t xml:space="preserve"> (2008). The transition from vocational education and training to higher education: </w:t>
      </w:r>
      <w:r w:rsidR="002A3E1F">
        <w:rPr>
          <w:rFonts w:ascii="Tahoma" w:hAnsi="Tahoma" w:cs="Tahoma"/>
        </w:rPr>
        <w:t>A</w:t>
      </w:r>
      <w:r w:rsidRPr="00AA7FF8">
        <w:rPr>
          <w:rFonts w:ascii="Tahoma" w:hAnsi="Tahoma" w:cs="Tahoma"/>
        </w:rPr>
        <w:t xml:space="preserve"> successful pathway? </w:t>
      </w:r>
      <w:r w:rsidRPr="00AA7FF8">
        <w:rPr>
          <w:rFonts w:ascii="Tahoma" w:hAnsi="Tahoma" w:cs="Tahoma"/>
          <w:i/>
        </w:rPr>
        <w:t>Research Papers in Education</w:t>
      </w:r>
      <w:r w:rsidRPr="00AA7FF8">
        <w:rPr>
          <w:rFonts w:ascii="Tahoma" w:hAnsi="Tahoma" w:cs="Tahoma"/>
        </w:rPr>
        <w:t>, 23(2), 139-151.</w:t>
      </w:r>
    </w:p>
    <w:p w:rsidR="001C3D14" w:rsidRPr="00AA7FF8" w:rsidRDefault="001C3D14" w:rsidP="00184B9D">
      <w:pPr>
        <w:spacing w:line="360" w:lineRule="auto"/>
        <w:ind w:firstLine="720"/>
        <w:rPr>
          <w:rFonts w:ascii="Tahoma" w:hAnsi="Tahoma" w:cs="Tahoma"/>
        </w:rPr>
      </w:pPr>
      <w:r w:rsidRPr="00AA7FF8">
        <w:rPr>
          <w:rFonts w:ascii="Tahoma" w:hAnsi="Tahoma" w:cs="Tahoma"/>
        </w:rPr>
        <w:t>Holmegaard, H. T., Ulriksen, L. M., &amp; Madsen, L. M.</w:t>
      </w:r>
      <w:r w:rsidR="00C04DBF">
        <w:rPr>
          <w:rFonts w:ascii="Tahoma" w:hAnsi="Tahoma" w:cs="Tahoma"/>
        </w:rPr>
        <w:t>,</w:t>
      </w:r>
      <w:r w:rsidRPr="00AA7FF8">
        <w:rPr>
          <w:rFonts w:ascii="Tahoma" w:hAnsi="Tahoma" w:cs="Tahoma"/>
        </w:rPr>
        <w:t xml:space="preserve"> (2014). The process of choosing what to study: A longitudinal study of upper secondary students' identity work when choosing higher education. </w:t>
      </w:r>
      <w:r w:rsidRPr="00AA7FF8">
        <w:rPr>
          <w:rFonts w:ascii="Tahoma" w:hAnsi="Tahoma" w:cs="Tahoma"/>
          <w:i/>
        </w:rPr>
        <w:t>Scandinavian Journal of Educational Research</w:t>
      </w:r>
      <w:r w:rsidRPr="00AA7FF8">
        <w:rPr>
          <w:rFonts w:ascii="Tahoma" w:hAnsi="Tahoma" w:cs="Tahoma"/>
        </w:rPr>
        <w:t>, 58(1), 21-40.</w:t>
      </w:r>
    </w:p>
    <w:p w:rsidR="001C3D14" w:rsidRPr="00AA7FF8" w:rsidRDefault="001C3D14" w:rsidP="00184B9D">
      <w:pPr>
        <w:spacing w:line="360" w:lineRule="auto"/>
        <w:ind w:firstLine="720"/>
        <w:rPr>
          <w:rFonts w:ascii="Tahoma" w:hAnsi="Tahoma" w:cs="Tahoma"/>
        </w:rPr>
      </w:pPr>
      <w:r w:rsidRPr="00AA7FF8">
        <w:rPr>
          <w:rFonts w:ascii="Tahoma" w:hAnsi="Tahoma" w:cs="Tahoma"/>
        </w:rPr>
        <w:t>Huddleston, P.</w:t>
      </w:r>
      <w:r w:rsidR="00C04DBF">
        <w:rPr>
          <w:rFonts w:ascii="Tahoma" w:hAnsi="Tahoma" w:cs="Tahoma"/>
        </w:rPr>
        <w:t>,</w:t>
      </w:r>
      <w:r w:rsidRPr="00AA7FF8">
        <w:rPr>
          <w:rFonts w:ascii="Tahoma" w:hAnsi="Tahoma" w:cs="Tahoma"/>
        </w:rPr>
        <w:t xml:space="preserve"> </w:t>
      </w:r>
      <w:r w:rsidR="00C04DBF">
        <w:rPr>
          <w:rFonts w:ascii="Tahoma" w:hAnsi="Tahoma" w:cs="Tahoma"/>
        </w:rPr>
        <w:t>&amp;</w:t>
      </w:r>
      <w:r w:rsidRPr="00AA7FF8">
        <w:rPr>
          <w:rFonts w:ascii="Tahoma" w:hAnsi="Tahoma" w:cs="Tahoma"/>
        </w:rPr>
        <w:t xml:space="preserve"> Unwin, L., </w:t>
      </w:r>
      <w:r w:rsidR="00C04DBF">
        <w:rPr>
          <w:rFonts w:ascii="Tahoma" w:hAnsi="Tahoma" w:cs="Tahoma"/>
        </w:rPr>
        <w:t>(</w:t>
      </w:r>
      <w:r w:rsidRPr="00AA7FF8">
        <w:rPr>
          <w:rFonts w:ascii="Tahoma" w:hAnsi="Tahoma" w:cs="Tahoma"/>
        </w:rPr>
        <w:t>2013</w:t>
      </w:r>
      <w:r w:rsidR="00C04DBF">
        <w:rPr>
          <w:rFonts w:ascii="Tahoma" w:hAnsi="Tahoma" w:cs="Tahoma"/>
        </w:rPr>
        <w:t>)</w:t>
      </w:r>
      <w:r w:rsidRPr="00AA7FF8">
        <w:rPr>
          <w:rFonts w:ascii="Tahoma" w:hAnsi="Tahoma" w:cs="Tahoma"/>
        </w:rPr>
        <w:t>. </w:t>
      </w:r>
      <w:r w:rsidRPr="002A3E1F">
        <w:rPr>
          <w:rFonts w:ascii="Tahoma" w:hAnsi="Tahoma" w:cs="Tahoma"/>
          <w:i/>
        </w:rPr>
        <w:t xml:space="preserve">Teaching and learning in further education: </w:t>
      </w:r>
      <w:r w:rsidR="002A3E1F" w:rsidRPr="002A3E1F">
        <w:rPr>
          <w:rFonts w:ascii="Tahoma" w:hAnsi="Tahoma" w:cs="Tahoma"/>
          <w:i/>
        </w:rPr>
        <w:t>D</w:t>
      </w:r>
      <w:r w:rsidRPr="002A3E1F">
        <w:rPr>
          <w:rFonts w:ascii="Tahoma" w:hAnsi="Tahoma" w:cs="Tahoma"/>
          <w:i/>
        </w:rPr>
        <w:t>iversity and change.</w:t>
      </w:r>
      <w:r w:rsidRPr="00AA7FF8">
        <w:rPr>
          <w:rFonts w:ascii="Tahoma" w:hAnsi="Tahoma" w:cs="Tahoma"/>
        </w:rPr>
        <w:t xml:space="preserve"> </w:t>
      </w:r>
      <w:r w:rsidR="00FA6F44">
        <w:rPr>
          <w:rFonts w:ascii="Tahoma" w:hAnsi="Tahoma" w:cs="Tahoma"/>
        </w:rPr>
        <w:t xml:space="preserve">Abingdon: </w:t>
      </w:r>
      <w:r w:rsidRPr="00AA7FF8">
        <w:rPr>
          <w:rFonts w:ascii="Tahoma" w:hAnsi="Tahoma" w:cs="Tahoma"/>
        </w:rPr>
        <w:t>Routledge</w:t>
      </w:r>
      <w:r w:rsidR="00FA6F44">
        <w:rPr>
          <w:rFonts w:ascii="Tahoma" w:hAnsi="Tahoma" w:cs="Tahoma"/>
        </w:rPr>
        <w:t xml:space="preserve">. </w:t>
      </w:r>
    </w:p>
    <w:p w:rsidR="001C3D14" w:rsidRPr="00AA7FF8" w:rsidRDefault="001C3D14" w:rsidP="00184B9D">
      <w:pPr>
        <w:spacing w:line="360" w:lineRule="auto"/>
        <w:ind w:firstLine="720"/>
        <w:rPr>
          <w:rFonts w:ascii="Tahoma" w:hAnsi="Tahoma" w:cs="Tahoma"/>
        </w:rPr>
      </w:pPr>
      <w:r w:rsidRPr="00A44531">
        <w:rPr>
          <w:rFonts w:ascii="Tahoma" w:hAnsi="Tahoma" w:cs="Tahoma"/>
        </w:rPr>
        <w:t>Huntington, J.</w:t>
      </w:r>
      <w:r w:rsidR="00C04DBF" w:rsidRPr="00A44531">
        <w:rPr>
          <w:rFonts w:ascii="Tahoma" w:hAnsi="Tahoma" w:cs="Tahoma"/>
        </w:rPr>
        <w:t>,</w:t>
      </w:r>
      <w:r w:rsidRPr="00A44531">
        <w:rPr>
          <w:rFonts w:ascii="Tahoma" w:hAnsi="Tahoma" w:cs="Tahoma"/>
        </w:rPr>
        <w:t xml:space="preserve"> </w:t>
      </w:r>
      <w:r w:rsidR="00C04DBF" w:rsidRPr="00A44531">
        <w:rPr>
          <w:rFonts w:ascii="Tahoma" w:hAnsi="Tahoma" w:cs="Tahoma"/>
        </w:rPr>
        <w:t>(</w:t>
      </w:r>
      <w:r w:rsidRPr="00A44531">
        <w:rPr>
          <w:rFonts w:ascii="Tahoma" w:hAnsi="Tahoma" w:cs="Tahoma"/>
        </w:rPr>
        <w:t>2009</w:t>
      </w:r>
      <w:r w:rsidR="00C04DBF" w:rsidRPr="00A44531">
        <w:rPr>
          <w:rFonts w:ascii="Tahoma" w:hAnsi="Tahoma" w:cs="Tahoma"/>
        </w:rPr>
        <w:t>)</w:t>
      </w:r>
      <w:r w:rsidRPr="00A44531">
        <w:rPr>
          <w:rFonts w:ascii="Tahoma" w:hAnsi="Tahoma" w:cs="Tahoma"/>
        </w:rPr>
        <w:t xml:space="preserve">. Student perspectives on foundation degrees: employment skills and work-based learning (Doctoral dissertation, </w:t>
      </w:r>
      <w:r w:rsidR="00A44531" w:rsidRPr="00A44531">
        <w:rPr>
          <w:rFonts w:ascii="Tahoma" w:hAnsi="Tahoma" w:cs="Tahoma"/>
        </w:rPr>
        <w:t>London</w:t>
      </w:r>
      <w:r w:rsidR="00A44531">
        <w:rPr>
          <w:rFonts w:ascii="Tahoma" w:hAnsi="Tahoma" w:cs="Tahoma"/>
        </w:rPr>
        <w:t xml:space="preserve">: </w:t>
      </w:r>
      <w:r w:rsidRPr="00A44531">
        <w:rPr>
          <w:rFonts w:ascii="Tahoma" w:hAnsi="Tahoma" w:cs="Tahoma"/>
        </w:rPr>
        <w:t>University of Greenwich).</w:t>
      </w:r>
    </w:p>
    <w:p w:rsidR="001C3D14" w:rsidRPr="00AA7FF8" w:rsidRDefault="001C3D14" w:rsidP="00184B9D">
      <w:pPr>
        <w:spacing w:line="360" w:lineRule="auto"/>
        <w:ind w:firstLine="720"/>
        <w:rPr>
          <w:rFonts w:ascii="Tahoma" w:hAnsi="Tahoma" w:cs="Tahoma"/>
        </w:rPr>
      </w:pPr>
      <w:r w:rsidRPr="00AA7FF8">
        <w:rPr>
          <w:rFonts w:ascii="Tahoma" w:hAnsi="Tahoma" w:cs="Tahoma"/>
        </w:rPr>
        <w:t>Kamberelis, G., &amp;</w:t>
      </w:r>
      <w:r w:rsidR="00C04DBF">
        <w:rPr>
          <w:rFonts w:ascii="Tahoma" w:hAnsi="Tahoma" w:cs="Tahoma"/>
        </w:rPr>
        <w:t xml:space="preserve"> </w:t>
      </w:r>
      <w:r w:rsidRPr="00AA7FF8">
        <w:rPr>
          <w:rFonts w:ascii="Tahoma" w:hAnsi="Tahoma" w:cs="Tahoma"/>
        </w:rPr>
        <w:t>Dimitriadis, G.</w:t>
      </w:r>
      <w:r w:rsidR="00C04DBF">
        <w:rPr>
          <w:rFonts w:ascii="Tahoma" w:hAnsi="Tahoma" w:cs="Tahoma"/>
        </w:rPr>
        <w:t>,</w:t>
      </w:r>
      <w:r w:rsidRPr="00AA7FF8">
        <w:rPr>
          <w:rFonts w:ascii="Tahoma" w:hAnsi="Tahoma" w:cs="Tahoma"/>
        </w:rPr>
        <w:t xml:space="preserve"> (2013). </w:t>
      </w:r>
      <w:r w:rsidRPr="002A3E1F">
        <w:rPr>
          <w:rFonts w:ascii="Tahoma" w:hAnsi="Tahoma" w:cs="Tahoma"/>
          <w:i/>
        </w:rPr>
        <w:t>Focus groups: From structured interviews to collective conversations.</w:t>
      </w:r>
      <w:r w:rsidRPr="00AA7FF8">
        <w:rPr>
          <w:rFonts w:ascii="Tahoma" w:hAnsi="Tahoma" w:cs="Tahoma"/>
        </w:rPr>
        <w:t xml:space="preserve"> Abingdon: Routledge.</w:t>
      </w:r>
    </w:p>
    <w:p w:rsidR="001C3D14" w:rsidRPr="00AA7FF8" w:rsidRDefault="001C3D14" w:rsidP="00184B9D">
      <w:pPr>
        <w:spacing w:line="360" w:lineRule="auto"/>
        <w:ind w:firstLine="720"/>
        <w:rPr>
          <w:rFonts w:ascii="Tahoma" w:hAnsi="Tahoma" w:cs="Tahoma"/>
        </w:rPr>
      </w:pPr>
      <w:r w:rsidRPr="00AA7FF8">
        <w:rPr>
          <w:rFonts w:ascii="Tahoma" w:hAnsi="Tahoma" w:cs="Tahoma"/>
        </w:rPr>
        <w:t>Kaye, L.</w:t>
      </w:r>
      <w:r w:rsidR="00C04DBF">
        <w:rPr>
          <w:rFonts w:ascii="Tahoma" w:hAnsi="Tahoma" w:cs="Tahoma"/>
        </w:rPr>
        <w:t xml:space="preserve"> </w:t>
      </w:r>
      <w:r w:rsidRPr="00AA7FF8">
        <w:rPr>
          <w:rFonts w:ascii="Tahoma" w:hAnsi="Tahoma" w:cs="Tahoma"/>
        </w:rPr>
        <w:t>K.</w:t>
      </w:r>
      <w:r w:rsidR="00C04DBF">
        <w:rPr>
          <w:rFonts w:ascii="Tahoma" w:hAnsi="Tahoma" w:cs="Tahoma"/>
        </w:rPr>
        <w:t>,</w:t>
      </w:r>
      <w:r w:rsidRPr="00AA7FF8">
        <w:rPr>
          <w:rFonts w:ascii="Tahoma" w:hAnsi="Tahoma" w:cs="Tahoma"/>
        </w:rPr>
        <w:t xml:space="preserve"> </w:t>
      </w:r>
      <w:r w:rsidR="00C04DBF">
        <w:rPr>
          <w:rFonts w:ascii="Tahoma" w:hAnsi="Tahoma" w:cs="Tahoma"/>
        </w:rPr>
        <w:t xml:space="preserve">&amp; </w:t>
      </w:r>
      <w:r w:rsidRPr="00AA7FF8">
        <w:rPr>
          <w:rFonts w:ascii="Tahoma" w:hAnsi="Tahoma" w:cs="Tahoma"/>
        </w:rPr>
        <w:t>Bates, E.</w:t>
      </w:r>
      <w:r w:rsidR="00C04DBF">
        <w:rPr>
          <w:rFonts w:ascii="Tahoma" w:hAnsi="Tahoma" w:cs="Tahoma"/>
        </w:rPr>
        <w:t xml:space="preserve"> </w:t>
      </w:r>
      <w:r w:rsidRPr="00AA7FF8">
        <w:rPr>
          <w:rFonts w:ascii="Tahoma" w:hAnsi="Tahoma" w:cs="Tahoma"/>
        </w:rPr>
        <w:t>A.</w:t>
      </w:r>
      <w:r w:rsidR="00C04DBF">
        <w:rPr>
          <w:rFonts w:ascii="Tahoma" w:hAnsi="Tahoma" w:cs="Tahoma"/>
        </w:rPr>
        <w:t>,</w:t>
      </w:r>
      <w:r w:rsidRPr="00AA7FF8">
        <w:rPr>
          <w:rFonts w:ascii="Tahoma" w:hAnsi="Tahoma" w:cs="Tahoma"/>
        </w:rPr>
        <w:t xml:space="preserve"> </w:t>
      </w:r>
      <w:r w:rsidR="00C04DBF">
        <w:rPr>
          <w:rFonts w:ascii="Tahoma" w:hAnsi="Tahoma" w:cs="Tahoma"/>
        </w:rPr>
        <w:t>(</w:t>
      </w:r>
      <w:r w:rsidRPr="00AA7FF8">
        <w:rPr>
          <w:rFonts w:ascii="Tahoma" w:hAnsi="Tahoma" w:cs="Tahoma"/>
        </w:rPr>
        <w:t>2017</w:t>
      </w:r>
      <w:r w:rsidR="00C04DBF">
        <w:rPr>
          <w:rFonts w:ascii="Tahoma" w:hAnsi="Tahoma" w:cs="Tahoma"/>
        </w:rPr>
        <w:t>)</w:t>
      </w:r>
      <w:r w:rsidRPr="00AA7FF8">
        <w:rPr>
          <w:rFonts w:ascii="Tahoma" w:hAnsi="Tahoma" w:cs="Tahoma"/>
        </w:rPr>
        <w:t>. The impact of higher fees on psychology students’ reasons for attending university. </w:t>
      </w:r>
      <w:r w:rsidRPr="00AA7FF8">
        <w:rPr>
          <w:rFonts w:ascii="Tahoma" w:hAnsi="Tahoma" w:cs="Tahoma"/>
          <w:i/>
        </w:rPr>
        <w:t>Journal of Further and Higher Education</w:t>
      </w:r>
      <w:r w:rsidRPr="00AA7FF8">
        <w:rPr>
          <w:rFonts w:ascii="Tahoma" w:hAnsi="Tahoma" w:cs="Tahoma"/>
        </w:rPr>
        <w:t>, 41(3), 379-392.</w:t>
      </w:r>
    </w:p>
    <w:p w:rsidR="001C3D14" w:rsidRPr="00AA7FF8" w:rsidRDefault="001C3D14" w:rsidP="00184B9D">
      <w:pPr>
        <w:spacing w:line="360" w:lineRule="auto"/>
        <w:ind w:firstLine="720"/>
        <w:rPr>
          <w:rFonts w:ascii="Tahoma" w:hAnsi="Tahoma" w:cs="Tahoma"/>
        </w:rPr>
      </w:pPr>
      <w:r w:rsidRPr="00AA7FF8">
        <w:rPr>
          <w:rFonts w:ascii="Tahoma" w:hAnsi="Tahoma" w:cs="Tahoma"/>
        </w:rPr>
        <w:t>Krueger, R. A.</w:t>
      </w:r>
      <w:r w:rsidR="00C04DBF">
        <w:rPr>
          <w:rFonts w:ascii="Tahoma" w:hAnsi="Tahoma" w:cs="Tahoma"/>
        </w:rPr>
        <w:t>,</w:t>
      </w:r>
      <w:r w:rsidRPr="00AA7FF8">
        <w:rPr>
          <w:rFonts w:ascii="Tahoma" w:hAnsi="Tahoma" w:cs="Tahoma"/>
        </w:rPr>
        <w:t xml:space="preserve"> (2014). </w:t>
      </w:r>
      <w:r w:rsidRPr="009B1BF3">
        <w:rPr>
          <w:rFonts w:ascii="Tahoma" w:hAnsi="Tahoma" w:cs="Tahoma"/>
          <w:i/>
        </w:rPr>
        <w:t>Focus groups: A practical guide for applied research.</w:t>
      </w:r>
      <w:r w:rsidRPr="00AA7FF8">
        <w:rPr>
          <w:rFonts w:ascii="Tahoma" w:hAnsi="Tahoma" w:cs="Tahoma"/>
        </w:rPr>
        <w:t xml:space="preserve"> London: Sage</w:t>
      </w:r>
      <w:r w:rsidR="00FA6F44">
        <w:rPr>
          <w:rFonts w:ascii="Tahoma" w:hAnsi="Tahoma" w:cs="Tahoma"/>
        </w:rPr>
        <w:t>.</w:t>
      </w:r>
    </w:p>
    <w:p w:rsidR="001C3D14" w:rsidRPr="00AA7FF8" w:rsidRDefault="001C3D14" w:rsidP="00184B9D">
      <w:pPr>
        <w:spacing w:line="360" w:lineRule="auto"/>
        <w:ind w:firstLine="720"/>
        <w:rPr>
          <w:rFonts w:ascii="Tahoma" w:hAnsi="Tahoma" w:cs="Tahoma"/>
        </w:rPr>
      </w:pPr>
      <w:r w:rsidRPr="009B1BF3">
        <w:rPr>
          <w:rFonts w:ascii="Tahoma" w:hAnsi="Tahoma" w:cs="Tahoma"/>
        </w:rPr>
        <w:t>Kyndt, E., Berghmans, I., Dochy, F. and Bulckens, L.</w:t>
      </w:r>
      <w:r w:rsidR="00C04DBF" w:rsidRPr="009B1BF3">
        <w:rPr>
          <w:rFonts w:ascii="Tahoma" w:hAnsi="Tahoma" w:cs="Tahoma"/>
        </w:rPr>
        <w:t>, (</w:t>
      </w:r>
      <w:r w:rsidRPr="009B1BF3">
        <w:rPr>
          <w:rFonts w:ascii="Tahoma" w:hAnsi="Tahoma" w:cs="Tahoma"/>
        </w:rPr>
        <w:t>2014</w:t>
      </w:r>
      <w:r w:rsidR="00C04DBF" w:rsidRPr="009B1BF3">
        <w:rPr>
          <w:rFonts w:ascii="Tahoma" w:hAnsi="Tahoma" w:cs="Tahoma"/>
        </w:rPr>
        <w:t>)</w:t>
      </w:r>
      <w:r w:rsidRPr="009B1BF3">
        <w:rPr>
          <w:rFonts w:ascii="Tahoma" w:hAnsi="Tahoma" w:cs="Tahoma"/>
        </w:rPr>
        <w:t xml:space="preserve">. </w:t>
      </w:r>
      <w:r w:rsidR="009B1BF3">
        <w:rPr>
          <w:rFonts w:ascii="Tahoma" w:hAnsi="Tahoma" w:cs="Tahoma"/>
        </w:rPr>
        <w:t>‘</w:t>
      </w:r>
      <w:r w:rsidRPr="009B1BF3">
        <w:rPr>
          <w:rFonts w:ascii="Tahoma" w:hAnsi="Tahoma" w:cs="Tahoma"/>
        </w:rPr>
        <w:t>Time is not enough.</w:t>
      </w:r>
      <w:r w:rsidR="009B1BF3">
        <w:rPr>
          <w:rFonts w:ascii="Tahoma" w:hAnsi="Tahoma" w:cs="Tahoma"/>
        </w:rPr>
        <w:t xml:space="preserve">’ </w:t>
      </w:r>
      <w:r w:rsidRPr="009B1BF3">
        <w:rPr>
          <w:rFonts w:ascii="Tahoma" w:hAnsi="Tahoma" w:cs="Tahoma"/>
        </w:rPr>
        <w:t xml:space="preserve">Workload in higher education: </w:t>
      </w:r>
      <w:r w:rsidR="009B1BF3">
        <w:rPr>
          <w:rFonts w:ascii="Tahoma" w:hAnsi="Tahoma" w:cs="Tahoma"/>
        </w:rPr>
        <w:t>A</w:t>
      </w:r>
      <w:r w:rsidRPr="009B1BF3">
        <w:rPr>
          <w:rFonts w:ascii="Tahoma" w:hAnsi="Tahoma" w:cs="Tahoma"/>
        </w:rPr>
        <w:t xml:space="preserve"> student perspective. </w:t>
      </w:r>
      <w:r w:rsidRPr="009B1BF3">
        <w:rPr>
          <w:rFonts w:ascii="Tahoma" w:hAnsi="Tahoma" w:cs="Tahoma"/>
          <w:i/>
        </w:rPr>
        <w:t>Higher Education Research &amp; Development</w:t>
      </w:r>
      <w:r w:rsidRPr="009B1BF3">
        <w:rPr>
          <w:rFonts w:ascii="Tahoma" w:hAnsi="Tahoma" w:cs="Tahoma"/>
        </w:rPr>
        <w:t>, 33(4),</w:t>
      </w:r>
      <w:r w:rsidR="00FA6F44" w:rsidRPr="009B1BF3">
        <w:rPr>
          <w:rFonts w:ascii="Tahoma" w:hAnsi="Tahoma" w:cs="Tahoma"/>
        </w:rPr>
        <w:t xml:space="preserve"> </w:t>
      </w:r>
      <w:r w:rsidRPr="009B1BF3">
        <w:rPr>
          <w:rFonts w:ascii="Tahoma" w:hAnsi="Tahoma" w:cs="Tahoma"/>
        </w:rPr>
        <w:t>684-698.</w:t>
      </w:r>
    </w:p>
    <w:p w:rsidR="001C3D14" w:rsidRPr="00AA7FF8" w:rsidRDefault="001C3D14" w:rsidP="00184B9D">
      <w:pPr>
        <w:spacing w:line="360" w:lineRule="auto"/>
        <w:ind w:firstLine="720"/>
        <w:rPr>
          <w:rFonts w:ascii="Tahoma" w:hAnsi="Tahoma" w:cs="Tahoma"/>
        </w:rPr>
      </w:pPr>
      <w:r w:rsidRPr="00AA7FF8">
        <w:rPr>
          <w:rFonts w:ascii="Tahoma" w:hAnsi="Tahoma" w:cs="Tahoma"/>
        </w:rPr>
        <w:t>Kyndt, E., Dochy, F., Struyven, K., &amp;</w:t>
      </w:r>
      <w:r w:rsidR="009F418B">
        <w:rPr>
          <w:rFonts w:ascii="Tahoma" w:hAnsi="Tahoma" w:cs="Tahoma"/>
        </w:rPr>
        <w:t xml:space="preserve"> </w:t>
      </w:r>
      <w:r w:rsidRPr="00AA7FF8">
        <w:rPr>
          <w:rFonts w:ascii="Tahoma" w:hAnsi="Tahoma" w:cs="Tahoma"/>
        </w:rPr>
        <w:t>Cascallar, E.</w:t>
      </w:r>
      <w:r w:rsidR="00C04DBF">
        <w:rPr>
          <w:rFonts w:ascii="Tahoma" w:hAnsi="Tahoma" w:cs="Tahoma"/>
        </w:rPr>
        <w:t>,</w:t>
      </w:r>
      <w:r w:rsidRPr="00AA7FF8">
        <w:rPr>
          <w:rFonts w:ascii="Tahoma" w:hAnsi="Tahoma" w:cs="Tahoma"/>
        </w:rPr>
        <w:t xml:space="preserve"> (2011). The perception of workload and task complexity and its influence on students’ approaches to learning: A study in higher education. </w:t>
      </w:r>
      <w:r w:rsidRPr="00AA7FF8">
        <w:rPr>
          <w:rFonts w:ascii="Tahoma" w:hAnsi="Tahoma" w:cs="Tahoma"/>
          <w:i/>
        </w:rPr>
        <w:t>European Journal of Psychology of Education</w:t>
      </w:r>
      <w:r w:rsidRPr="00AA7FF8">
        <w:rPr>
          <w:rFonts w:ascii="Tahoma" w:hAnsi="Tahoma" w:cs="Tahoma"/>
        </w:rPr>
        <w:t>, 26(3), 393–315.</w:t>
      </w:r>
    </w:p>
    <w:p w:rsidR="001C3D14" w:rsidRPr="00AA7FF8" w:rsidRDefault="00807476" w:rsidP="00184B9D">
      <w:pPr>
        <w:spacing w:line="360" w:lineRule="auto"/>
        <w:ind w:firstLine="720"/>
        <w:rPr>
          <w:rFonts w:ascii="Tahoma" w:hAnsi="Tahoma" w:cs="Tahoma"/>
        </w:rPr>
      </w:pPr>
      <w:r w:rsidRPr="00807476">
        <w:rPr>
          <w:rFonts w:ascii="Tahoma" w:hAnsi="Tahoma" w:cs="Tahoma"/>
        </w:rPr>
        <w:t xml:space="preserve">Longhurst, R. (2003). Semi-structured </w:t>
      </w:r>
      <w:r>
        <w:rPr>
          <w:rFonts w:ascii="Tahoma" w:hAnsi="Tahoma" w:cs="Tahoma"/>
        </w:rPr>
        <w:t>i</w:t>
      </w:r>
      <w:r w:rsidRPr="00807476">
        <w:rPr>
          <w:rFonts w:ascii="Tahoma" w:hAnsi="Tahoma" w:cs="Tahoma"/>
        </w:rPr>
        <w:t xml:space="preserve">nterviews and </w:t>
      </w:r>
      <w:r>
        <w:rPr>
          <w:rFonts w:ascii="Tahoma" w:hAnsi="Tahoma" w:cs="Tahoma"/>
        </w:rPr>
        <w:t>f</w:t>
      </w:r>
      <w:r w:rsidRPr="00807476">
        <w:rPr>
          <w:rFonts w:ascii="Tahoma" w:hAnsi="Tahoma" w:cs="Tahoma"/>
        </w:rPr>
        <w:t xml:space="preserve">ocus Groups. In N. Clifford, &amp; G. Valentine (Eds.), </w:t>
      </w:r>
      <w:r w:rsidRPr="00807476">
        <w:rPr>
          <w:rFonts w:ascii="Tahoma" w:hAnsi="Tahoma" w:cs="Tahoma"/>
          <w:i/>
          <w:iCs/>
        </w:rPr>
        <w:t>Key Methods in Geography</w:t>
      </w:r>
      <w:r w:rsidRPr="00807476">
        <w:rPr>
          <w:rFonts w:ascii="Tahoma" w:hAnsi="Tahoma" w:cs="Tahoma"/>
        </w:rPr>
        <w:t xml:space="preserve"> (pp. 117-132). London: SAGE Publications.</w:t>
      </w:r>
    </w:p>
    <w:p w:rsidR="001C3D14" w:rsidRPr="00AA7FF8" w:rsidRDefault="001C3D14" w:rsidP="00184B9D">
      <w:pPr>
        <w:spacing w:line="360" w:lineRule="auto"/>
        <w:ind w:firstLine="720"/>
        <w:rPr>
          <w:rFonts w:ascii="Tahoma" w:hAnsi="Tahoma" w:cs="Tahoma"/>
          <w:highlight w:val="yellow"/>
        </w:rPr>
      </w:pPr>
      <w:r w:rsidRPr="00AA7FF8">
        <w:rPr>
          <w:rFonts w:ascii="Tahoma" w:hAnsi="Tahoma" w:cs="Tahoma"/>
        </w:rPr>
        <w:t xml:space="preserve">Maunder, R.E., </w:t>
      </w:r>
      <w:r w:rsidR="00C04DBF">
        <w:rPr>
          <w:rFonts w:ascii="Tahoma" w:hAnsi="Tahoma" w:cs="Tahoma"/>
        </w:rPr>
        <w:t>(</w:t>
      </w:r>
      <w:r w:rsidRPr="00AA7FF8">
        <w:rPr>
          <w:rFonts w:ascii="Tahoma" w:hAnsi="Tahoma" w:cs="Tahoma"/>
        </w:rPr>
        <w:t>2018</w:t>
      </w:r>
      <w:r w:rsidR="00C04DBF">
        <w:rPr>
          <w:rFonts w:ascii="Tahoma" w:hAnsi="Tahoma" w:cs="Tahoma"/>
        </w:rPr>
        <w:t>)</w:t>
      </w:r>
      <w:r w:rsidRPr="00AA7FF8">
        <w:rPr>
          <w:rFonts w:ascii="Tahoma" w:hAnsi="Tahoma" w:cs="Tahoma"/>
        </w:rPr>
        <w:t>. Students’ peer relationships and their contribution to university adjustment: the need to belong in the university community. </w:t>
      </w:r>
      <w:r w:rsidRPr="00AA7FF8">
        <w:rPr>
          <w:rFonts w:ascii="Tahoma" w:hAnsi="Tahoma" w:cs="Tahoma"/>
          <w:i/>
        </w:rPr>
        <w:t>Journal of Further and Higher Education</w:t>
      </w:r>
      <w:r w:rsidRPr="00AA7FF8">
        <w:rPr>
          <w:rFonts w:ascii="Tahoma" w:hAnsi="Tahoma" w:cs="Tahoma"/>
        </w:rPr>
        <w:t>, 42(6), 756-768.</w:t>
      </w:r>
    </w:p>
    <w:p w:rsidR="001C3D14" w:rsidRPr="00AA7FF8" w:rsidRDefault="001C3D14" w:rsidP="00184B9D">
      <w:pPr>
        <w:spacing w:line="360" w:lineRule="auto"/>
        <w:ind w:firstLine="720"/>
        <w:rPr>
          <w:rFonts w:ascii="Tahoma" w:hAnsi="Tahoma" w:cs="Tahoma"/>
        </w:rPr>
      </w:pPr>
      <w:r w:rsidRPr="00AA7FF8">
        <w:rPr>
          <w:rFonts w:ascii="Tahoma" w:hAnsi="Tahoma" w:cs="Tahoma"/>
        </w:rPr>
        <w:t xml:space="preserve">Morgan, J. and Sisak, D., </w:t>
      </w:r>
      <w:r w:rsidR="00C04DBF">
        <w:rPr>
          <w:rFonts w:ascii="Tahoma" w:hAnsi="Tahoma" w:cs="Tahoma"/>
        </w:rPr>
        <w:t>(</w:t>
      </w:r>
      <w:r w:rsidRPr="00AA7FF8">
        <w:rPr>
          <w:rFonts w:ascii="Tahoma" w:hAnsi="Tahoma" w:cs="Tahoma"/>
        </w:rPr>
        <w:t>2016</w:t>
      </w:r>
      <w:r w:rsidR="00C04DBF">
        <w:rPr>
          <w:rFonts w:ascii="Tahoma" w:hAnsi="Tahoma" w:cs="Tahoma"/>
        </w:rPr>
        <w:t>)</w:t>
      </w:r>
      <w:r w:rsidRPr="00AA7FF8">
        <w:rPr>
          <w:rFonts w:ascii="Tahoma" w:hAnsi="Tahoma" w:cs="Tahoma"/>
        </w:rPr>
        <w:t>. Aspiring to succeed: A model of entrepreneurship and fear of failure. </w:t>
      </w:r>
      <w:r w:rsidRPr="00AA7FF8">
        <w:rPr>
          <w:rFonts w:ascii="Tahoma" w:hAnsi="Tahoma" w:cs="Tahoma"/>
          <w:i/>
        </w:rPr>
        <w:t>Journal of Business Venturing</w:t>
      </w:r>
      <w:r w:rsidRPr="00AA7FF8">
        <w:rPr>
          <w:rFonts w:ascii="Tahoma" w:hAnsi="Tahoma" w:cs="Tahoma"/>
        </w:rPr>
        <w:t xml:space="preserve">, 31(1), 1-21. </w:t>
      </w:r>
    </w:p>
    <w:p w:rsidR="001C3D14" w:rsidRPr="00AA7FF8" w:rsidRDefault="001C3D14" w:rsidP="00184B9D">
      <w:pPr>
        <w:spacing w:line="360" w:lineRule="auto"/>
        <w:ind w:firstLine="720"/>
        <w:rPr>
          <w:rFonts w:ascii="Tahoma" w:hAnsi="Tahoma" w:cs="Tahoma"/>
        </w:rPr>
      </w:pPr>
      <w:r w:rsidRPr="004176D9">
        <w:rPr>
          <w:rFonts w:ascii="Tahoma" w:hAnsi="Tahoma" w:cs="Tahoma"/>
        </w:rPr>
        <w:t xml:space="preserve">Oreopoulos, P. and Petronijevic, U., </w:t>
      </w:r>
      <w:r w:rsidR="00C04DBF" w:rsidRPr="004176D9">
        <w:rPr>
          <w:rFonts w:ascii="Tahoma" w:hAnsi="Tahoma" w:cs="Tahoma"/>
        </w:rPr>
        <w:t>(</w:t>
      </w:r>
      <w:r w:rsidRPr="004176D9">
        <w:rPr>
          <w:rFonts w:ascii="Tahoma" w:hAnsi="Tahoma" w:cs="Tahoma"/>
        </w:rPr>
        <w:t>2013</w:t>
      </w:r>
      <w:r w:rsidR="00C04DBF" w:rsidRPr="004176D9">
        <w:rPr>
          <w:rFonts w:ascii="Tahoma" w:hAnsi="Tahoma" w:cs="Tahoma"/>
        </w:rPr>
        <w:t>)</w:t>
      </w:r>
      <w:r w:rsidRPr="004176D9">
        <w:rPr>
          <w:rFonts w:ascii="Tahoma" w:hAnsi="Tahoma" w:cs="Tahoma"/>
        </w:rPr>
        <w:t>. Making college worth it: A review of the returns to higher education. </w:t>
      </w:r>
      <w:r w:rsidRPr="004176D9">
        <w:rPr>
          <w:rFonts w:ascii="Tahoma" w:hAnsi="Tahoma" w:cs="Tahoma"/>
          <w:i/>
        </w:rPr>
        <w:t>The Future of Children</w:t>
      </w:r>
      <w:r w:rsidRPr="004176D9">
        <w:rPr>
          <w:rFonts w:ascii="Tahoma" w:hAnsi="Tahoma" w:cs="Tahoma"/>
        </w:rPr>
        <w:t xml:space="preserve">, </w:t>
      </w:r>
      <w:r w:rsidR="00807476">
        <w:rPr>
          <w:rFonts w:ascii="Tahoma" w:hAnsi="Tahoma" w:cs="Tahoma"/>
        </w:rPr>
        <w:t xml:space="preserve">23(1), </w:t>
      </w:r>
      <w:r w:rsidRPr="004176D9">
        <w:rPr>
          <w:rFonts w:ascii="Tahoma" w:hAnsi="Tahoma" w:cs="Tahoma"/>
        </w:rPr>
        <w:t>41-65.</w:t>
      </w:r>
    </w:p>
    <w:p w:rsidR="001C3D14" w:rsidRPr="00AA7FF8" w:rsidRDefault="001C3D14" w:rsidP="00184B9D">
      <w:pPr>
        <w:spacing w:line="360" w:lineRule="auto"/>
        <w:ind w:firstLine="720"/>
        <w:rPr>
          <w:rFonts w:ascii="Tahoma" w:hAnsi="Tahoma" w:cs="Tahoma"/>
        </w:rPr>
      </w:pPr>
      <w:r w:rsidRPr="004176D9">
        <w:rPr>
          <w:rFonts w:ascii="Tahoma" w:hAnsi="Tahoma" w:cs="Tahoma"/>
        </w:rPr>
        <w:t xml:space="preserve">Pearson, (2017). Pearson: Higher Education. </w:t>
      </w:r>
      <w:r w:rsidR="004176D9" w:rsidRPr="004176D9">
        <w:rPr>
          <w:rFonts w:ascii="Tahoma" w:hAnsi="Tahoma" w:cs="Tahoma"/>
        </w:rPr>
        <w:t>[online].</w:t>
      </w:r>
      <w:r w:rsidRPr="004176D9">
        <w:rPr>
          <w:rFonts w:ascii="Tahoma" w:hAnsi="Tahoma" w:cs="Tahoma"/>
        </w:rPr>
        <w:t xml:space="preserve"> </w:t>
      </w:r>
      <w:r w:rsidR="001877A3" w:rsidRPr="001877A3">
        <w:rPr>
          <w:rFonts w:ascii="Tahoma" w:hAnsi="Tahoma" w:cs="Tahoma"/>
        </w:rPr>
        <w:t>Pearson</w:t>
      </w:r>
      <w:r w:rsidR="001877A3">
        <w:rPr>
          <w:rFonts w:ascii="Tahoma" w:hAnsi="Tahoma" w:cs="Tahoma"/>
        </w:rPr>
        <w:t>, Harlow, U.K.</w:t>
      </w:r>
      <w:r w:rsidR="001877A3" w:rsidRPr="001877A3">
        <w:rPr>
          <w:rFonts w:ascii="Tahoma" w:hAnsi="Tahoma" w:cs="Tahoma"/>
        </w:rPr>
        <w:t xml:space="preserve"> </w:t>
      </w:r>
      <w:r w:rsidR="004176D9">
        <w:rPr>
          <w:rFonts w:ascii="Tahoma" w:hAnsi="Tahoma" w:cs="Tahoma"/>
        </w:rPr>
        <w:t xml:space="preserve">[Viewed 14 October 2018]. </w:t>
      </w:r>
      <w:r w:rsidRPr="004176D9">
        <w:rPr>
          <w:rFonts w:ascii="Tahoma" w:hAnsi="Tahoma" w:cs="Tahoma"/>
        </w:rPr>
        <w:t xml:space="preserve">Available </w:t>
      </w:r>
      <w:r w:rsidR="004176D9" w:rsidRPr="004176D9">
        <w:rPr>
          <w:rFonts w:ascii="Tahoma" w:hAnsi="Tahoma" w:cs="Tahoma"/>
        </w:rPr>
        <w:t>from</w:t>
      </w:r>
      <w:r w:rsidRPr="004176D9">
        <w:rPr>
          <w:rFonts w:ascii="Tahoma" w:hAnsi="Tahoma" w:cs="Tahoma"/>
        </w:rPr>
        <w:t xml:space="preserve">: </w:t>
      </w:r>
      <w:hyperlink r:id="rId13" w:history="1">
        <w:r w:rsidRPr="004176D9">
          <w:rPr>
            <w:rStyle w:val="Hyperlink"/>
            <w:rFonts w:ascii="Tahoma" w:hAnsi="Tahoma" w:cs="Tahoma"/>
          </w:rPr>
          <w:t>https://www.</w:t>
        </w:r>
        <w:r w:rsidRPr="004176D9">
          <w:rPr>
            <w:rStyle w:val="Hyperlink"/>
            <w:rFonts w:ascii="Tahoma" w:hAnsi="Tahoma" w:cs="Tahoma"/>
          </w:rPr>
          <w:t>p</w:t>
        </w:r>
        <w:r w:rsidRPr="004176D9">
          <w:rPr>
            <w:rStyle w:val="Hyperlink"/>
            <w:rFonts w:ascii="Tahoma" w:hAnsi="Tahoma" w:cs="Tahoma"/>
          </w:rPr>
          <w:t>earson.co.uk/</w:t>
        </w:r>
      </w:hyperlink>
    </w:p>
    <w:p w:rsidR="001C3D14" w:rsidRPr="00AA7FF8" w:rsidRDefault="001C3D14" w:rsidP="00184B9D">
      <w:pPr>
        <w:spacing w:line="360" w:lineRule="auto"/>
        <w:ind w:firstLine="720"/>
        <w:rPr>
          <w:rFonts w:ascii="Tahoma" w:hAnsi="Tahoma" w:cs="Tahoma"/>
        </w:rPr>
      </w:pPr>
      <w:r w:rsidRPr="00AA7FF8">
        <w:rPr>
          <w:rFonts w:ascii="Tahoma" w:hAnsi="Tahoma" w:cs="Tahoma"/>
        </w:rPr>
        <w:t>Penketh, C., &amp; Goddard, G.</w:t>
      </w:r>
      <w:r w:rsidR="00C04DBF">
        <w:rPr>
          <w:rFonts w:ascii="Tahoma" w:hAnsi="Tahoma" w:cs="Tahoma"/>
        </w:rPr>
        <w:t>,</w:t>
      </w:r>
      <w:r w:rsidRPr="00AA7FF8">
        <w:rPr>
          <w:rFonts w:ascii="Tahoma" w:hAnsi="Tahoma" w:cs="Tahoma"/>
        </w:rPr>
        <w:t xml:space="preserve"> (2008). Students in transition: </w:t>
      </w:r>
      <w:r w:rsidR="001877A3">
        <w:rPr>
          <w:rFonts w:ascii="Tahoma" w:hAnsi="Tahoma" w:cs="Tahoma"/>
        </w:rPr>
        <w:t>M</w:t>
      </w:r>
      <w:r w:rsidRPr="00AA7FF8">
        <w:rPr>
          <w:rFonts w:ascii="Tahoma" w:hAnsi="Tahoma" w:cs="Tahoma"/>
        </w:rPr>
        <w:t xml:space="preserve">ature women students moving from </w:t>
      </w:r>
      <w:r w:rsidR="001877A3">
        <w:rPr>
          <w:rFonts w:ascii="Tahoma" w:hAnsi="Tahoma" w:cs="Tahoma"/>
        </w:rPr>
        <w:t>f</w:t>
      </w:r>
      <w:r w:rsidRPr="00AA7FF8">
        <w:rPr>
          <w:rFonts w:ascii="Tahoma" w:hAnsi="Tahoma" w:cs="Tahoma"/>
        </w:rPr>
        <w:t xml:space="preserve">oundation </w:t>
      </w:r>
      <w:r w:rsidR="001877A3">
        <w:rPr>
          <w:rFonts w:ascii="Tahoma" w:hAnsi="Tahoma" w:cs="Tahoma"/>
        </w:rPr>
        <w:t>d</w:t>
      </w:r>
      <w:r w:rsidRPr="00AA7FF8">
        <w:rPr>
          <w:rFonts w:ascii="Tahoma" w:hAnsi="Tahoma" w:cs="Tahoma"/>
        </w:rPr>
        <w:t xml:space="preserve">egree to </w:t>
      </w:r>
      <w:r w:rsidR="001877A3">
        <w:rPr>
          <w:rFonts w:ascii="Tahoma" w:hAnsi="Tahoma" w:cs="Tahoma"/>
        </w:rPr>
        <w:t>h</w:t>
      </w:r>
      <w:r w:rsidRPr="00AA7FF8">
        <w:rPr>
          <w:rFonts w:ascii="Tahoma" w:hAnsi="Tahoma" w:cs="Tahoma"/>
        </w:rPr>
        <w:t xml:space="preserve">onours </w:t>
      </w:r>
      <w:r w:rsidR="001877A3">
        <w:rPr>
          <w:rFonts w:ascii="Tahoma" w:hAnsi="Tahoma" w:cs="Tahoma"/>
        </w:rPr>
        <w:t>l</w:t>
      </w:r>
      <w:r w:rsidRPr="00AA7FF8">
        <w:rPr>
          <w:rFonts w:ascii="Tahoma" w:hAnsi="Tahoma" w:cs="Tahoma"/>
        </w:rPr>
        <w:t xml:space="preserve">evel 6. </w:t>
      </w:r>
      <w:r w:rsidRPr="00AA7FF8">
        <w:rPr>
          <w:rFonts w:ascii="Tahoma" w:hAnsi="Tahoma" w:cs="Tahoma"/>
          <w:i/>
        </w:rPr>
        <w:t>Research in Post‐Compulsory Education</w:t>
      </w:r>
      <w:r w:rsidRPr="00AA7FF8">
        <w:rPr>
          <w:rFonts w:ascii="Tahoma" w:hAnsi="Tahoma" w:cs="Tahoma"/>
        </w:rPr>
        <w:t>, 13(3), 315-327.</w:t>
      </w:r>
    </w:p>
    <w:p w:rsidR="001C3D14" w:rsidRPr="00AA7FF8" w:rsidRDefault="001C3D14" w:rsidP="00184B9D">
      <w:pPr>
        <w:spacing w:line="360" w:lineRule="auto"/>
        <w:ind w:firstLine="720"/>
        <w:rPr>
          <w:rFonts w:ascii="Tahoma" w:hAnsi="Tahoma" w:cs="Tahoma"/>
        </w:rPr>
      </w:pPr>
      <w:r w:rsidRPr="004176D9">
        <w:rPr>
          <w:rFonts w:ascii="Tahoma" w:hAnsi="Tahoma" w:cs="Tahoma"/>
        </w:rPr>
        <w:t>Pike, A.</w:t>
      </w:r>
      <w:r w:rsidR="00C04DBF" w:rsidRPr="004176D9">
        <w:rPr>
          <w:rFonts w:ascii="Tahoma" w:hAnsi="Tahoma" w:cs="Tahoma"/>
        </w:rPr>
        <w:t>,</w:t>
      </w:r>
      <w:r w:rsidRPr="004176D9">
        <w:rPr>
          <w:rFonts w:ascii="Tahoma" w:hAnsi="Tahoma" w:cs="Tahoma"/>
        </w:rPr>
        <w:t xml:space="preserve"> (2008). Crossing the divide: </w:t>
      </w:r>
      <w:r w:rsidR="001877A3">
        <w:rPr>
          <w:rFonts w:ascii="Tahoma" w:hAnsi="Tahoma" w:cs="Tahoma"/>
        </w:rPr>
        <w:t>T</w:t>
      </w:r>
      <w:r w:rsidRPr="004176D9">
        <w:rPr>
          <w:rFonts w:ascii="Tahoma" w:hAnsi="Tahoma" w:cs="Tahoma"/>
        </w:rPr>
        <w:t xml:space="preserve">he transition experiences of students progressing from foundation degrees in FE colleges to the final years of an honours degree in a post-1992 university. </w:t>
      </w:r>
      <w:r w:rsidR="008B6502" w:rsidRPr="008B6502">
        <w:rPr>
          <w:rFonts w:ascii="Tahoma" w:hAnsi="Tahoma" w:cs="Tahoma"/>
        </w:rPr>
        <w:t xml:space="preserve">Paper presented at the Society for Research into Higher Education </w:t>
      </w:r>
      <w:r w:rsidR="008B6502">
        <w:rPr>
          <w:rFonts w:ascii="Tahoma" w:hAnsi="Tahoma" w:cs="Tahoma"/>
        </w:rPr>
        <w:t>a</w:t>
      </w:r>
      <w:r w:rsidRPr="004176D9">
        <w:rPr>
          <w:rFonts w:ascii="Tahoma" w:hAnsi="Tahoma" w:cs="Tahoma"/>
        </w:rPr>
        <w:t xml:space="preserve">nnual </w:t>
      </w:r>
      <w:r w:rsidR="008B6502">
        <w:rPr>
          <w:rFonts w:ascii="Tahoma" w:hAnsi="Tahoma" w:cs="Tahoma"/>
        </w:rPr>
        <w:t>p</w:t>
      </w:r>
      <w:r w:rsidRPr="004176D9">
        <w:rPr>
          <w:rFonts w:ascii="Tahoma" w:hAnsi="Tahoma" w:cs="Tahoma"/>
        </w:rPr>
        <w:t>ostgraduate an</w:t>
      </w:r>
      <w:r w:rsidR="008B6502">
        <w:rPr>
          <w:rFonts w:ascii="Tahoma" w:hAnsi="Tahoma" w:cs="Tahoma"/>
        </w:rPr>
        <w:t xml:space="preserve">d newer researchers’ </w:t>
      </w:r>
      <w:r w:rsidR="004D10AF">
        <w:rPr>
          <w:rFonts w:ascii="Tahoma" w:hAnsi="Tahoma" w:cs="Tahoma"/>
        </w:rPr>
        <w:t>c</w:t>
      </w:r>
      <w:r w:rsidR="008B6502">
        <w:rPr>
          <w:rFonts w:ascii="Tahoma" w:hAnsi="Tahoma" w:cs="Tahoma"/>
        </w:rPr>
        <w:t>onference,</w:t>
      </w:r>
      <w:r w:rsidRPr="004176D9">
        <w:rPr>
          <w:rFonts w:ascii="Tahoma" w:hAnsi="Tahoma" w:cs="Tahoma"/>
        </w:rPr>
        <w:t xml:space="preserve"> </w:t>
      </w:r>
      <w:r w:rsidR="00FA6F44" w:rsidRPr="004176D9">
        <w:rPr>
          <w:rFonts w:ascii="Tahoma" w:hAnsi="Tahoma" w:cs="Tahoma"/>
        </w:rPr>
        <w:t>December</w:t>
      </w:r>
      <w:r w:rsidR="008B6502">
        <w:rPr>
          <w:rFonts w:ascii="Tahoma" w:hAnsi="Tahoma" w:cs="Tahoma"/>
        </w:rPr>
        <w:t>.</w:t>
      </w:r>
    </w:p>
    <w:p w:rsidR="001C3D14" w:rsidRPr="00AA7FF8" w:rsidRDefault="001C3D14" w:rsidP="00184B9D">
      <w:pPr>
        <w:spacing w:line="360" w:lineRule="auto"/>
        <w:ind w:firstLine="720"/>
        <w:rPr>
          <w:rFonts w:ascii="Tahoma" w:hAnsi="Tahoma" w:cs="Tahoma"/>
        </w:rPr>
      </w:pPr>
      <w:r w:rsidRPr="00AA7FF8">
        <w:rPr>
          <w:rFonts w:ascii="Tahoma" w:hAnsi="Tahoma" w:cs="Tahoma"/>
        </w:rPr>
        <w:t>Pike, A., &amp; Harrison, J.</w:t>
      </w:r>
      <w:r w:rsidR="00C04DBF">
        <w:rPr>
          <w:rFonts w:ascii="Tahoma" w:hAnsi="Tahoma" w:cs="Tahoma"/>
        </w:rPr>
        <w:t>,</w:t>
      </w:r>
      <w:r w:rsidRPr="00AA7FF8">
        <w:rPr>
          <w:rFonts w:ascii="Tahoma" w:hAnsi="Tahoma" w:cs="Tahoma"/>
        </w:rPr>
        <w:t xml:space="preserve"> (2011). Crossing the FE/HE divide: </w:t>
      </w:r>
      <w:r w:rsidR="004D10AF">
        <w:rPr>
          <w:rFonts w:ascii="Tahoma" w:hAnsi="Tahoma" w:cs="Tahoma"/>
        </w:rPr>
        <w:t>T</w:t>
      </w:r>
      <w:r w:rsidRPr="00AA7FF8">
        <w:rPr>
          <w:rFonts w:ascii="Tahoma" w:hAnsi="Tahoma" w:cs="Tahoma"/>
        </w:rPr>
        <w:t>he transition experiences of direct entrants at Level 6. </w:t>
      </w:r>
      <w:r w:rsidRPr="00AA7FF8">
        <w:rPr>
          <w:rFonts w:ascii="Tahoma" w:hAnsi="Tahoma" w:cs="Tahoma"/>
          <w:i/>
        </w:rPr>
        <w:t>Journal of Further and Higher Education</w:t>
      </w:r>
      <w:r w:rsidRPr="00AA7FF8">
        <w:rPr>
          <w:rFonts w:ascii="Tahoma" w:hAnsi="Tahoma" w:cs="Tahoma"/>
        </w:rPr>
        <w:t>, 35(1), 55-67.</w:t>
      </w:r>
    </w:p>
    <w:p w:rsidR="001C3D14" w:rsidRPr="00AA7FF8" w:rsidRDefault="001C3D14" w:rsidP="00184B9D">
      <w:pPr>
        <w:spacing w:line="360" w:lineRule="auto"/>
        <w:ind w:firstLine="720"/>
        <w:rPr>
          <w:rFonts w:ascii="Tahoma" w:hAnsi="Tahoma" w:cs="Tahoma"/>
        </w:rPr>
      </w:pPr>
      <w:r w:rsidRPr="00FB52FA">
        <w:rPr>
          <w:rFonts w:ascii="Tahoma" w:hAnsi="Tahoma" w:cs="Tahoma"/>
        </w:rPr>
        <w:t>Pinheiro, M.</w:t>
      </w:r>
      <w:r w:rsidR="00C04DBF" w:rsidRPr="00FB52FA">
        <w:rPr>
          <w:rFonts w:ascii="Tahoma" w:hAnsi="Tahoma" w:cs="Tahoma"/>
        </w:rPr>
        <w:t>,</w:t>
      </w:r>
      <w:r w:rsidRPr="00FB52FA">
        <w:rPr>
          <w:rFonts w:ascii="Tahoma" w:hAnsi="Tahoma" w:cs="Tahoma"/>
        </w:rPr>
        <w:t xml:space="preserve"> (2004)</w:t>
      </w:r>
      <w:r w:rsidR="0080234E" w:rsidRPr="0080234E">
        <w:rPr>
          <w:rFonts w:ascii="Tahoma" w:hAnsi="Tahoma" w:cs="Tahoma"/>
        </w:rPr>
        <w:t xml:space="preserve"> O desenvolvimento da transição para o ensino superior: O princípio depois de um ﬁ m. </w:t>
      </w:r>
      <w:r w:rsidR="0080234E" w:rsidRPr="0080234E">
        <w:rPr>
          <w:rFonts w:ascii="Tahoma" w:hAnsi="Tahoma" w:cs="Tahoma"/>
          <w:i/>
        </w:rPr>
        <w:t>Aprender</w:t>
      </w:r>
      <w:r w:rsidR="0080234E" w:rsidRPr="0080234E">
        <w:rPr>
          <w:rFonts w:ascii="Tahoma" w:hAnsi="Tahoma" w:cs="Tahoma"/>
        </w:rPr>
        <w:t>, 29, 9-20.</w:t>
      </w:r>
      <w:r w:rsidRPr="00FB52FA">
        <w:rPr>
          <w:rFonts w:ascii="Tahoma" w:hAnsi="Tahoma" w:cs="Tahoma"/>
        </w:rPr>
        <w:t xml:space="preserve"> Cited in: Soares, A., Pereira, M., &amp;</w:t>
      </w:r>
      <w:r w:rsidR="004176D9" w:rsidRPr="00FB52FA">
        <w:rPr>
          <w:rFonts w:ascii="Tahoma" w:hAnsi="Tahoma" w:cs="Tahoma"/>
        </w:rPr>
        <w:t xml:space="preserve"> </w:t>
      </w:r>
      <w:r w:rsidRPr="00FB52FA">
        <w:rPr>
          <w:rFonts w:ascii="Tahoma" w:hAnsi="Tahoma" w:cs="Tahoma"/>
        </w:rPr>
        <w:t>Canavarro, J. (2013)</w:t>
      </w:r>
      <w:r w:rsidR="004176D9" w:rsidRPr="00FB52FA">
        <w:rPr>
          <w:rFonts w:ascii="Tahoma" w:hAnsi="Tahoma" w:cs="Tahoma"/>
        </w:rPr>
        <w:t>.</w:t>
      </w:r>
      <w:r w:rsidRPr="00FB52FA">
        <w:rPr>
          <w:rFonts w:ascii="Tahoma" w:hAnsi="Tahoma" w:cs="Tahoma"/>
        </w:rPr>
        <w:t xml:space="preserve"> Transition to </w:t>
      </w:r>
      <w:r w:rsidR="005D7FC3">
        <w:rPr>
          <w:rFonts w:ascii="Tahoma" w:hAnsi="Tahoma" w:cs="Tahoma"/>
        </w:rPr>
        <w:t>h</w:t>
      </w:r>
      <w:r w:rsidRPr="00FB52FA">
        <w:rPr>
          <w:rFonts w:ascii="Tahoma" w:hAnsi="Tahoma" w:cs="Tahoma"/>
        </w:rPr>
        <w:t xml:space="preserve">igher </w:t>
      </w:r>
      <w:r w:rsidR="005D7FC3">
        <w:rPr>
          <w:rFonts w:ascii="Tahoma" w:hAnsi="Tahoma" w:cs="Tahoma"/>
        </w:rPr>
        <w:t>E</w:t>
      </w:r>
      <w:r w:rsidRPr="00FB52FA">
        <w:rPr>
          <w:rFonts w:ascii="Tahoma" w:hAnsi="Tahoma" w:cs="Tahoma"/>
        </w:rPr>
        <w:t>ducation</w:t>
      </w:r>
      <w:r w:rsidR="005D7FC3">
        <w:rPr>
          <w:rFonts w:ascii="Tahoma" w:hAnsi="Tahoma" w:cs="Tahoma"/>
        </w:rPr>
        <w:t xml:space="preserve">: </w:t>
      </w:r>
      <w:r w:rsidR="005D7FC3" w:rsidRPr="005D7FC3">
        <w:rPr>
          <w:rFonts w:ascii="Tahoma" w:hAnsi="Tahoma" w:cs="Tahoma"/>
        </w:rPr>
        <w:t>L</w:t>
      </w:r>
      <w:r w:rsidR="005D7FC3">
        <w:rPr>
          <w:rFonts w:ascii="Tahoma" w:hAnsi="Tahoma" w:cs="Tahoma"/>
        </w:rPr>
        <w:t>ifestyle changes</w:t>
      </w:r>
      <w:r w:rsidR="005D7FC3" w:rsidRPr="005D7FC3">
        <w:rPr>
          <w:rFonts w:ascii="Tahoma" w:hAnsi="Tahoma" w:cs="Tahoma"/>
        </w:rPr>
        <w:t xml:space="preserve">, </w:t>
      </w:r>
      <w:r w:rsidR="005D7FC3">
        <w:rPr>
          <w:rFonts w:ascii="Tahoma" w:hAnsi="Tahoma" w:cs="Tahoma"/>
        </w:rPr>
        <w:t>health condition and academic success of first-year students</w:t>
      </w:r>
      <w:r w:rsidRPr="00FB52FA">
        <w:rPr>
          <w:rFonts w:ascii="Tahoma" w:hAnsi="Tahoma" w:cs="Tahoma"/>
        </w:rPr>
        <w:t xml:space="preserve">. </w:t>
      </w:r>
      <w:r w:rsidR="005D7FC3" w:rsidRPr="005D7FC3">
        <w:rPr>
          <w:rFonts w:ascii="Tahoma" w:hAnsi="Tahoma" w:cs="Tahoma"/>
        </w:rPr>
        <w:t xml:space="preserve">In </w:t>
      </w:r>
      <w:r w:rsidR="005D7FC3">
        <w:rPr>
          <w:rFonts w:ascii="Tahoma" w:hAnsi="Tahoma" w:cs="Tahoma"/>
        </w:rPr>
        <w:t>M.</w:t>
      </w:r>
      <w:r w:rsidR="00350386">
        <w:rPr>
          <w:rFonts w:ascii="Tahoma" w:hAnsi="Tahoma" w:cs="Tahoma"/>
        </w:rPr>
        <w:t xml:space="preserve"> </w:t>
      </w:r>
      <w:r w:rsidR="005D7FC3">
        <w:rPr>
          <w:rFonts w:ascii="Tahoma" w:hAnsi="Tahoma" w:cs="Tahoma"/>
        </w:rPr>
        <w:t>P. Paixao</w:t>
      </w:r>
      <w:r w:rsidR="005D7FC3" w:rsidRPr="005D7FC3">
        <w:rPr>
          <w:rFonts w:ascii="Tahoma" w:hAnsi="Tahoma" w:cs="Tahoma"/>
        </w:rPr>
        <w:t xml:space="preserve">, </w:t>
      </w:r>
      <w:r w:rsidR="005D7FC3">
        <w:rPr>
          <w:rFonts w:ascii="Tahoma" w:hAnsi="Tahoma" w:cs="Tahoma"/>
        </w:rPr>
        <w:t>J.</w:t>
      </w:r>
      <w:r w:rsidR="00350386">
        <w:rPr>
          <w:rFonts w:ascii="Tahoma" w:hAnsi="Tahoma" w:cs="Tahoma"/>
        </w:rPr>
        <w:t xml:space="preserve"> </w:t>
      </w:r>
      <w:r w:rsidR="005D7FC3">
        <w:rPr>
          <w:rFonts w:ascii="Tahoma" w:hAnsi="Tahoma" w:cs="Tahoma"/>
        </w:rPr>
        <w:t xml:space="preserve">T. Da Silva, V. Ortuno, </w:t>
      </w:r>
      <w:r w:rsidR="005D7FC3" w:rsidRPr="005D7FC3">
        <w:rPr>
          <w:rFonts w:ascii="Tahoma" w:hAnsi="Tahoma" w:cs="Tahoma"/>
        </w:rPr>
        <w:t xml:space="preserve">&amp; </w:t>
      </w:r>
      <w:r w:rsidR="005D7FC3">
        <w:rPr>
          <w:rFonts w:ascii="Tahoma" w:hAnsi="Tahoma" w:cs="Tahoma"/>
        </w:rPr>
        <w:t>P</w:t>
      </w:r>
      <w:r w:rsidR="005D7FC3" w:rsidRPr="005D7FC3">
        <w:rPr>
          <w:rFonts w:ascii="Tahoma" w:hAnsi="Tahoma" w:cs="Tahoma"/>
        </w:rPr>
        <w:t xml:space="preserve">. </w:t>
      </w:r>
      <w:r w:rsidR="005D7FC3">
        <w:rPr>
          <w:rFonts w:ascii="Tahoma" w:hAnsi="Tahoma" w:cs="Tahoma"/>
        </w:rPr>
        <w:t>Cordeiro</w:t>
      </w:r>
      <w:r w:rsidR="005D7FC3" w:rsidRPr="005D7FC3">
        <w:rPr>
          <w:rFonts w:ascii="Tahoma" w:hAnsi="Tahoma" w:cs="Tahoma"/>
        </w:rPr>
        <w:t xml:space="preserve"> (Eds.), </w:t>
      </w:r>
      <w:r w:rsidR="005D7FC3" w:rsidRPr="00FB52FA">
        <w:rPr>
          <w:rFonts w:ascii="Tahoma" w:hAnsi="Tahoma" w:cs="Tahoma"/>
          <w:i/>
        </w:rPr>
        <w:t>International Studies in Time Perspective</w:t>
      </w:r>
      <w:r w:rsidR="005D7FC3" w:rsidRPr="00FB52FA">
        <w:rPr>
          <w:rFonts w:ascii="Tahoma" w:hAnsi="Tahoma" w:cs="Tahoma"/>
        </w:rPr>
        <w:t xml:space="preserve"> </w:t>
      </w:r>
      <w:r w:rsidR="005D7FC3" w:rsidRPr="005D7FC3">
        <w:rPr>
          <w:rFonts w:ascii="Tahoma" w:hAnsi="Tahoma" w:cs="Tahoma"/>
        </w:rPr>
        <w:t>(pp. 1</w:t>
      </w:r>
      <w:r w:rsidR="005D7FC3">
        <w:rPr>
          <w:rFonts w:ascii="Tahoma" w:hAnsi="Tahoma" w:cs="Tahoma"/>
        </w:rPr>
        <w:t>41-</w:t>
      </w:r>
      <w:r w:rsidR="005D7FC3" w:rsidRPr="005D7FC3">
        <w:rPr>
          <w:rFonts w:ascii="Tahoma" w:hAnsi="Tahoma" w:cs="Tahoma"/>
        </w:rPr>
        <w:t>1</w:t>
      </w:r>
      <w:r w:rsidR="005D7FC3">
        <w:rPr>
          <w:rFonts w:ascii="Tahoma" w:hAnsi="Tahoma" w:cs="Tahoma"/>
        </w:rPr>
        <w:t>48</w:t>
      </w:r>
      <w:r w:rsidR="005D7FC3" w:rsidRPr="005D7FC3">
        <w:rPr>
          <w:rFonts w:ascii="Tahoma" w:hAnsi="Tahoma" w:cs="Tahoma"/>
        </w:rPr>
        <w:t xml:space="preserve">). </w:t>
      </w:r>
      <w:r w:rsidR="00350386">
        <w:rPr>
          <w:rFonts w:ascii="Tahoma" w:hAnsi="Tahoma" w:cs="Tahoma"/>
        </w:rPr>
        <w:t>Coimbra, Portugal</w:t>
      </w:r>
      <w:r w:rsidR="005D7FC3" w:rsidRPr="005D7FC3">
        <w:rPr>
          <w:rFonts w:ascii="Tahoma" w:hAnsi="Tahoma" w:cs="Tahoma"/>
        </w:rPr>
        <w:t xml:space="preserve">: </w:t>
      </w:r>
      <w:r w:rsidR="00350386">
        <w:rPr>
          <w:rFonts w:ascii="Tahoma" w:hAnsi="Tahoma" w:cs="Tahoma"/>
        </w:rPr>
        <w:t>University of Coimbra Press</w:t>
      </w:r>
      <w:r w:rsidR="005D7FC3" w:rsidRPr="005D7FC3">
        <w:rPr>
          <w:rFonts w:ascii="Tahoma" w:hAnsi="Tahoma" w:cs="Tahoma"/>
        </w:rPr>
        <w:t>.</w:t>
      </w:r>
    </w:p>
    <w:p w:rsidR="001C3D14" w:rsidRPr="00AA7FF8" w:rsidRDefault="001C3D14" w:rsidP="00184B9D">
      <w:pPr>
        <w:spacing w:line="360" w:lineRule="auto"/>
        <w:ind w:firstLine="720"/>
        <w:rPr>
          <w:rFonts w:ascii="Tahoma" w:hAnsi="Tahoma" w:cs="Tahoma"/>
        </w:rPr>
      </w:pPr>
      <w:r w:rsidRPr="00AA7FF8">
        <w:rPr>
          <w:rFonts w:ascii="Tahoma" w:hAnsi="Tahoma" w:cs="Tahoma"/>
        </w:rPr>
        <w:t xml:space="preserve">Simm, D., Marvell, A., Winlow, H. </w:t>
      </w:r>
      <w:r w:rsidR="00C04DBF">
        <w:rPr>
          <w:rFonts w:ascii="Tahoma" w:hAnsi="Tahoma" w:cs="Tahoma"/>
        </w:rPr>
        <w:t>&amp;</w:t>
      </w:r>
      <w:r w:rsidRPr="00AA7FF8">
        <w:rPr>
          <w:rFonts w:ascii="Tahoma" w:hAnsi="Tahoma" w:cs="Tahoma"/>
        </w:rPr>
        <w:t xml:space="preserve"> Schaaf, R., </w:t>
      </w:r>
      <w:r w:rsidR="00C04DBF">
        <w:rPr>
          <w:rFonts w:ascii="Tahoma" w:hAnsi="Tahoma" w:cs="Tahoma"/>
        </w:rPr>
        <w:t>(</w:t>
      </w:r>
      <w:r w:rsidRPr="00AA7FF8">
        <w:rPr>
          <w:rFonts w:ascii="Tahoma" w:hAnsi="Tahoma" w:cs="Tahoma"/>
        </w:rPr>
        <w:t>2011</w:t>
      </w:r>
      <w:r w:rsidR="00C04DBF">
        <w:rPr>
          <w:rFonts w:ascii="Tahoma" w:hAnsi="Tahoma" w:cs="Tahoma"/>
        </w:rPr>
        <w:t>)</w:t>
      </w:r>
      <w:r w:rsidRPr="00AA7FF8">
        <w:rPr>
          <w:rFonts w:ascii="Tahoma" w:hAnsi="Tahoma" w:cs="Tahoma"/>
        </w:rPr>
        <w:t>. Student experiences of foundation degrees in further and higher education. </w:t>
      </w:r>
      <w:r w:rsidRPr="00AA7FF8">
        <w:rPr>
          <w:rFonts w:ascii="Tahoma" w:hAnsi="Tahoma" w:cs="Tahoma"/>
          <w:i/>
        </w:rPr>
        <w:t>Planet</w:t>
      </w:r>
      <w:r w:rsidRPr="00AA7FF8">
        <w:rPr>
          <w:rFonts w:ascii="Tahoma" w:hAnsi="Tahoma" w:cs="Tahoma"/>
        </w:rPr>
        <w:t>, 24(1), 2-9.</w:t>
      </w:r>
    </w:p>
    <w:p w:rsidR="001C3D14" w:rsidRPr="00AA7FF8" w:rsidRDefault="001C3D14" w:rsidP="00184B9D">
      <w:pPr>
        <w:spacing w:line="360" w:lineRule="auto"/>
        <w:ind w:firstLine="720"/>
        <w:rPr>
          <w:rFonts w:ascii="Tahoma" w:hAnsi="Tahoma" w:cs="Tahoma"/>
        </w:rPr>
      </w:pPr>
      <w:r w:rsidRPr="00FB52FA">
        <w:rPr>
          <w:rFonts w:ascii="Tahoma" w:hAnsi="Tahoma" w:cs="Tahoma"/>
        </w:rPr>
        <w:t>Sogunro, O.</w:t>
      </w:r>
      <w:r w:rsidR="00C04DBF" w:rsidRPr="00FB52FA">
        <w:rPr>
          <w:rFonts w:ascii="Tahoma" w:hAnsi="Tahoma" w:cs="Tahoma"/>
        </w:rPr>
        <w:t xml:space="preserve"> </w:t>
      </w:r>
      <w:r w:rsidRPr="00FB52FA">
        <w:rPr>
          <w:rFonts w:ascii="Tahoma" w:hAnsi="Tahoma" w:cs="Tahoma"/>
        </w:rPr>
        <w:t>A., (2014). Motivating factors for adult learners in higher education. </w:t>
      </w:r>
      <w:r w:rsidRPr="00FB52FA">
        <w:rPr>
          <w:rFonts w:ascii="Tahoma" w:hAnsi="Tahoma" w:cs="Tahoma"/>
          <w:i/>
        </w:rPr>
        <w:t>International Journal of Higher Education</w:t>
      </w:r>
      <w:r w:rsidRPr="00FB52FA">
        <w:rPr>
          <w:rFonts w:ascii="Tahoma" w:hAnsi="Tahoma" w:cs="Tahoma"/>
        </w:rPr>
        <w:t>, 4(1), 22.</w:t>
      </w:r>
    </w:p>
    <w:p w:rsidR="001C3D14" w:rsidRPr="00AA7FF8" w:rsidRDefault="001C3D14" w:rsidP="00184B9D">
      <w:pPr>
        <w:spacing w:line="360" w:lineRule="auto"/>
        <w:ind w:firstLine="720"/>
        <w:rPr>
          <w:rFonts w:ascii="Tahoma" w:hAnsi="Tahoma" w:cs="Tahoma"/>
        </w:rPr>
      </w:pPr>
      <w:r w:rsidRPr="00AA7FF8">
        <w:rPr>
          <w:rFonts w:ascii="Tahoma" w:hAnsi="Tahoma" w:cs="Tahoma"/>
        </w:rPr>
        <w:t>Stephens, N.</w:t>
      </w:r>
      <w:r w:rsidR="00C04DBF">
        <w:rPr>
          <w:rFonts w:ascii="Tahoma" w:hAnsi="Tahoma" w:cs="Tahoma"/>
        </w:rPr>
        <w:t xml:space="preserve"> </w:t>
      </w:r>
      <w:r w:rsidRPr="00AA7FF8">
        <w:rPr>
          <w:rFonts w:ascii="Tahoma" w:hAnsi="Tahoma" w:cs="Tahoma"/>
        </w:rPr>
        <w:t>M., Hamedani, M.</w:t>
      </w:r>
      <w:r w:rsidR="00C04DBF">
        <w:rPr>
          <w:rFonts w:ascii="Tahoma" w:hAnsi="Tahoma" w:cs="Tahoma"/>
        </w:rPr>
        <w:t xml:space="preserve"> </w:t>
      </w:r>
      <w:r w:rsidRPr="00AA7FF8">
        <w:rPr>
          <w:rFonts w:ascii="Tahoma" w:hAnsi="Tahoma" w:cs="Tahoma"/>
        </w:rPr>
        <w:t>G. and Destin, M., (2014). Closing the social-class achievement gap: A difference-education intervention improves first-generation students’ academic performance and all students’ college transition. </w:t>
      </w:r>
      <w:r w:rsidRPr="00AA7FF8">
        <w:rPr>
          <w:rFonts w:ascii="Tahoma" w:hAnsi="Tahoma" w:cs="Tahoma"/>
          <w:i/>
        </w:rPr>
        <w:t>Psychological Science</w:t>
      </w:r>
      <w:r w:rsidRPr="00AA7FF8">
        <w:rPr>
          <w:rFonts w:ascii="Tahoma" w:hAnsi="Tahoma" w:cs="Tahoma"/>
        </w:rPr>
        <w:t>, 25(4), 943-953.</w:t>
      </w:r>
    </w:p>
    <w:p w:rsidR="001C3D14" w:rsidRPr="00AA7FF8" w:rsidRDefault="001C3D14" w:rsidP="00184B9D">
      <w:pPr>
        <w:spacing w:line="360" w:lineRule="auto"/>
        <w:ind w:firstLine="720"/>
        <w:rPr>
          <w:rFonts w:ascii="Tahoma" w:hAnsi="Tahoma" w:cs="Tahoma"/>
        </w:rPr>
      </w:pPr>
      <w:r w:rsidRPr="00AA7FF8">
        <w:rPr>
          <w:rFonts w:ascii="Tahoma" w:hAnsi="Tahoma" w:cs="Tahoma"/>
        </w:rPr>
        <w:t xml:space="preserve">Tam, M., </w:t>
      </w:r>
      <w:r w:rsidR="00C04DBF">
        <w:rPr>
          <w:rFonts w:ascii="Tahoma" w:hAnsi="Tahoma" w:cs="Tahoma"/>
        </w:rPr>
        <w:t>(</w:t>
      </w:r>
      <w:r w:rsidRPr="00AA7FF8">
        <w:rPr>
          <w:rFonts w:ascii="Tahoma" w:hAnsi="Tahoma" w:cs="Tahoma"/>
        </w:rPr>
        <w:t>2014</w:t>
      </w:r>
      <w:r w:rsidR="00C04DBF">
        <w:rPr>
          <w:rFonts w:ascii="Tahoma" w:hAnsi="Tahoma" w:cs="Tahoma"/>
        </w:rPr>
        <w:t>)</w:t>
      </w:r>
      <w:r w:rsidRPr="00AA7FF8">
        <w:rPr>
          <w:rFonts w:ascii="Tahoma" w:hAnsi="Tahoma" w:cs="Tahoma"/>
        </w:rPr>
        <w:t>. Outcomes-based approach to quality assessment and curriculum improvement in higher education. </w:t>
      </w:r>
      <w:r w:rsidRPr="00AA7FF8">
        <w:rPr>
          <w:rFonts w:ascii="Tahoma" w:hAnsi="Tahoma" w:cs="Tahoma"/>
          <w:i/>
        </w:rPr>
        <w:t>Quality Assurance in Education</w:t>
      </w:r>
      <w:r w:rsidRPr="00AA7FF8">
        <w:rPr>
          <w:rFonts w:ascii="Tahoma" w:hAnsi="Tahoma" w:cs="Tahoma"/>
        </w:rPr>
        <w:t>, 22(2),</w:t>
      </w:r>
      <w:r w:rsidR="00FA6F44">
        <w:rPr>
          <w:rFonts w:ascii="Tahoma" w:hAnsi="Tahoma" w:cs="Tahoma"/>
        </w:rPr>
        <w:t xml:space="preserve"> </w:t>
      </w:r>
      <w:r w:rsidRPr="00AA7FF8">
        <w:rPr>
          <w:rFonts w:ascii="Tahoma" w:hAnsi="Tahoma" w:cs="Tahoma"/>
        </w:rPr>
        <w:t>158-168.</w:t>
      </w:r>
    </w:p>
    <w:p w:rsidR="001C3D14" w:rsidRPr="00AA7FF8" w:rsidRDefault="001C3D14" w:rsidP="00184B9D">
      <w:pPr>
        <w:spacing w:line="360" w:lineRule="auto"/>
        <w:ind w:firstLine="720"/>
        <w:rPr>
          <w:rFonts w:ascii="Tahoma" w:hAnsi="Tahoma" w:cs="Tahoma"/>
        </w:rPr>
      </w:pPr>
      <w:r w:rsidRPr="00632E00">
        <w:rPr>
          <w:rFonts w:ascii="Tahoma" w:hAnsi="Tahoma" w:cs="Tahoma"/>
        </w:rPr>
        <w:t>Tranter, P., &amp; Warn, J.</w:t>
      </w:r>
      <w:r w:rsidR="00C04DBF" w:rsidRPr="00632E00">
        <w:rPr>
          <w:rFonts w:ascii="Tahoma" w:hAnsi="Tahoma" w:cs="Tahoma"/>
        </w:rPr>
        <w:t>,</w:t>
      </w:r>
      <w:r w:rsidRPr="00632E00">
        <w:rPr>
          <w:rFonts w:ascii="Tahoma" w:hAnsi="Tahoma" w:cs="Tahoma"/>
        </w:rPr>
        <w:t xml:space="preserve"> (2003). Education for flexibility in a changing world: </w:t>
      </w:r>
      <w:r w:rsidR="00350386" w:rsidRPr="00632E00">
        <w:rPr>
          <w:rFonts w:ascii="Tahoma" w:hAnsi="Tahoma" w:cs="Tahoma"/>
        </w:rPr>
        <w:t>A</w:t>
      </w:r>
      <w:r w:rsidRPr="00632E00">
        <w:rPr>
          <w:rFonts w:ascii="Tahoma" w:hAnsi="Tahoma" w:cs="Tahoma"/>
        </w:rPr>
        <w:t xml:space="preserve"> case study of competency development in university graduates. </w:t>
      </w:r>
      <w:r w:rsidR="00632E00" w:rsidRPr="00632E00">
        <w:rPr>
          <w:rFonts w:ascii="Tahoma" w:hAnsi="Tahoma" w:cs="Tahoma"/>
        </w:rPr>
        <w:t xml:space="preserve">Paper presented at the International Conference of the Higher Education Research and Development Society of Australiasia, Christchruch, New Zealand, </w:t>
      </w:r>
      <w:r w:rsidR="00632E00">
        <w:rPr>
          <w:rFonts w:ascii="Tahoma" w:hAnsi="Tahoma" w:cs="Tahoma"/>
        </w:rPr>
        <w:t xml:space="preserve">July </w:t>
      </w:r>
      <w:r w:rsidR="00632E00" w:rsidRPr="00632E00">
        <w:rPr>
          <w:rFonts w:ascii="Tahoma" w:hAnsi="Tahoma" w:cs="Tahoma"/>
        </w:rPr>
        <w:t>6-9</w:t>
      </w:r>
      <w:r w:rsidR="00632E00">
        <w:rPr>
          <w:rFonts w:ascii="Tahoma" w:hAnsi="Tahoma" w:cs="Tahoma"/>
        </w:rPr>
        <w:t>.</w:t>
      </w:r>
    </w:p>
    <w:p w:rsidR="001C3D14" w:rsidRPr="00AA7FF8" w:rsidRDefault="001C3D14" w:rsidP="00184B9D">
      <w:pPr>
        <w:spacing w:line="360" w:lineRule="auto"/>
        <w:ind w:firstLine="720"/>
        <w:rPr>
          <w:rFonts w:ascii="Tahoma" w:hAnsi="Tahoma" w:cs="Tahoma"/>
        </w:rPr>
      </w:pPr>
      <w:r w:rsidRPr="00FB52FA">
        <w:rPr>
          <w:rFonts w:ascii="Tahoma" w:hAnsi="Tahoma" w:cs="Tahoma"/>
        </w:rPr>
        <w:t>Universities U.K., (2017). Patterns and Trends in Higher Education</w:t>
      </w:r>
      <w:r w:rsidR="00FB52FA" w:rsidRPr="00FB52FA">
        <w:rPr>
          <w:rFonts w:ascii="Tahoma" w:hAnsi="Tahoma" w:cs="Tahoma"/>
        </w:rPr>
        <w:t xml:space="preserve"> [online]</w:t>
      </w:r>
      <w:r w:rsidRPr="00FB52FA">
        <w:rPr>
          <w:rFonts w:ascii="Tahoma" w:hAnsi="Tahoma" w:cs="Tahoma"/>
        </w:rPr>
        <w:t>. Universities U.K.</w:t>
      </w:r>
      <w:r w:rsidR="00050306">
        <w:rPr>
          <w:rFonts w:ascii="Tahoma" w:hAnsi="Tahoma" w:cs="Tahoma"/>
        </w:rPr>
        <w:t>, London</w:t>
      </w:r>
      <w:r w:rsidRPr="00FB52FA">
        <w:rPr>
          <w:rFonts w:ascii="Tahoma" w:hAnsi="Tahoma" w:cs="Tahoma"/>
        </w:rPr>
        <w:t xml:space="preserve"> </w:t>
      </w:r>
      <w:r w:rsidR="00FB52FA" w:rsidRPr="00FB52FA">
        <w:rPr>
          <w:rFonts w:ascii="Tahoma" w:hAnsi="Tahoma" w:cs="Tahoma"/>
        </w:rPr>
        <w:t>[Viewed 14</w:t>
      </w:r>
      <w:r w:rsidR="00FB52FA" w:rsidRPr="00FB52FA">
        <w:rPr>
          <w:rFonts w:ascii="Tahoma" w:hAnsi="Tahoma" w:cs="Tahoma"/>
          <w:vertAlign w:val="superscript"/>
        </w:rPr>
        <w:t>th</w:t>
      </w:r>
      <w:r w:rsidR="00FB52FA" w:rsidRPr="00FB52FA">
        <w:rPr>
          <w:rFonts w:ascii="Tahoma" w:hAnsi="Tahoma" w:cs="Tahoma"/>
        </w:rPr>
        <w:t xml:space="preserve"> October 2018]. </w:t>
      </w:r>
      <w:r w:rsidRPr="00FB52FA">
        <w:rPr>
          <w:rFonts w:ascii="Tahoma" w:hAnsi="Tahoma" w:cs="Tahoma"/>
        </w:rPr>
        <w:t xml:space="preserve">Available </w:t>
      </w:r>
      <w:r w:rsidR="00FB52FA" w:rsidRPr="00FB52FA">
        <w:rPr>
          <w:rFonts w:ascii="Tahoma" w:hAnsi="Tahoma" w:cs="Tahoma"/>
        </w:rPr>
        <w:t>from</w:t>
      </w:r>
      <w:r w:rsidRPr="00FB52FA">
        <w:rPr>
          <w:rFonts w:ascii="Tahoma" w:hAnsi="Tahoma" w:cs="Tahoma"/>
        </w:rPr>
        <w:t xml:space="preserve">: </w:t>
      </w:r>
      <w:hyperlink r:id="rId14" w:history="1">
        <w:r w:rsidRPr="00FB52FA">
          <w:rPr>
            <w:rStyle w:val="Hyperlink"/>
            <w:rFonts w:ascii="Tahoma" w:hAnsi="Tahoma" w:cs="Tahoma"/>
          </w:rPr>
          <w:t>https://www.universitiesuk.ac.uk/facts-and-s</w:t>
        </w:r>
        <w:r w:rsidRPr="00FB52FA">
          <w:rPr>
            <w:rStyle w:val="Hyperlink"/>
            <w:rFonts w:ascii="Tahoma" w:hAnsi="Tahoma" w:cs="Tahoma"/>
          </w:rPr>
          <w:t>t</w:t>
        </w:r>
        <w:r w:rsidRPr="00FB52FA">
          <w:rPr>
            <w:rStyle w:val="Hyperlink"/>
            <w:rFonts w:ascii="Tahoma" w:hAnsi="Tahoma" w:cs="Tahoma"/>
          </w:rPr>
          <w:t>ats/data-and-analysis/Pages/patterns-and-trends-2017.aspx</w:t>
        </w:r>
      </w:hyperlink>
    </w:p>
    <w:p w:rsidR="00FB52FA" w:rsidRDefault="00FB52FA" w:rsidP="00184B9D">
      <w:pPr>
        <w:spacing w:line="360" w:lineRule="auto"/>
        <w:ind w:firstLine="720"/>
        <w:rPr>
          <w:rFonts w:ascii="Tahoma" w:hAnsi="Tahoma" w:cs="Tahoma"/>
        </w:rPr>
      </w:pPr>
      <w:r w:rsidRPr="00FB52FA">
        <w:rPr>
          <w:rFonts w:ascii="Tahoma" w:hAnsi="Tahoma" w:cs="Tahoma"/>
        </w:rPr>
        <w:t>Walsh, S., Cullinan, J.</w:t>
      </w:r>
      <w:r w:rsidR="00050306">
        <w:rPr>
          <w:rFonts w:ascii="Tahoma" w:hAnsi="Tahoma" w:cs="Tahoma"/>
        </w:rPr>
        <w:t>, &amp;</w:t>
      </w:r>
      <w:r w:rsidRPr="00FB52FA">
        <w:rPr>
          <w:rFonts w:ascii="Tahoma" w:hAnsi="Tahoma" w:cs="Tahoma"/>
        </w:rPr>
        <w:t xml:space="preserve"> Flannery, D., </w:t>
      </w:r>
      <w:r>
        <w:rPr>
          <w:rFonts w:ascii="Tahoma" w:hAnsi="Tahoma" w:cs="Tahoma"/>
        </w:rPr>
        <w:t>(</w:t>
      </w:r>
      <w:r w:rsidRPr="00FB52FA">
        <w:rPr>
          <w:rFonts w:ascii="Tahoma" w:hAnsi="Tahoma" w:cs="Tahoma"/>
        </w:rPr>
        <w:t>2018</w:t>
      </w:r>
      <w:r>
        <w:rPr>
          <w:rFonts w:ascii="Tahoma" w:hAnsi="Tahoma" w:cs="Tahoma"/>
        </w:rPr>
        <w:t>)</w:t>
      </w:r>
      <w:r w:rsidRPr="00FB52FA">
        <w:rPr>
          <w:rFonts w:ascii="Tahoma" w:hAnsi="Tahoma" w:cs="Tahoma"/>
        </w:rPr>
        <w:t xml:space="preserve">. Exploring heterogeneity in willingness to pay for the attributes of higher education institutions. </w:t>
      </w:r>
      <w:r w:rsidRPr="00FB52FA">
        <w:rPr>
          <w:rFonts w:ascii="Tahoma" w:hAnsi="Tahoma" w:cs="Tahoma"/>
          <w:i/>
        </w:rPr>
        <w:t>Oxford Economic Papers</w:t>
      </w:r>
      <w:r>
        <w:rPr>
          <w:rFonts w:ascii="Tahoma" w:hAnsi="Tahoma" w:cs="Tahoma"/>
        </w:rPr>
        <w:t>.</w:t>
      </w:r>
      <w:r w:rsidRPr="00FB52FA">
        <w:rPr>
          <w:rFonts w:ascii="Tahoma" w:hAnsi="Tahoma" w:cs="Tahoma"/>
        </w:rPr>
        <w:t xml:space="preserve"> 71(1), 203-224.</w:t>
      </w:r>
    </w:p>
    <w:p w:rsidR="001C3D14" w:rsidRDefault="001C3D14" w:rsidP="00184B9D">
      <w:pPr>
        <w:spacing w:line="360" w:lineRule="auto"/>
        <w:ind w:firstLine="720"/>
        <w:rPr>
          <w:rFonts w:ascii="Tahoma" w:hAnsi="Tahoma" w:cs="Tahoma"/>
        </w:rPr>
      </w:pPr>
      <w:r w:rsidRPr="00AA7FF8">
        <w:rPr>
          <w:rFonts w:ascii="Tahoma" w:hAnsi="Tahoma" w:cs="Tahoma"/>
        </w:rPr>
        <w:t>Wilkins, S., Shams, F., &amp; Huisman, J.</w:t>
      </w:r>
      <w:r w:rsidR="004307CB">
        <w:rPr>
          <w:rFonts w:ascii="Tahoma" w:hAnsi="Tahoma" w:cs="Tahoma"/>
        </w:rPr>
        <w:t>,</w:t>
      </w:r>
      <w:r w:rsidRPr="00AA7FF8">
        <w:rPr>
          <w:rFonts w:ascii="Tahoma" w:hAnsi="Tahoma" w:cs="Tahoma"/>
        </w:rPr>
        <w:t xml:space="preserve"> (2013). The decision-making and changing behavioural dynamics of potential higher education students: the impacts of increasing tuition fees in England. </w:t>
      </w:r>
      <w:r w:rsidRPr="00AA7FF8">
        <w:rPr>
          <w:rFonts w:ascii="Tahoma" w:hAnsi="Tahoma" w:cs="Tahoma"/>
          <w:i/>
        </w:rPr>
        <w:t>Educational Studies</w:t>
      </w:r>
      <w:r w:rsidRPr="00AA7FF8">
        <w:rPr>
          <w:rFonts w:ascii="Tahoma" w:hAnsi="Tahoma" w:cs="Tahoma"/>
        </w:rPr>
        <w:t>, 39(2), 125-141.</w:t>
      </w:r>
    </w:p>
    <w:p w:rsidR="00581454" w:rsidRPr="00EA0D4B" w:rsidRDefault="001C3D14" w:rsidP="00184B9D">
      <w:pPr>
        <w:spacing w:line="360" w:lineRule="auto"/>
        <w:ind w:firstLine="720"/>
        <w:rPr>
          <w:rFonts w:ascii="Tahoma" w:hAnsi="Tahoma" w:cs="Tahoma"/>
        </w:rPr>
      </w:pPr>
      <w:r w:rsidRPr="00581454">
        <w:rPr>
          <w:rFonts w:ascii="Tahoma" w:hAnsi="Tahoma" w:cs="Tahoma"/>
        </w:rPr>
        <w:t>Yorke, M.</w:t>
      </w:r>
      <w:r w:rsidR="00F91EF8">
        <w:rPr>
          <w:rFonts w:ascii="Tahoma" w:hAnsi="Tahoma" w:cs="Tahoma"/>
        </w:rPr>
        <w:t>,</w:t>
      </w:r>
      <w:r w:rsidRPr="00581454">
        <w:rPr>
          <w:rFonts w:ascii="Tahoma" w:hAnsi="Tahoma" w:cs="Tahoma"/>
        </w:rPr>
        <w:t xml:space="preserve"> </w:t>
      </w:r>
      <w:r w:rsidR="00F91EF8">
        <w:rPr>
          <w:rFonts w:ascii="Tahoma" w:hAnsi="Tahoma" w:cs="Tahoma"/>
        </w:rPr>
        <w:t xml:space="preserve">&amp; </w:t>
      </w:r>
      <w:r w:rsidRPr="00581454">
        <w:rPr>
          <w:rFonts w:ascii="Tahoma" w:hAnsi="Tahoma" w:cs="Tahoma"/>
        </w:rPr>
        <w:t>Thomas, L.</w:t>
      </w:r>
      <w:r w:rsidR="004307CB">
        <w:rPr>
          <w:rFonts w:ascii="Tahoma" w:hAnsi="Tahoma" w:cs="Tahoma"/>
        </w:rPr>
        <w:t>,</w:t>
      </w:r>
      <w:r w:rsidRPr="00581454">
        <w:rPr>
          <w:rFonts w:ascii="Tahoma" w:hAnsi="Tahoma" w:cs="Tahoma"/>
        </w:rPr>
        <w:t xml:space="preserve"> </w:t>
      </w:r>
      <w:r>
        <w:rPr>
          <w:rFonts w:ascii="Tahoma" w:hAnsi="Tahoma" w:cs="Tahoma"/>
        </w:rPr>
        <w:t>(</w:t>
      </w:r>
      <w:r w:rsidRPr="00581454">
        <w:rPr>
          <w:rFonts w:ascii="Tahoma" w:hAnsi="Tahoma" w:cs="Tahoma"/>
        </w:rPr>
        <w:t>2003</w:t>
      </w:r>
      <w:r>
        <w:rPr>
          <w:rFonts w:ascii="Tahoma" w:hAnsi="Tahoma" w:cs="Tahoma"/>
        </w:rPr>
        <w:t>)</w:t>
      </w:r>
      <w:r w:rsidRPr="00581454">
        <w:rPr>
          <w:rFonts w:ascii="Tahoma" w:hAnsi="Tahoma" w:cs="Tahoma"/>
        </w:rPr>
        <w:t xml:space="preserve">. Improving the retention of students from lower socio-economic groups. </w:t>
      </w:r>
      <w:r w:rsidRPr="00FB232D">
        <w:rPr>
          <w:rFonts w:ascii="Tahoma" w:hAnsi="Tahoma" w:cs="Tahoma"/>
          <w:i/>
        </w:rPr>
        <w:t xml:space="preserve">Journal of </w:t>
      </w:r>
      <w:r>
        <w:rPr>
          <w:rFonts w:ascii="Tahoma" w:hAnsi="Tahoma" w:cs="Tahoma"/>
          <w:i/>
        </w:rPr>
        <w:t>H</w:t>
      </w:r>
      <w:r w:rsidRPr="00FB232D">
        <w:rPr>
          <w:rFonts w:ascii="Tahoma" w:hAnsi="Tahoma" w:cs="Tahoma"/>
          <w:i/>
        </w:rPr>
        <w:t xml:space="preserve">igher </w:t>
      </w:r>
      <w:r>
        <w:rPr>
          <w:rFonts w:ascii="Tahoma" w:hAnsi="Tahoma" w:cs="Tahoma"/>
          <w:i/>
        </w:rPr>
        <w:t>E</w:t>
      </w:r>
      <w:r w:rsidRPr="00FB232D">
        <w:rPr>
          <w:rFonts w:ascii="Tahoma" w:hAnsi="Tahoma" w:cs="Tahoma"/>
          <w:i/>
        </w:rPr>
        <w:t xml:space="preserve">ducation </w:t>
      </w:r>
      <w:r>
        <w:rPr>
          <w:rFonts w:ascii="Tahoma" w:hAnsi="Tahoma" w:cs="Tahoma"/>
          <w:i/>
        </w:rPr>
        <w:t>P</w:t>
      </w:r>
      <w:r w:rsidRPr="00FB232D">
        <w:rPr>
          <w:rFonts w:ascii="Tahoma" w:hAnsi="Tahoma" w:cs="Tahoma"/>
          <w:i/>
        </w:rPr>
        <w:t xml:space="preserve">olicy and </w:t>
      </w:r>
      <w:r>
        <w:rPr>
          <w:rFonts w:ascii="Tahoma" w:hAnsi="Tahoma" w:cs="Tahoma"/>
          <w:i/>
        </w:rPr>
        <w:t>M</w:t>
      </w:r>
      <w:r w:rsidRPr="00FB232D">
        <w:rPr>
          <w:rFonts w:ascii="Tahoma" w:hAnsi="Tahoma" w:cs="Tahoma"/>
          <w:i/>
        </w:rPr>
        <w:t>anagement</w:t>
      </w:r>
      <w:r w:rsidRPr="00581454">
        <w:rPr>
          <w:rFonts w:ascii="Tahoma" w:hAnsi="Tahoma" w:cs="Tahoma"/>
        </w:rPr>
        <w:t>, 25(1), 63-74.</w:t>
      </w:r>
    </w:p>
    <w:sectPr w:rsidR="00581454" w:rsidRPr="00EA0D4B" w:rsidSect="00A93198">
      <w:headerReference w:type="default" r:id="rId15"/>
      <w:footerReference w:type="default" r:id="rId16"/>
      <w:pgSz w:w="11906" w:h="16838"/>
      <w:pgMar w:top="1440" w:right="1797" w:bottom="1440" w:left="1797" w:header="708" w:footer="708" w:gutter="0"/>
      <w:pgNumType w:start="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60B" w:rsidRDefault="0004660B" w:rsidP="00296E30">
      <w:pPr>
        <w:spacing w:after="0" w:line="240" w:lineRule="auto"/>
      </w:pPr>
      <w:r>
        <w:separator/>
      </w:r>
    </w:p>
  </w:endnote>
  <w:endnote w:type="continuationSeparator" w:id="0">
    <w:p w:rsidR="0004660B" w:rsidRDefault="0004660B" w:rsidP="0029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198" w:rsidRDefault="00A93198">
    <w:pPr>
      <w:pStyle w:val="Footer"/>
    </w:pPr>
    <w:r>
      <w:t>Innovative Practice in Higher Education</w:t>
    </w:r>
    <w:r>
      <w:tab/>
    </w:r>
    <w:r>
      <w:tab/>
    </w:r>
    <w:r>
      <w:fldChar w:fldCharType="begin"/>
    </w:r>
    <w:r>
      <w:instrText xml:space="preserve"> PAGE   \* MERGEFORMAT </w:instrText>
    </w:r>
    <w:r>
      <w:fldChar w:fldCharType="separate"/>
    </w:r>
    <w:r>
      <w:rPr>
        <w:noProof/>
      </w:rPr>
      <w:t>90</w:t>
    </w:r>
    <w:r>
      <w:fldChar w:fldCharType="end"/>
    </w:r>
  </w:p>
  <w:p w:rsidR="00A93198" w:rsidRDefault="00A93198">
    <w:pPr>
      <w:pStyle w:val="Footer"/>
    </w:pPr>
    <w:r>
      <w:rPr>
        <w:rFonts w:cs="Calibri"/>
      </w:rPr>
      <w:t>©</w:t>
    </w:r>
    <w:r>
      <w:t>IPiHE 2019</w:t>
    </w:r>
  </w:p>
  <w:p w:rsidR="00A93198" w:rsidRDefault="00A93198">
    <w:pPr>
      <w:pStyle w:val="Footer"/>
    </w:pPr>
    <w: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60B" w:rsidRDefault="0004660B" w:rsidP="00296E30">
      <w:pPr>
        <w:spacing w:after="0" w:line="240" w:lineRule="auto"/>
      </w:pPr>
      <w:r>
        <w:separator/>
      </w:r>
    </w:p>
  </w:footnote>
  <w:footnote w:type="continuationSeparator" w:id="0">
    <w:p w:rsidR="0004660B" w:rsidRDefault="0004660B" w:rsidP="0029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12F" w:rsidRDefault="00A8012F">
    <w:pPr>
      <w:pStyle w:val="Header"/>
    </w:pPr>
    <w:r>
      <w:t>Innovative Practice in Higher Education</w:t>
    </w:r>
    <w:r>
      <w:tab/>
    </w:r>
    <w:r>
      <w:tab/>
      <w:t>Gill</w:t>
    </w:r>
  </w:p>
  <w:p w:rsidR="00A8012F" w:rsidRDefault="00A8012F">
    <w:pPr>
      <w:pStyle w:val="Header"/>
    </w:pPr>
    <w:r>
      <w:t>Vol. 3(3) April 2019</w:t>
    </w:r>
    <w:r>
      <w:tab/>
    </w:r>
    <w:r>
      <w:tab/>
      <w:t>Student Transitions into 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51588"/>
    <w:multiLevelType w:val="hybridMultilevel"/>
    <w:tmpl w:val="0F0C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E30"/>
    <w:rsid w:val="000005C4"/>
    <w:rsid w:val="00000794"/>
    <w:rsid w:val="000008A0"/>
    <w:rsid w:val="0000178A"/>
    <w:rsid w:val="00002F3B"/>
    <w:rsid w:val="000036AE"/>
    <w:rsid w:val="000037AB"/>
    <w:rsid w:val="0000560F"/>
    <w:rsid w:val="0000627E"/>
    <w:rsid w:val="000065B3"/>
    <w:rsid w:val="00006725"/>
    <w:rsid w:val="000069D1"/>
    <w:rsid w:val="00006B6C"/>
    <w:rsid w:val="000103DF"/>
    <w:rsid w:val="00012099"/>
    <w:rsid w:val="0001258A"/>
    <w:rsid w:val="000132A3"/>
    <w:rsid w:val="00013983"/>
    <w:rsid w:val="000160DC"/>
    <w:rsid w:val="00017124"/>
    <w:rsid w:val="000177D4"/>
    <w:rsid w:val="0002046A"/>
    <w:rsid w:val="000220D0"/>
    <w:rsid w:val="000236CB"/>
    <w:rsid w:val="00024A3F"/>
    <w:rsid w:val="00024CCC"/>
    <w:rsid w:val="000253D8"/>
    <w:rsid w:val="00025654"/>
    <w:rsid w:val="00025E60"/>
    <w:rsid w:val="00026D8B"/>
    <w:rsid w:val="00031BEC"/>
    <w:rsid w:val="0003209C"/>
    <w:rsid w:val="00032547"/>
    <w:rsid w:val="0003368E"/>
    <w:rsid w:val="00033D14"/>
    <w:rsid w:val="00034537"/>
    <w:rsid w:val="000345D7"/>
    <w:rsid w:val="00034B35"/>
    <w:rsid w:val="00037B1F"/>
    <w:rsid w:val="00040A50"/>
    <w:rsid w:val="00041EBB"/>
    <w:rsid w:val="0004250F"/>
    <w:rsid w:val="00042CD8"/>
    <w:rsid w:val="0004660B"/>
    <w:rsid w:val="00047780"/>
    <w:rsid w:val="00050306"/>
    <w:rsid w:val="000504D6"/>
    <w:rsid w:val="00051B40"/>
    <w:rsid w:val="0005371F"/>
    <w:rsid w:val="00054C04"/>
    <w:rsid w:val="00060083"/>
    <w:rsid w:val="000615A2"/>
    <w:rsid w:val="00062BA7"/>
    <w:rsid w:val="00063069"/>
    <w:rsid w:val="00067191"/>
    <w:rsid w:val="00067E8D"/>
    <w:rsid w:val="00070F6C"/>
    <w:rsid w:val="00072013"/>
    <w:rsid w:val="000725AD"/>
    <w:rsid w:val="00073BDB"/>
    <w:rsid w:val="0007416F"/>
    <w:rsid w:val="000747F0"/>
    <w:rsid w:val="00074F20"/>
    <w:rsid w:val="000750E4"/>
    <w:rsid w:val="00075767"/>
    <w:rsid w:val="00076AE6"/>
    <w:rsid w:val="00076C97"/>
    <w:rsid w:val="000770D4"/>
    <w:rsid w:val="0008012A"/>
    <w:rsid w:val="000810B6"/>
    <w:rsid w:val="000818F0"/>
    <w:rsid w:val="00081DFF"/>
    <w:rsid w:val="0008349A"/>
    <w:rsid w:val="00083C49"/>
    <w:rsid w:val="0008476A"/>
    <w:rsid w:val="00084A91"/>
    <w:rsid w:val="00084FD5"/>
    <w:rsid w:val="00085889"/>
    <w:rsid w:val="00086AEC"/>
    <w:rsid w:val="00087D48"/>
    <w:rsid w:val="00092BA4"/>
    <w:rsid w:val="000935BC"/>
    <w:rsid w:val="000944CB"/>
    <w:rsid w:val="00095DBD"/>
    <w:rsid w:val="00095EC8"/>
    <w:rsid w:val="000A27B8"/>
    <w:rsid w:val="000A2B22"/>
    <w:rsid w:val="000A2DC4"/>
    <w:rsid w:val="000A3505"/>
    <w:rsid w:val="000A3601"/>
    <w:rsid w:val="000A38CC"/>
    <w:rsid w:val="000A3A02"/>
    <w:rsid w:val="000A42AD"/>
    <w:rsid w:val="000A6545"/>
    <w:rsid w:val="000A6D5E"/>
    <w:rsid w:val="000B038E"/>
    <w:rsid w:val="000B0521"/>
    <w:rsid w:val="000B0AFC"/>
    <w:rsid w:val="000B1F61"/>
    <w:rsid w:val="000B2A2F"/>
    <w:rsid w:val="000B377C"/>
    <w:rsid w:val="000B45A5"/>
    <w:rsid w:val="000B4AE7"/>
    <w:rsid w:val="000B526B"/>
    <w:rsid w:val="000B5771"/>
    <w:rsid w:val="000B5E2F"/>
    <w:rsid w:val="000B62B5"/>
    <w:rsid w:val="000B7BE6"/>
    <w:rsid w:val="000B7D21"/>
    <w:rsid w:val="000C0DDA"/>
    <w:rsid w:val="000C1413"/>
    <w:rsid w:val="000C193C"/>
    <w:rsid w:val="000C1C73"/>
    <w:rsid w:val="000C26A2"/>
    <w:rsid w:val="000C283B"/>
    <w:rsid w:val="000C2DE6"/>
    <w:rsid w:val="000C3B43"/>
    <w:rsid w:val="000C3D28"/>
    <w:rsid w:val="000C5534"/>
    <w:rsid w:val="000D04FE"/>
    <w:rsid w:val="000D0AA9"/>
    <w:rsid w:val="000D0B79"/>
    <w:rsid w:val="000D142F"/>
    <w:rsid w:val="000D29EE"/>
    <w:rsid w:val="000D3B6D"/>
    <w:rsid w:val="000D40BF"/>
    <w:rsid w:val="000D52D2"/>
    <w:rsid w:val="000D5840"/>
    <w:rsid w:val="000D643D"/>
    <w:rsid w:val="000E098E"/>
    <w:rsid w:val="000E0B9C"/>
    <w:rsid w:val="000E251C"/>
    <w:rsid w:val="000E348C"/>
    <w:rsid w:val="000E4FA9"/>
    <w:rsid w:val="000E5600"/>
    <w:rsid w:val="000E6FF6"/>
    <w:rsid w:val="000E7B7F"/>
    <w:rsid w:val="000F0C95"/>
    <w:rsid w:val="000F2170"/>
    <w:rsid w:val="000F25ED"/>
    <w:rsid w:val="000F2E32"/>
    <w:rsid w:val="000F338A"/>
    <w:rsid w:val="000F35F9"/>
    <w:rsid w:val="000F4607"/>
    <w:rsid w:val="000F4813"/>
    <w:rsid w:val="000F539A"/>
    <w:rsid w:val="000F561A"/>
    <w:rsid w:val="000F73AE"/>
    <w:rsid w:val="00100282"/>
    <w:rsid w:val="00100957"/>
    <w:rsid w:val="00100CB3"/>
    <w:rsid w:val="00103435"/>
    <w:rsid w:val="00103EBA"/>
    <w:rsid w:val="00105933"/>
    <w:rsid w:val="0010654F"/>
    <w:rsid w:val="00106D5E"/>
    <w:rsid w:val="00107FDC"/>
    <w:rsid w:val="00111D8E"/>
    <w:rsid w:val="001138AF"/>
    <w:rsid w:val="00114CD4"/>
    <w:rsid w:val="00115FA5"/>
    <w:rsid w:val="00116050"/>
    <w:rsid w:val="0011609A"/>
    <w:rsid w:val="00120BCB"/>
    <w:rsid w:val="00121309"/>
    <w:rsid w:val="00121A3E"/>
    <w:rsid w:val="00122098"/>
    <w:rsid w:val="0012269B"/>
    <w:rsid w:val="00123022"/>
    <w:rsid w:val="001236CB"/>
    <w:rsid w:val="001243CF"/>
    <w:rsid w:val="00124731"/>
    <w:rsid w:val="00124F33"/>
    <w:rsid w:val="00127D50"/>
    <w:rsid w:val="00130DEE"/>
    <w:rsid w:val="001311C4"/>
    <w:rsid w:val="00131F9E"/>
    <w:rsid w:val="00132498"/>
    <w:rsid w:val="00132DE8"/>
    <w:rsid w:val="00133770"/>
    <w:rsid w:val="00133D6B"/>
    <w:rsid w:val="001348B0"/>
    <w:rsid w:val="00136907"/>
    <w:rsid w:val="00136A9E"/>
    <w:rsid w:val="00137B23"/>
    <w:rsid w:val="001404BF"/>
    <w:rsid w:val="001417F1"/>
    <w:rsid w:val="00143F06"/>
    <w:rsid w:val="0014412A"/>
    <w:rsid w:val="00144212"/>
    <w:rsid w:val="001443D9"/>
    <w:rsid w:val="0014564E"/>
    <w:rsid w:val="00145C78"/>
    <w:rsid w:val="00145ECC"/>
    <w:rsid w:val="001462A8"/>
    <w:rsid w:val="00146667"/>
    <w:rsid w:val="00146C59"/>
    <w:rsid w:val="001504FB"/>
    <w:rsid w:val="001515AC"/>
    <w:rsid w:val="001523CB"/>
    <w:rsid w:val="0015430A"/>
    <w:rsid w:val="0015558E"/>
    <w:rsid w:val="00155675"/>
    <w:rsid w:val="00160C20"/>
    <w:rsid w:val="001628CE"/>
    <w:rsid w:val="00164E58"/>
    <w:rsid w:val="00165232"/>
    <w:rsid w:val="001652E9"/>
    <w:rsid w:val="0016786F"/>
    <w:rsid w:val="00167954"/>
    <w:rsid w:val="00167F17"/>
    <w:rsid w:val="0017017F"/>
    <w:rsid w:val="00171491"/>
    <w:rsid w:val="00171CEE"/>
    <w:rsid w:val="00172724"/>
    <w:rsid w:val="00172E70"/>
    <w:rsid w:val="001739CB"/>
    <w:rsid w:val="00173DC5"/>
    <w:rsid w:val="00173E02"/>
    <w:rsid w:val="00176258"/>
    <w:rsid w:val="0017764A"/>
    <w:rsid w:val="00180966"/>
    <w:rsid w:val="00181267"/>
    <w:rsid w:val="0018196A"/>
    <w:rsid w:val="00182E48"/>
    <w:rsid w:val="00183393"/>
    <w:rsid w:val="00183BA9"/>
    <w:rsid w:val="00183CC1"/>
    <w:rsid w:val="00184B25"/>
    <w:rsid w:val="00184B9D"/>
    <w:rsid w:val="00184D6D"/>
    <w:rsid w:val="0018573F"/>
    <w:rsid w:val="00185E0A"/>
    <w:rsid w:val="00186216"/>
    <w:rsid w:val="00186251"/>
    <w:rsid w:val="00186844"/>
    <w:rsid w:val="001877A3"/>
    <w:rsid w:val="00187BB5"/>
    <w:rsid w:val="00190268"/>
    <w:rsid w:val="00190FF8"/>
    <w:rsid w:val="001918B1"/>
    <w:rsid w:val="00191B65"/>
    <w:rsid w:val="00191B9E"/>
    <w:rsid w:val="00191BA5"/>
    <w:rsid w:val="00192336"/>
    <w:rsid w:val="00192596"/>
    <w:rsid w:val="001947C7"/>
    <w:rsid w:val="0019628A"/>
    <w:rsid w:val="00197654"/>
    <w:rsid w:val="001A0280"/>
    <w:rsid w:val="001A0774"/>
    <w:rsid w:val="001A42E5"/>
    <w:rsid w:val="001A52E4"/>
    <w:rsid w:val="001A5859"/>
    <w:rsid w:val="001A63BB"/>
    <w:rsid w:val="001A6893"/>
    <w:rsid w:val="001B1D8D"/>
    <w:rsid w:val="001B41E9"/>
    <w:rsid w:val="001B6811"/>
    <w:rsid w:val="001B72F6"/>
    <w:rsid w:val="001B7867"/>
    <w:rsid w:val="001B7B2A"/>
    <w:rsid w:val="001C3D14"/>
    <w:rsid w:val="001C4DCC"/>
    <w:rsid w:val="001C594C"/>
    <w:rsid w:val="001C5E3E"/>
    <w:rsid w:val="001C74B4"/>
    <w:rsid w:val="001D1E76"/>
    <w:rsid w:val="001D292F"/>
    <w:rsid w:val="001D30AE"/>
    <w:rsid w:val="001D43EF"/>
    <w:rsid w:val="001D45A7"/>
    <w:rsid w:val="001D5BC6"/>
    <w:rsid w:val="001D5C13"/>
    <w:rsid w:val="001D5E83"/>
    <w:rsid w:val="001D62EE"/>
    <w:rsid w:val="001D65F8"/>
    <w:rsid w:val="001D6A06"/>
    <w:rsid w:val="001D7612"/>
    <w:rsid w:val="001D781A"/>
    <w:rsid w:val="001E0574"/>
    <w:rsid w:val="001E0924"/>
    <w:rsid w:val="001E096D"/>
    <w:rsid w:val="001E2310"/>
    <w:rsid w:val="001E30EA"/>
    <w:rsid w:val="001E32C3"/>
    <w:rsid w:val="001E3355"/>
    <w:rsid w:val="001E3361"/>
    <w:rsid w:val="001E48A2"/>
    <w:rsid w:val="001E5C0B"/>
    <w:rsid w:val="001E77EA"/>
    <w:rsid w:val="001F3DFE"/>
    <w:rsid w:val="001F3E21"/>
    <w:rsid w:val="001F49DE"/>
    <w:rsid w:val="002009E2"/>
    <w:rsid w:val="0020123E"/>
    <w:rsid w:val="00201863"/>
    <w:rsid w:val="00201E9C"/>
    <w:rsid w:val="002034EC"/>
    <w:rsid w:val="002043AB"/>
    <w:rsid w:val="00204CDE"/>
    <w:rsid w:val="002058BF"/>
    <w:rsid w:val="00207086"/>
    <w:rsid w:val="002100AC"/>
    <w:rsid w:val="00210220"/>
    <w:rsid w:val="002112E1"/>
    <w:rsid w:val="00211639"/>
    <w:rsid w:val="0021316D"/>
    <w:rsid w:val="00213474"/>
    <w:rsid w:val="00213AEC"/>
    <w:rsid w:val="00213C73"/>
    <w:rsid w:val="0021656F"/>
    <w:rsid w:val="002172F4"/>
    <w:rsid w:val="002207D3"/>
    <w:rsid w:val="00220925"/>
    <w:rsid w:val="00220ACF"/>
    <w:rsid w:val="002210EA"/>
    <w:rsid w:val="00222A1D"/>
    <w:rsid w:val="0022371A"/>
    <w:rsid w:val="002251FB"/>
    <w:rsid w:val="0022537D"/>
    <w:rsid w:val="00225607"/>
    <w:rsid w:val="00230769"/>
    <w:rsid w:val="00230953"/>
    <w:rsid w:val="00230C99"/>
    <w:rsid w:val="00232DF5"/>
    <w:rsid w:val="00233104"/>
    <w:rsid w:val="00235199"/>
    <w:rsid w:val="0023547B"/>
    <w:rsid w:val="00235BC4"/>
    <w:rsid w:val="00236DD4"/>
    <w:rsid w:val="002406F8"/>
    <w:rsid w:val="00242780"/>
    <w:rsid w:val="002439A1"/>
    <w:rsid w:val="00243A74"/>
    <w:rsid w:val="0024534A"/>
    <w:rsid w:val="00245DD9"/>
    <w:rsid w:val="00246461"/>
    <w:rsid w:val="00246A76"/>
    <w:rsid w:val="002512BC"/>
    <w:rsid w:val="00251804"/>
    <w:rsid w:val="00251CF9"/>
    <w:rsid w:val="0025218E"/>
    <w:rsid w:val="002529FF"/>
    <w:rsid w:val="00252F62"/>
    <w:rsid w:val="002539D3"/>
    <w:rsid w:val="00255771"/>
    <w:rsid w:val="002559CE"/>
    <w:rsid w:val="00255D85"/>
    <w:rsid w:val="002569D9"/>
    <w:rsid w:val="00256DDC"/>
    <w:rsid w:val="00260098"/>
    <w:rsid w:val="002621C1"/>
    <w:rsid w:val="00262850"/>
    <w:rsid w:val="0026372B"/>
    <w:rsid w:val="00263A72"/>
    <w:rsid w:val="00264D4C"/>
    <w:rsid w:val="00265F17"/>
    <w:rsid w:val="00266BF9"/>
    <w:rsid w:val="00270344"/>
    <w:rsid w:val="002732DB"/>
    <w:rsid w:val="00275589"/>
    <w:rsid w:val="00276565"/>
    <w:rsid w:val="00277A30"/>
    <w:rsid w:val="002804C5"/>
    <w:rsid w:val="00281465"/>
    <w:rsid w:val="002819A9"/>
    <w:rsid w:val="0028200D"/>
    <w:rsid w:val="002844FB"/>
    <w:rsid w:val="00284E9C"/>
    <w:rsid w:val="00285872"/>
    <w:rsid w:val="00286022"/>
    <w:rsid w:val="00287497"/>
    <w:rsid w:val="002878CB"/>
    <w:rsid w:val="00287DF5"/>
    <w:rsid w:val="00290213"/>
    <w:rsid w:val="00291637"/>
    <w:rsid w:val="00292135"/>
    <w:rsid w:val="002922CE"/>
    <w:rsid w:val="002929D4"/>
    <w:rsid w:val="00292B2C"/>
    <w:rsid w:val="00293520"/>
    <w:rsid w:val="00296E30"/>
    <w:rsid w:val="002A0EAE"/>
    <w:rsid w:val="002A2D50"/>
    <w:rsid w:val="002A3E1F"/>
    <w:rsid w:val="002A50D8"/>
    <w:rsid w:val="002A5496"/>
    <w:rsid w:val="002A5AB5"/>
    <w:rsid w:val="002A7C4B"/>
    <w:rsid w:val="002A7EEB"/>
    <w:rsid w:val="002B0E39"/>
    <w:rsid w:val="002B1312"/>
    <w:rsid w:val="002B1851"/>
    <w:rsid w:val="002B1A1F"/>
    <w:rsid w:val="002B2578"/>
    <w:rsid w:val="002B3481"/>
    <w:rsid w:val="002B3D1D"/>
    <w:rsid w:val="002B3EE3"/>
    <w:rsid w:val="002B4E97"/>
    <w:rsid w:val="002B5A3C"/>
    <w:rsid w:val="002C3308"/>
    <w:rsid w:val="002C335C"/>
    <w:rsid w:val="002C53F3"/>
    <w:rsid w:val="002C5A10"/>
    <w:rsid w:val="002C6379"/>
    <w:rsid w:val="002C6757"/>
    <w:rsid w:val="002C7031"/>
    <w:rsid w:val="002C774B"/>
    <w:rsid w:val="002D0D50"/>
    <w:rsid w:val="002D1C76"/>
    <w:rsid w:val="002D1D2E"/>
    <w:rsid w:val="002D21A2"/>
    <w:rsid w:val="002D23D7"/>
    <w:rsid w:val="002D2511"/>
    <w:rsid w:val="002D41A5"/>
    <w:rsid w:val="002D4A4E"/>
    <w:rsid w:val="002D551C"/>
    <w:rsid w:val="002D554C"/>
    <w:rsid w:val="002D5965"/>
    <w:rsid w:val="002D7ACB"/>
    <w:rsid w:val="002E02DF"/>
    <w:rsid w:val="002E0E9E"/>
    <w:rsid w:val="002E1405"/>
    <w:rsid w:val="002E262D"/>
    <w:rsid w:val="002E2AB4"/>
    <w:rsid w:val="002E4690"/>
    <w:rsid w:val="002E55DC"/>
    <w:rsid w:val="002E6B0C"/>
    <w:rsid w:val="002F122C"/>
    <w:rsid w:val="002F1E0B"/>
    <w:rsid w:val="002F38F7"/>
    <w:rsid w:val="002F3EC1"/>
    <w:rsid w:val="002F4A2D"/>
    <w:rsid w:val="002F550A"/>
    <w:rsid w:val="002F55EF"/>
    <w:rsid w:val="002F6BC5"/>
    <w:rsid w:val="002F7176"/>
    <w:rsid w:val="002F7A96"/>
    <w:rsid w:val="002F7F84"/>
    <w:rsid w:val="00300000"/>
    <w:rsid w:val="00300FF8"/>
    <w:rsid w:val="00302168"/>
    <w:rsid w:val="003023DF"/>
    <w:rsid w:val="00303128"/>
    <w:rsid w:val="0030321D"/>
    <w:rsid w:val="0030402D"/>
    <w:rsid w:val="0030452B"/>
    <w:rsid w:val="00304C2D"/>
    <w:rsid w:val="00306D32"/>
    <w:rsid w:val="00306F78"/>
    <w:rsid w:val="003076EA"/>
    <w:rsid w:val="003105AE"/>
    <w:rsid w:val="00310C67"/>
    <w:rsid w:val="00312B37"/>
    <w:rsid w:val="00312B65"/>
    <w:rsid w:val="00312E11"/>
    <w:rsid w:val="00313811"/>
    <w:rsid w:val="0031414C"/>
    <w:rsid w:val="00314295"/>
    <w:rsid w:val="00314C44"/>
    <w:rsid w:val="00315294"/>
    <w:rsid w:val="00315A70"/>
    <w:rsid w:val="003161E9"/>
    <w:rsid w:val="00317A0A"/>
    <w:rsid w:val="00317B92"/>
    <w:rsid w:val="00317D3C"/>
    <w:rsid w:val="00321FBE"/>
    <w:rsid w:val="0032221D"/>
    <w:rsid w:val="003224CB"/>
    <w:rsid w:val="003226E1"/>
    <w:rsid w:val="003230B1"/>
    <w:rsid w:val="00324794"/>
    <w:rsid w:val="0032551B"/>
    <w:rsid w:val="00326944"/>
    <w:rsid w:val="0033083F"/>
    <w:rsid w:val="00330B49"/>
    <w:rsid w:val="00331846"/>
    <w:rsid w:val="00332463"/>
    <w:rsid w:val="003331D6"/>
    <w:rsid w:val="00333FD0"/>
    <w:rsid w:val="003358ED"/>
    <w:rsid w:val="00337120"/>
    <w:rsid w:val="00341A48"/>
    <w:rsid w:val="00341FF9"/>
    <w:rsid w:val="00342F98"/>
    <w:rsid w:val="00343ADA"/>
    <w:rsid w:val="00343B48"/>
    <w:rsid w:val="00343F58"/>
    <w:rsid w:val="0034518A"/>
    <w:rsid w:val="0034603F"/>
    <w:rsid w:val="00347DF3"/>
    <w:rsid w:val="00350386"/>
    <w:rsid w:val="003524D6"/>
    <w:rsid w:val="00352A6F"/>
    <w:rsid w:val="00352BCE"/>
    <w:rsid w:val="00354A45"/>
    <w:rsid w:val="00354BE0"/>
    <w:rsid w:val="00355135"/>
    <w:rsid w:val="00355809"/>
    <w:rsid w:val="00356928"/>
    <w:rsid w:val="003608EA"/>
    <w:rsid w:val="0036107C"/>
    <w:rsid w:val="00361193"/>
    <w:rsid w:val="0036148F"/>
    <w:rsid w:val="003623D5"/>
    <w:rsid w:val="00362EC4"/>
    <w:rsid w:val="00364141"/>
    <w:rsid w:val="003642ED"/>
    <w:rsid w:val="00366287"/>
    <w:rsid w:val="00366769"/>
    <w:rsid w:val="00366DDE"/>
    <w:rsid w:val="00367537"/>
    <w:rsid w:val="003718A4"/>
    <w:rsid w:val="00372294"/>
    <w:rsid w:val="00374DB5"/>
    <w:rsid w:val="00374EB0"/>
    <w:rsid w:val="00375F79"/>
    <w:rsid w:val="00377629"/>
    <w:rsid w:val="00380097"/>
    <w:rsid w:val="003803D4"/>
    <w:rsid w:val="00380C9F"/>
    <w:rsid w:val="003816A7"/>
    <w:rsid w:val="00382FDB"/>
    <w:rsid w:val="0038395A"/>
    <w:rsid w:val="00384AC6"/>
    <w:rsid w:val="00385CA1"/>
    <w:rsid w:val="00386FC9"/>
    <w:rsid w:val="003876EC"/>
    <w:rsid w:val="00390A0C"/>
    <w:rsid w:val="0039125F"/>
    <w:rsid w:val="00391436"/>
    <w:rsid w:val="00391FB2"/>
    <w:rsid w:val="003920A8"/>
    <w:rsid w:val="003948C5"/>
    <w:rsid w:val="00394A5A"/>
    <w:rsid w:val="003953D3"/>
    <w:rsid w:val="00396B19"/>
    <w:rsid w:val="00397B7D"/>
    <w:rsid w:val="00397F59"/>
    <w:rsid w:val="003A00EC"/>
    <w:rsid w:val="003A189A"/>
    <w:rsid w:val="003A2A56"/>
    <w:rsid w:val="003A37DB"/>
    <w:rsid w:val="003A6914"/>
    <w:rsid w:val="003A7DD3"/>
    <w:rsid w:val="003B0AD8"/>
    <w:rsid w:val="003B0D6D"/>
    <w:rsid w:val="003B1FB6"/>
    <w:rsid w:val="003B31BE"/>
    <w:rsid w:val="003B364E"/>
    <w:rsid w:val="003B3F09"/>
    <w:rsid w:val="003B4A53"/>
    <w:rsid w:val="003B61A9"/>
    <w:rsid w:val="003B64B2"/>
    <w:rsid w:val="003C0164"/>
    <w:rsid w:val="003C0D7F"/>
    <w:rsid w:val="003C3D7D"/>
    <w:rsid w:val="003C3E45"/>
    <w:rsid w:val="003C6425"/>
    <w:rsid w:val="003C7765"/>
    <w:rsid w:val="003D1415"/>
    <w:rsid w:val="003D2B33"/>
    <w:rsid w:val="003D3271"/>
    <w:rsid w:val="003D3EA9"/>
    <w:rsid w:val="003D3FD9"/>
    <w:rsid w:val="003D59CA"/>
    <w:rsid w:val="003D6B91"/>
    <w:rsid w:val="003D6EC7"/>
    <w:rsid w:val="003D73AA"/>
    <w:rsid w:val="003E19AA"/>
    <w:rsid w:val="003E19D7"/>
    <w:rsid w:val="003E1B13"/>
    <w:rsid w:val="003E1C98"/>
    <w:rsid w:val="003E2F1F"/>
    <w:rsid w:val="003E3891"/>
    <w:rsid w:val="003E4633"/>
    <w:rsid w:val="003E5010"/>
    <w:rsid w:val="003E5394"/>
    <w:rsid w:val="003E5EA0"/>
    <w:rsid w:val="003E6A92"/>
    <w:rsid w:val="003E6B74"/>
    <w:rsid w:val="003F03CD"/>
    <w:rsid w:val="003F0F7C"/>
    <w:rsid w:val="003F1467"/>
    <w:rsid w:val="003F5AFC"/>
    <w:rsid w:val="003F5C04"/>
    <w:rsid w:val="003F5CC8"/>
    <w:rsid w:val="003F6C39"/>
    <w:rsid w:val="00400D66"/>
    <w:rsid w:val="00401448"/>
    <w:rsid w:val="00402671"/>
    <w:rsid w:val="00403506"/>
    <w:rsid w:val="00403AF9"/>
    <w:rsid w:val="0040601E"/>
    <w:rsid w:val="00406D9D"/>
    <w:rsid w:val="00407941"/>
    <w:rsid w:val="00407AA7"/>
    <w:rsid w:val="00407B64"/>
    <w:rsid w:val="004101D1"/>
    <w:rsid w:val="00411896"/>
    <w:rsid w:val="00411C31"/>
    <w:rsid w:val="00411F4A"/>
    <w:rsid w:val="00412F41"/>
    <w:rsid w:val="00413DCB"/>
    <w:rsid w:val="00414E6A"/>
    <w:rsid w:val="00415660"/>
    <w:rsid w:val="00415F87"/>
    <w:rsid w:val="0041672A"/>
    <w:rsid w:val="004176D9"/>
    <w:rsid w:val="00420575"/>
    <w:rsid w:val="004206CC"/>
    <w:rsid w:val="00420DA0"/>
    <w:rsid w:val="00421061"/>
    <w:rsid w:val="00422055"/>
    <w:rsid w:val="00422E33"/>
    <w:rsid w:val="00425890"/>
    <w:rsid w:val="00425FE7"/>
    <w:rsid w:val="00430066"/>
    <w:rsid w:val="00430140"/>
    <w:rsid w:val="004307CB"/>
    <w:rsid w:val="00430D13"/>
    <w:rsid w:val="004314FC"/>
    <w:rsid w:val="00431DFC"/>
    <w:rsid w:val="00432625"/>
    <w:rsid w:val="0043289C"/>
    <w:rsid w:val="00432B9D"/>
    <w:rsid w:val="00434608"/>
    <w:rsid w:val="004350F3"/>
    <w:rsid w:val="0043516F"/>
    <w:rsid w:val="00435466"/>
    <w:rsid w:val="00435C51"/>
    <w:rsid w:val="00435E93"/>
    <w:rsid w:val="00437720"/>
    <w:rsid w:val="0044196B"/>
    <w:rsid w:val="00441C7B"/>
    <w:rsid w:val="0044236C"/>
    <w:rsid w:val="0044258C"/>
    <w:rsid w:val="00442EE8"/>
    <w:rsid w:val="004442A7"/>
    <w:rsid w:val="004456D1"/>
    <w:rsid w:val="00445D61"/>
    <w:rsid w:val="00447AA4"/>
    <w:rsid w:val="004503F4"/>
    <w:rsid w:val="004504A5"/>
    <w:rsid w:val="0045196D"/>
    <w:rsid w:val="00452059"/>
    <w:rsid w:val="00453632"/>
    <w:rsid w:val="00454C72"/>
    <w:rsid w:val="004557FA"/>
    <w:rsid w:val="00456573"/>
    <w:rsid w:val="004571AB"/>
    <w:rsid w:val="004571FB"/>
    <w:rsid w:val="004601A9"/>
    <w:rsid w:val="0046189E"/>
    <w:rsid w:val="00461B0A"/>
    <w:rsid w:val="00461B93"/>
    <w:rsid w:val="00463E18"/>
    <w:rsid w:val="00464A29"/>
    <w:rsid w:val="00465835"/>
    <w:rsid w:val="00465F2A"/>
    <w:rsid w:val="00466673"/>
    <w:rsid w:val="0046676F"/>
    <w:rsid w:val="004668B6"/>
    <w:rsid w:val="00466D43"/>
    <w:rsid w:val="00466EDD"/>
    <w:rsid w:val="00467483"/>
    <w:rsid w:val="00470927"/>
    <w:rsid w:val="00470FB6"/>
    <w:rsid w:val="004738D4"/>
    <w:rsid w:val="00473E0E"/>
    <w:rsid w:val="00475931"/>
    <w:rsid w:val="00476B61"/>
    <w:rsid w:val="00476E83"/>
    <w:rsid w:val="00477DB0"/>
    <w:rsid w:val="00480433"/>
    <w:rsid w:val="0048138F"/>
    <w:rsid w:val="00481C07"/>
    <w:rsid w:val="00481C75"/>
    <w:rsid w:val="00481D73"/>
    <w:rsid w:val="004821AE"/>
    <w:rsid w:val="004861C5"/>
    <w:rsid w:val="004866C6"/>
    <w:rsid w:val="004901C1"/>
    <w:rsid w:val="00490236"/>
    <w:rsid w:val="00490E09"/>
    <w:rsid w:val="00491757"/>
    <w:rsid w:val="00491924"/>
    <w:rsid w:val="00491C9F"/>
    <w:rsid w:val="004960C8"/>
    <w:rsid w:val="00497DB0"/>
    <w:rsid w:val="004A1B01"/>
    <w:rsid w:val="004A3409"/>
    <w:rsid w:val="004A36A1"/>
    <w:rsid w:val="004A5A5E"/>
    <w:rsid w:val="004A67BA"/>
    <w:rsid w:val="004B061D"/>
    <w:rsid w:val="004B518A"/>
    <w:rsid w:val="004B6FAD"/>
    <w:rsid w:val="004B7586"/>
    <w:rsid w:val="004C09F9"/>
    <w:rsid w:val="004C0D05"/>
    <w:rsid w:val="004C2742"/>
    <w:rsid w:val="004C4571"/>
    <w:rsid w:val="004C4AA9"/>
    <w:rsid w:val="004C5285"/>
    <w:rsid w:val="004C5AFB"/>
    <w:rsid w:val="004C5B39"/>
    <w:rsid w:val="004C678C"/>
    <w:rsid w:val="004D10AF"/>
    <w:rsid w:val="004D3920"/>
    <w:rsid w:val="004D48B3"/>
    <w:rsid w:val="004D4AF0"/>
    <w:rsid w:val="004D56F4"/>
    <w:rsid w:val="004D600C"/>
    <w:rsid w:val="004D6D88"/>
    <w:rsid w:val="004E013A"/>
    <w:rsid w:val="004E07A0"/>
    <w:rsid w:val="004E11E5"/>
    <w:rsid w:val="004E2984"/>
    <w:rsid w:val="004E54DD"/>
    <w:rsid w:val="004E5A06"/>
    <w:rsid w:val="004E5BF4"/>
    <w:rsid w:val="004E73A8"/>
    <w:rsid w:val="004F13F3"/>
    <w:rsid w:val="004F165C"/>
    <w:rsid w:val="004F17A6"/>
    <w:rsid w:val="004F2E38"/>
    <w:rsid w:val="004F45BF"/>
    <w:rsid w:val="004F4C57"/>
    <w:rsid w:val="004F4E25"/>
    <w:rsid w:val="004F4FC6"/>
    <w:rsid w:val="004F4FF2"/>
    <w:rsid w:val="00500990"/>
    <w:rsid w:val="005012ED"/>
    <w:rsid w:val="0050281B"/>
    <w:rsid w:val="0050358A"/>
    <w:rsid w:val="00504B77"/>
    <w:rsid w:val="005061D1"/>
    <w:rsid w:val="00506C16"/>
    <w:rsid w:val="00507263"/>
    <w:rsid w:val="0051099E"/>
    <w:rsid w:val="0051218D"/>
    <w:rsid w:val="0051236C"/>
    <w:rsid w:val="005124E5"/>
    <w:rsid w:val="00514485"/>
    <w:rsid w:val="00514D30"/>
    <w:rsid w:val="0051556C"/>
    <w:rsid w:val="0051628D"/>
    <w:rsid w:val="00516B6C"/>
    <w:rsid w:val="00516EBD"/>
    <w:rsid w:val="00517016"/>
    <w:rsid w:val="005172B0"/>
    <w:rsid w:val="00520CDC"/>
    <w:rsid w:val="00520F0E"/>
    <w:rsid w:val="0052303F"/>
    <w:rsid w:val="0052383F"/>
    <w:rsid w:val="00524AAB"/>
    <w:rsid w:val="0052626B"/>
    <w:rsid w:val="00527201"/>
    <w:rsid w:val="00527534"/>
    <w:rsid w:val="00530C2F"/>
    <w:rsid w:val="00531F17"/>
    <w:rsid w:val="00532B01"/>
    <w:rsid w:val="00533525"/>
    <w:rsid w:val="005338CB"/>
    <w:rsid w:val="00533BF1"/>
    <w:rsid w:val="00533C2E"/>
    <w:rsid w:val="0053451F"/>
    <w:rsid w:val="00534562"/>
    <w:rsid w:val="00534751"/>
    <w:rsid w:val="00535353"/>
    <w:rsid w:val="005357DD"/>
    <w:rsid w:val="00536078"/>
    <w:rsid w:val="0053625E"/>
    <w:rsid w:val="005363BE"/>
    <w:rsid w:val="00537963"/>
    <w:rsid w:val="00537A95"/>
    <w:rsid w:val="00537EDE"/>
    <w:rsid w:val="00540629"/>
    <w:rsid w:val="00540E2B"/>
    <w:rsid w:val="005419D2"/>
    <w:rsid w:val="0054361E"/>
    <w:rsid w:val="00543C45"/>
    <w:rsid w:val="00543D9E"/>
    <w:rsid w:val="005440D0"/>
    <w:rsid w:val="00544BF3"/>
    <w:rsid w:val="00544C4A"/>
    <w:rsid w:val="0054516F"/>
    <w:rsid w:val="00546FD3"/>
    <w:rsid w:val="00547C60"/>
    <w:rsid w:val="0055066E"/>
    <w:rsid w:val="005510BF"/>
    <w:rsid w:val="00551191"/>
    <w:rsid w:val="00551905"/>
    <w:rsid w:val="005529C3"/>
    <w:rsid w:val="00555B82"/>
    <w:rsid w:val="005566F7"/>
    <w:rsid w:val="00556CF4"/>
    <w:rsid w:val="00557261"/>
    <w:rsid w:val="005577B3"/>
    <w:rsid w:val="00557E2B"/>
    <w:rsid w:val="0056289D"/>
    <w:rsid w:val="00563604"/>
    <w:rsid w:val="00563C31"/>
    <w:rsid w:val="00564E80"/>
    <w:rsid w:val="0056641B"/>
    <w:rsid w:val="00566664"/>
    <w:rsid w:val="005667BB"/>
    <w:rsid w:val="005668A8"/>
    <w:rsid w:val="00566B94"/>
    <w:rsid w:val="00570410"/>
    <w:rsid w:val="005706C8"/>
    <w:rsid w:val="00570862"/>
    <w:rsid w:val="00570C6E"/>
    <w:rsid w:val="005728AA"/>
    <w:rsid w:val="00573161"/>
    <w:rsid w:val="00573CB9"/>
    <w:rsid w:val="00573F6C"/>
    <w:rsid w:val="00575221"/>
    <w:rsid w:val="0057529B"/>
    <w:rsid w:val="0057590D"/>
    <w:rsid w:val="00576E97"/>
    <w:rsid w:val="00577C5B"/>
    <w:rsid w:val="00580E45"/>
    <w:rsid w:val="00581454"/>
    <w:rsid w:val="00582E04"/>
    <w:rsid w:val="00584B42"/>
    <w:rsid w:val="00586244"/>
    <w:rsid w:val="00586BEE"/>
    <w:rsid w:val="00590C22"/>
    <w:rsid w:val="0059149B"/>
    <w:rsid w:val="005925D7"/>
    <w:rsid w:val="00596BB3"/>
    <w:rsid w:val="005A11B6"/>
    <w:rsid w:val="005A12A5"/>
    <w:rsid w:val="005A23EF"/>
    <w:rsid w:val="005A2F50"/>
    <w:rsid w:val="005A3242"/>
    <w:rsid w:val="005A3533"/>
    <w:rsid w:val="005A39B0"/>
    <w:rsid w:val="005A3E40"/>
    <w:rsid w:val="005A5255"/>
    <w:rsid w:val="005A5874"/>
    <w:rsid w:val="005A6713"/>
    <w:rsid w:val="005A7089"/>
    <w:rsid w:val="005B047E"/>
    <w:rsid w:val="005B0978"/>
    <w:rsid w:val="005B13C0"/>
    <w:rsid w:val="005B1707"/>
    <w:rsid w:val="005B1C45"/>
    <w:rsid w:val="005B1D6B"/>
    <w:rsid w:val="005B1D6C"/>
    <w:rsid w:val="005B373A"/>
    <w:rsid w:val="005B3D60"/>
    <w:rsid w:val="005B490A"/>
    <w:rsid w:val="005B4BCA"/>
    <w:rsid w:val="005B54F9"/>
    <w:rsid w:val="005B6679"/>
    <w:rsid w:val="005B6941"/>
    <w:rsid w:val="005B715E"/>
    <w:rsid w:val="005B77E0"/>
    <w:rsid w:val="005C17F5"/>
    <w:rsid w:val="005C1A8B"/>
    <w:rsid w:val="005C1DA5"/>
    <w:rsid w:val="005C2534"/>
    <w:rsid w:val="005C39A6"/>
    <w:rsid w:val="005C45FF"/>
    <w:rsid w:val="005C465E"/>
    <w:rsid w:val="005C4BB2"/>
    <w:rsid w:val="005C50F8"/>
    <w:rsid w:val="005C547E"/>
    <w:rsid w:val="005C5601"/>
    <w:rsid w:val="005C5AA2"/>
    <w:rsid w:val="005C5AC4"/>
    <w:rsid w:val="005C7BAC"/>
    <w:rsid w:val="005D0889"/>
    <w:rsid w:val="005D1408"/>
    <w:rsid w:val="005D270A"/>
    <w:rsid w:val="005D33FC"/>
    <w:rsid w:val="005D347A"/>
    <w:rsid w:val="005D3D0F"/>
    <w:rsid w:val="005D3E6F"/>
    <w:rsid w:val="005D457B"/>
    <w:rsid w:val="005D475C"/>
    <w:rsid w:val="005D621E"/>
    <w:rsid w:val="005D66DB"/>
    <w:rsid w:val="005D69D3"/>
    <w:rsid w:val="005D7FC3"/>
    <w:rsid w:val="005E0BD8"/>
    <w:rsid w:val="005E148E"/>
    <w:rsid w:val="005E3B5E"/>
    <w:rsid w:val="005E3C6A"/>
    <w:rsid w:val="005E4137"/>
    <w:rsid w:val="005E4775"/>
    <w:rsid w:val="005E5B85"/>
    <w:rsid w:val="005E6124"/>
    <w:rsid w:val="005E6622"/>
    <w:rsid w:val="005E6E95"/>
    <w:rsid w:val="005E7FC9"/>
    <w:rsid w:val="005F000D"/>
    <w:rsid w:val="005F1984"/>
    <w:rsid w:val="005F1F96"/>
    <w:rsid w:val="005F26D1"/>
    <w:rsid w:val="005F2880"/>
    <w:rsid w:val="005F2924"/>
    <w:rsid w:val="005F49A8"/>
    <w:rsid w:val="005F4A24"/>
    <w:rsid w:val="005F7442"/>
    <w:rsid w:val="005F796A"/>
    <w:rsid w:val="00600425"/>
    <w:rsid w:val="00600954"/>
    <w:rsid w:val="00601E23"/>
    <w:rsid w:val="00602C7F"/>
    <w:rsid w:val="00602C95"/>
    <w:rsid w:val="00605762"/>
    <w:rsid w:val="00605C77"/>
    <w:rsid w:val="006071F0"/>
    <w:rsid w:val="00611214"/>
    <w:rsid w:val="00611D8E"/>
    <w:rsid w:val="00612027"/>
    <w:rsid w:val="00613D5F"/>
    <w:rsid w:val="00614434"/>
    <w:rsid w:val="006154A5"/>
    <w:rsid w:val="00615A7E"/>
    <w:rsid w:val="00620F6C"/>
    <w:rsid w:val="0062154F"/>
    <w:rsid w:val="0062196C"/>
    <w:rsid w:val="00622C04"/>
    <w:rsid w:val="0062300B"/>
    <w:rsid w:val="00624931"/>
    <w:rsid w:val="006259E2"/>
    <w:rsid w:val="006265DF"/>
    <w:rsid w:val="0062676A"/>
    <w:rsid w:val="00630557"/>
    <w:rsid w:val="0063083B"/>
    <w:rsid w:val="006310CA"/>
    <w:rsid w:val="006314E1"/>
    <w:rsid w:val="00632BA2"/>
    <w:rsid w:val="00632E00"/>
    <w:rsid w:val="00633E7D"/>
    <w:rsid w:val="00635376"/>
    <w:rsid w:val="00635AA0"/>
    <w:rsid w:val="00635D5C"/>
    <w:rsid w:val="00637B63"/>
    <w:rsid w:val="00640570"/>
    <w:rsid w:val="00642B22"/>
    <w:rsid w:val="00643FC4"/>
    <w:rsid w:val="00646039"/>
    <w:rsid w:val="006466A3"/>
    <w:rsid w:val="00646757"/>
    <w:rsid w:val="00647ADC"/>
    <w:rsid w:val="006507F0"/>
    <w:rsid w:val="00652212"/>
    <w:rsid w:val="006523DC"/>
    <w:rsid w:val="00652505"/>
    <w:rsid w:val="00652E55"/>
    <w:rsid w:val="00653D85"/>
    <w:rsid w:val="00657EED"/>
    <w:rsid w:val="00661B52"/>
    <w:rsid w:val="00663284"/>
    <w:rsid w:val="006637B4"/>
    <w:rsid w:val="00664AEB"/>
    <w:rsid w:val="006668F7"/>
    <w:rsid w:val="00666F6C"/>
    <w:rsid w:val="00670527"/>
    <w:rsid w:val="00671F3F"/>
    <w:rsid w:val="006720D8"/>
    <w:rsid w:val="006728BA"/>
    <w:rsid w:val="00672C97"/>
    <w:rsid w:val="00673811"/>
    <w:rsid w:val="006740C3"/>
    <w:rsid w:val="00675CE9"/>
    <w:rsid w:val="0067696A"/>
    <w:rsid w:val="00677872"/>
    <w:rsid w:val="00681370"/>
    <w:rsid w:val="006828F3"/>
    <w:rsid w:val="00682CBE"/>
    <w:rsid w:val="0068443A"/>
    <w:rsid w:val="00685847"/>
    <w:rsid w:val="00685A5C"/>
    <w:rsid w:val="00685D88"/>
    <w:rsid w:val="00687920"/>
    <w:rsid w:val="00687CDC"/>
    <w:rsid w:val="00687DAA"/>
    <w:rsid w:val="00695067"/>
    <w:rsid w:val="00695E7E"/>
    <w:rsid w:val="006963FA"/>
    <w:rsid w:val="00696703"/>
    <w:rsid w:val="00696DFF"/>
    <w:rsid w:val="00697D78"/>
    <w:rsid w:val="006A10DF"/>
    <w:rsid w:val="006A1705"/>
    <w:rsid w:val="006A1A93"/>
    <w:rsid w:val="006A1E91"/>
    <w:rsid w:val="006A25E6"/>
    <w:rsid w:val="006A2A87"/>
    <w:rsid w:val="006A3585"/>
    <w:rsid w:val="006A4627"/>
    <w:rsid w:val="006A469F"/>
    <w:rsid w:val="006A4FF0"/>
    <w:rsid w:val="006A6220"/>
    <w:rsid w:val="006A6ABB"/>
    <w:rsid w:val="006A765A"/>
    <w:rsid w:val="006B265B"/>
    <w:rsid w:val="006B27BC"/>
    <w:rsid w:val="006B3C39"/>
    <w:rsid w:val="006B4969"/>
    <w:rsid w:val="006B5905"/>
    <w:rsid w:val="006B5F18"/>
    <w:rsid w:val="006C0441"/>
    <w:rsid w:val="006C0658"/>
    <w:rsid w:val="006C0915"/>
    <w:rsid w:val="006C0C34"/>
    <w:rsid w:val="006C18A0"/>
    <w:rsid w:val="006C26E1"/>
    <w:rsid w:val="006C44F7"/>
    <w:rsid w:val="006C4978"/>
    <w:rsid w:val="006C50AE"/>
    <w:rsid w:val="006C59F9"/>
    <w:rsid w:val="006C5D5C"/>
    <w:rsid w:val="006C602A"/>
    <w:rsid w:val="006C7C32"/>
    <w:rsid w:val="006D0EA7"/>
    <w:rsid w:val="006D1C77"/>
    <w:rsid w:val="006D2233"/>
    <w:rsid w:val="006D3C1D"/>
    <w:rsid w:val="006D448B"/>
    <w:rsid w:val="006D4C3E"/>
    <w:rsid w:val="006D7A31"/>
    <w:rsid w:val="006E04F7"/>
    <w:rsid w:val="006E20BF"/>
    <w:rsid w:val="006E2A4B"/>
    <w:rsid w:val="006E2FB2"/>
    <w:rsid w:val="006E43DC"/>
    <w:rsid w:val="006E4C41"/>
    <w:rsid w:val="006E65E0"/>
    <w:rsid w:val="006F13B1"/>
    <w:rsid w:val="006F3028"/>
    <w:rsid w:val="006F5753"/>
    <w:rsid w:val="006F7168"/>
    <w:rsid w:val="006F7495"/>
    <w:rsid w:val="006F7742"/>
    <w:rsid w:val="0070012F"/>
    <w:rsid w:val="00701490"/>
    <w:rsid w:val="007014A7"/>
    <w:rsid w:val="00701937"/>
    <w:rsid w:val="00702624"/>
    <w:rsid w:val="00702832"/>
    <w:rsid w:val="00703576"/>
    <w:rsid w:val="00704316"/>
    <w:rsid w:val="00704953"/>
    <w:rsid w:val="00704D70"/>
    <w:rsid w:val="007056E7"/>
    <w:rsid w:val="00706251"/>
    <w:rsid w:val="00710FE5"/>
    <w:rsid w:val="0071254C"/>
    <w:rsid w:val="007125C7"/>
    <w:rsid w:val="00713416"/>
    <w:rsid w:val="00713686"/>
    <w:rsid w:val="00714558"/>
    <w:rsid w:val="00715BA6"/>
    <w:rsid w:val="00716339"/>
    <w:rsid w:val="00720CB0"/>
    <w:rsid w:val="00720DF7"/>
    <w:rsid w:val="00722974"/>
    <w:rsid w:val="00726A26"/>
    <w:rsid w:val="00727076"/>
    <w:rsid w:val="007317E3"/>
    <w:rsid w:val="007332C5"/>
    <w:rsid w:val="00735271"/>
    <w:rsid w:val="00735E5B"/>
    <w:rsid w:val="007363E0"/>
    <w:rsid w:val="0073654A"/>
    <w:rsid w:val="00740B72"/>
    <w:rsid w:val="00741E77"/>
    <w:rsid w:val="00741F20"/>
    <w:rsid w:val="00742141"/>
    <w:rsid w:val="00743DFC"/>
    <w:rsid w:val="00743E7A"/>
    <w:rsid w:val="0074442E"/>
    <w:rsid w:val="007444FD"/>
    <w:rsid w:val="007445C1"/>
    <w:rsid w:val="0074500B"/>
    <w:rsid w:val="00745538"/>
    <w:rsid w:val="00747C2C"/>
    <w:rsid w:val="00747F52"/>
    <w:rsid w:val="007511A6"/>
    <w:rsid w:val="0075136E"/>
    <w:rsid w:val="00751A75"/>
    <w:rsid w:val="00752207"/>
    <w:rsid w:val="00752D18"/>
    <w:rsid w:val="007539BF"/>
    <w:rsid w:val="00754CFD"/>
    <w:rsid w:val="0075510A"/>
    <w:rsid w:val="00755CE3"/>
    <w:rsid w:val="00756540"/>
    <w:rsid w:val="00756634"/>
    <w:rsid w:val="00756F3D"/>
    <w:rsid w:val="007573FF"/>
    <w:rsid w:val="007608F0"/>
    <w:rsid w:val="007628B0"/>
    <w:rsid w:val="00762E50"/>
    <w:rsid w:val="00764048"/>
    <w:rsid w:val="00764DC0"/>
    <w:rsid w:val="007675BC"/>
    <w:rsid w:val="00767813"/>
    <w:rsid w:val="007709B8"/>
    <w:rsid w:val="00771E17"/>
    <w:rsid w:val="00771F58"/>
    <w:rsid w:val="00772CBF"/>
    <w:rsid w:val="0077485A"/>
    <w:rsid w:val="0077522F"/>
    <w:rsid w:val="00775EE8"/>
    <w:rsid w:val="00776E21"/>
    <w:rsid w:val="00777C82"/>
    <w:rsid w:val="0078106A"/>
    <w:rsid w:val="007815F3"/>
    <w:rsid w:val="00782E1F"/>
    <w:rsid w:val="007830C5"/>
    <w:rsid w:val="00784A45"/>
    <w:rsid w:val="00784F65"/>
    <w:rsid w:val="00785CB1"/>
    <w:rsid w:val="007876E5"/>
    <w:rsid w:val="00787DA0"/>
    <w:rsid w:val="0079175E"/>
    <w:rsid w:val="00792A9E"/>
    <w:rsid w:val="0079503D"/>
    <w:rsid w:val="0079575A"/>
    <w:rsid w:val="00797D1E"/>
    <w:rsid w:val="00797F68"/>
    <w:rsid w:val="007A1BD0"/>
    <w:rsid w:val="007A1F5E"/>
    <w:rsid w:val="007A23C8"/>
    <w:rsid w:val="007A2CB1"/>
    <w:rsid w:val="007A2E30"/>
    <w:rsid w:val="007A4F11"/>
    <w:rsid w:val="007A52DE"/>
    <w:rsid w:val="007A5360"/>
    <w:rsid w:val="007A58BD"/>
    <w:rsid w:val="007A6B85"/>
    <w:rsid w:val="007A6F6A"/>
    <w:rsid w:val="007B1D99"/>
    <w:rsid w:val="007B28BE"/>
    <w:rsid w:val="007B6457"/>
    <w:rsid w:val="007B6A03"/>
    <w:rsid w:val="007C0436"/>
    <w:rsid w:val="007C117A"/>
    <w:rsid w:val="007C1F2E"/>
    <w:rsid w:val="007C2315"/>
    <w:rsid w:val="007C2483"/>
    <w:rsid w:val="007C2D33"/>
    <w:rsid w:val="007C3B56"/>
    <w:rsid w:val="007C4361"/>
    <w:rsid w:val="007C4E0B"/>
    <w:rsid w:val="007C54DB"/>
    <w:rsid w:val="007C6576"/>
    <w:rsid w:val="007C668E"/>
    <w:rsid w:val="007C77EF"/>
    <w:rsid w:val="007D03C5"/>
    <w:rsid w:val="007D23CA"/>
    <w:rsid w:val="007D290C"/>
    <w:rsid w:val="007D314A"/>
    <w:rsid w:val="007D3E4D"/>
    <w:rsid w:val="007D4377"/>
    <w:rsid w:val="007D4ACF"/>
    <w:rsid w:val="007D52E7"/>
    <w:rsid w:val="007D5CCC"/>
    <w:rsid w:val="007D6D9C"/>
    <w:rsid w:val="007D7017"/>
    <w:rsid w:val="007D73B8"/>
    <w:rsid w:val="007D7AF9"/>
    <w:rsid w:val="007D7F86"/>
    <w:rsid w:val="007D7FAC"/>
    <w:rsid w:val="007E013E"/>
    <w:rsid w:val="007E05F9"/>
    <w:rsid w:val="007E0635"/>
    <w:rsid w:val="007E0AD2"/>
    <w:rsid w:val="007E2963"/>
    <w:rsid w:val="007E4A60"/>
    <w:rsid w:val="007E4BB4"/>
    <w:rsid w:val="007E4C2D"/>
    <w:rsid w:val="007E75A2"/>
    <w:rsid w:val="007E7CAF"/>
    <w:rsid w:val="007E7F55"/>
    <w:rsid w:val="007F1119"/>
    <w:rsid w:val="007F27C9"/>
    <w:rsid w:val="007F4481"/>
    <w:rsid w:val="007F47AE"/>
    <w:rsid w:val="007F4DB0"/>
    <w:rsid w:val="007F5632"/>
    <w:rsid w:val="007F5831"/>
    <w:rsid w:val="007F59DA"/>
    <w:rsid w:val="0080001F"/>
    <w:rsid w:val="008017F5"/>
    <w:rsid w:val="00801E1D"/>
    <w:rsid w:val="0080234E"/>
    <w:rsid w:val="00802997"/>
    <w:rsid w:val="0080369C"/>
    <w:rsid w:val="00804919"/>
    <w:rsid w:val="00805126"/>
    <w:rsid w:val="008057B7"/>
    <w:rsid w:val="00805FF3"/>
    <w:rsid w:val="00807476"/>
    <w:rsid w:val="008075B8"/>
    <w:rsid w:val="00807A36"/>
    <w:rsid w:val="008111E7"/>
    <w:rsid w:val="00815211"/>
    <w:rsid w:val="00816234"/>
    <w:rsid w:val="00817754"/>
    <w:rsid w:val="00817784"/>
    <w:rsid w:val="0082127F"/>
    <w:rsid w:val="008215A8"/>
    <w:rsid w:val="00821A99"/>
    <w:rsid w:val="008225DD"/>
    <w:rsid w:val="00823007"/>
    <w:rsid w:val="00823D32"/>
    <w:rsid w:val="00824DCD"/>
    <w:rsid w:val="00830D49"/>
    <w:rsid w:val="00830EA9"/>
    <w:rsid w:val="0083117F"/>
    <w:rsid w:val="0083348E"/>
    <w:rsid w:val="00835025"/>
    <w:rsid w:val="00835C43"/>
    <w:rsid w:val="00836984"/>
    <w:rsid w:val="00840099"/>
    <w:rsid w:val="008415B0"/>
    <w:rsid w:val="008416E4"/>
    <w:rsid w:val="00844A93"/>
    <w:rsid w:val="00846000"/>
    <w:rsid w:val="00846189"/>
    <w:rsid w:val="0084675D"/>
    <w:rsid w:val="008504BD"/>
    <w:rsid w:val="00850EFF"/>
    <w:rsid w:val="008522C8"/>
    <w:rsid w:val="008533D8"/>
    <w:rsid w:val="00854BEC"/>
    <w:rsid w:val="00855181"/>
    <w:rsid w:val="0085559B"/>
    <w:rsid w:val="0085575D"/>
    <w:rsid w:val="00856027"/>
    <w:rsid w:val="008568E2"/>
    <w:rsid w:val="00860671"/>
    <w:rsid w:val="0086085F"/>
    <w:rsid w:val="00863632"/>
    <w:rsid w:val="00864412"/>
    <w:rsid w:val="00865DD7"/>
    <w:rsid w:val="00867B20"/>
    <w:rsid w:val="00870BB2"/>
    <w:rsid w:val="00870ECD"/>
    <w:rsid w:val="00872421"/>
    <w:rsid w:val="00872AC7"/>
    <w:rsid w:val="00875691"/>
    <w:rsid w:val="00880760"/>
    <w:rsid w:val="00881998"/>
    <w:rsid w:val="00881D9B"/>
    <w:rsid w:val="008826F0"/>
    <w:rsid w:val="0088288D"/>
    <w:rsid w:val="00883C9B"/>
    <w:rsid w:val="00883EFE"/>
    <w:rsid w:val="008847BC"/>
    <w:rsid w:val="008850E6"/>
    <w:rsid w:val="00885500"/>
    <w:rsid w:val="0088618E"/>
    <w:rsid w:val="0088662D"/>
    <w:rsid w:val="00886AC4"/>
    <w:rsid w:val="00886E8A"/>
    <w:rsid w:val="008900B6"/>
    <w:rsid w:val="008904AD"/>
    <w:rsid w:val="00890602"/>
    <w:rsid w:val="0089061A"/>
    <w:rsid w:val="00890B0F"/>
    <w:rsid w:val="008913CD"/>
    <w:rsid w:val="008916E0"/>
    <w:rsid w:val="0089250C"/>
    <w:rsid w:val="00892A44"/>
    <w:rsid w:val="00893A64"/>
    <w:rsid w:val="00893DAE"/>
    <w:rsid w:val="00895DF7"/>
    <w:rsid w:val="00896C80"/>
    <w:rsid w:val="00897AF8"/>
    <w:rsid w:val="008A00CB"/>
    <w:rsid w:val="008A0334"/>
    <w:rsid w:val="008A07C3"/>
    <w:rsid w:val="008A0B84"/>
    <w:rsid w:val="008A1B89"/>
    <w:rsid w:val="008A25DD"/>
    <w:rsid w:val="008A2887"/>
    <w:rsid w:val="008A3A27"/>
    <w:rsid w:val="008A3A65"/>
    <w:rsid w:val="008A3C17"/>
    <w:rsid w:val="008A40E6"/>
    <w:rsid w:val="008A523B"/>
    <w:rsid w:val="008A5372"/>
    <w:rsid w:val="008A62B3"/>
    <w:rsid w:val="008B0CD6"/>
    <w:rsid w:val="008B11E5"/>
    <w:rsid w:val="008B1622"/>
    <w:rsid w:val="008B178C"/>
    <w:rsid w:val="008B3D74"/>
    <w:rsid w:val="008B5E91"/>
    <w:rsid w:val="008B6502"/>
    <w:rsid w:val="008B6B1A"/>
    <w:rsid w:val="008B705A"/>
    <w:rsid w:val="008C0971"/>
    <w:rsid w:val="008C3E21"/>
    <w:rsid w:val="008C47B4"/>
    <w:rsid w:val="008C4D48"/>
    <w:rsid w:val="008C57A9"/>
    <w:rsid w:val="008C5F1C"/>
    <w:rsid w:val="008C60BD"/>
    <w:rsid w:val="008C6527"/>
    <w:rsid w:val="008C67AC"/>
    <w:rsid w:val="008C7008"/>
    <w:rsid w:val="008C7B01"/>
    <w:rsid w:val="008D178B"/>
    <w:rsid w:val="008D1C3C"/>
    <w:rsid w:val="008D2AEE"/>
    <w:rsid w:val="008D34E9"/>
    <w:rsid w:val="008D58F1"/>
    <w:rsid w:val="008E051D"/>
    <w:rsid w:val="008E0E55"/>
    <w:rsid w:val="008E1437"/>
    <w:rsid w:val="008E1744"/>
    <w:rsid w:val="008E28D5"/>
    <w:rsid w:val="008E3917"/>
    <w:rsid w:val="008F03ED"/>
    <w:rsid w:val="008F3078"/>
    <w:rsid w:val="008F3B08"/>
    <w:rsid w:val="008F4A3B"/>
    <w:rsid w:val="008F5377"/>
    <w:rsid w:val="008F5D9D"/>
    <w:rsid w:val="008F759B"/>
    <w:rsid w:val="009003E9"/>
    <w:rsid w:val="00900C0A"/>
    <w:rsid w:val="009024A2"/>
    <w:rsid w:val="0090296A"/>
    <w:rsid w:val="009030EF"/>
    <w:rsid w:val="00903ABA"/>
    <w:rsid w:val="00903F28"/>
    <w:rsid w:val="00904C80"/>
    <w:rsid w:val="00905512"/>
    <w:rsid w:val="00906944"/>
    <w:rsid w:val="00911485"/>
    <w:rsid w:val="0091207B"/>
    <w:rsid w:val="00912A56"/>
    <w:rsid w:val="00912B66"/>
    <w:rsid w:val="009138D1"/>
    <w:rsid w:val="0091392F"/>
    <w:rsid w:val="00913C18"/>
    <w:rsid w:val="00915689"/>
    <w:rsid w:val="00920556"/>
    <w:rsid w:val="00920711"/>
    <w:rsid w:val="00922391"/>
    <w:rsid w:val="009238CF"/>
    <w:rsid w:val="0092770A"/>
    <w:rsid w:val="00927C63"/>
    <w:rsid w:val="00930327"/>
    <w:rsid w:val="0093098A"/>
    <w:rsid w:val="00931B8B"/>
    <w:rsid w:val="00933268"/>
    <w:rsid w:val="00935F90"/>
    <w:rsid w:val="0093613C"/>
    <w:rsid w:val="00937CBF"/>
    <w:rsid w:val="00940329"/>
    <w:rsid w:val="0094042D"/>
    <w:rsid w:val="0094069A"/>
    <w:rsid w:val="00941627"/>
    <w:rsid w:val="009427EA"/>
    <w:rsid w:val="00944DFA"/>
    <w:rsid w:val="00945538"/>
    <w:rsid w:val="00947629"/>
    <w:rsid w:val="00950017"/>
    <w:rsid w:val="00952086"/>
    <w:rsid w:val="009542B1"/>
    <w:rsid w:val="00954DC7"/>
    <w:rsid w:val="00954E71"/>
    <w:rsid w:val="0095503D"/>
    <w:rsid w:val="00955897"/>
    <w:rsid w:val="00955BE7"/>
    <w:rsid w:val="0095689C"/>
    <w:rsid w:val="00960FEE"/>
    <w:rsid w:val="009615F8"/>
    <w:rsid w:val="0096365C"/>
    <w:rsid w:val="0096383D"/>
    <w:rsid w:val="00964430"/>
    <w:rsid w:val="009646F2"/>
    <w:rsid w:val="009647F9"/>
    <w:rsid w:val="00965224"/>
    <w:rsid w:val="00965D45"/>
    <w:rsid w:val="00965FAB"/>
    <w:rsid w:val="009667AF"/>
    <w:rsid w:val="00971ADE"/>
    <w:rsid w:val="00971D13"/>
    <w:rsid w:val="00973ADA"/>
    <w:rsid w:val="009745AB"/>
    <w:rsid w:val="00975221"/>
    <w:rsid w:val="00976936"/>
    <w:rsid w:val="00976A43"/>
    <w:rsid w:val="0097700D"/>
    <w:rsid w:val="00980589"/>
    <w:rsid w:val="00983A4D"/>
    <w:rsid w:val="00983A85"/>
    <w:rsid w:val="00984940"/>
    <w:rsid w:val="00984E9A"/>
    <w:rsid w:val="00985708"/>
    <w:rsid w:val="00986893"/>
    <w:rsid w:val="00987203"/>
    <w:rsid w:val="0099008C"/>
    <w:rsid w:val="00990810"/>
    <w:rsid w:val="009908FE"/>
    <w:rsid w:val="00990BAD"/>
    <w:rsid w:val="00991095"/>
    <w:rsid w:val="0099162B"/>
    <w:rsid w:val="00991771"/>
    <w:rsid w:val="009922D5"/>
    <w:rsid w:val="0099285B"/>
    <w:rsid w:val="00992BFA"/>
    <w:rsid w:val="00992FAE"/>
    <w:rsid w:val="00993972"/>
    <w:rsid w:val="00993DFA"/>
    <w:rsid w:val="0099455C"/>
    <w:rsid w:val="00996C30"/>
    <w:rsid w:val="009974CF"/>
    <w:rsid w:val="009A0302"/>
    <w:rsid w:val="009A2843"/>
    <w:rsid w:val="009A2C9D"/>
    <w:rsid w:val="009A3BA8"/>
    <w:rsid w:val="009A59E9"/>
    <w:rsid w:val="009A5BF1"/>
    <w:rsid w:val="009A6881"/>
    <w:rsid w:val="009A72FA"/>
    <w:rsid w:val="009A7CD6"/>
    <w:rsid w:val="009A7E6F"/>
    <w:rsid w:val="009B09A3"/>
    <w:rsid w:val="009B128D"/>
    <w:rsid w:val="009B130E"/>
    <w:rsid w:val="009B1BF3"/>
    <w:rsid w:val="009B233F"/>
    <w:rsid w:val="009B24ED"/>
    <w:rsid w:val="009B310C"/>
    <w:rsid w:val="009B4A66"/>
    <w:rsid w:val="009B6591"/>
    <w:rsid w:val="009C02EB"/>
    <w:rsid w:val="009C1AEE"/>
    <w:rsid w:val="009C1C99"/>
    <w:rsid w:val="009C4DD9"/>
    <w:rsid w:val="009C4FF1"/>
    <w:rsid w:val="009C5D62"/>
    <w:rsid w:val="009C5E7F"/>
    <w:rsid w:val="009D1534"/>
    <w:rsid w:val="009D2654"/>
    <w:rsid w:val="009D2A18"/>
    <w:rsid w:val="009D3B4B"/>
    <w:rsid w:val="009D460F"/>
    <w:rsid w:val="009D4DC7"/>
    <w:rsid w:val="009D4EC9"/>
    <w:rsid w:val="009D515A"/>
    <w:rsid w:val="009D54E6"/>
    <w:rsid w:val="009D7EB6"/>
    <w:rsid w:val="009E0144"/>
    <w:rsid w:val="009E170E"/>
    <w:rsid w:val="009E2090"/>
    <w:rsid w:val="009E247B"/>
    <w:rsid w:val="009E24FC"/>
    <w:rsid w:val="009E26EB"/>
    <w:rsid w:val="009E2CB8"/>
    <w:rsid w:val="009E3711"/>
    <w:rsid w:val="009E48B5"/>
    <w:rsid w:val="009E68DC"/>
    <w:rsid w:val="009F1085"/>
    <w:rsid w:val="009F1924"/>
    <w:rsid w:val="009F294C"/>
    <w:rsid w:val="009F2B2B"/>
    <w:rsid w:val="009F2FDD"/>
    <w:rsid w:val="009F30D2"/>
    <w:rsid w:val="009F3187"/>
    <w:rsid w:val="009F418B"/>
    <w:rsid w:val="009F439F"/>
    <w:rsid w:val="009F529F"/>
    <w:rsid w:val="009F53B7"/>
    <w:rsid w:val="009F63AC"/>
    <w:rsid w:val="009F6B21"/>
    <w:rsid w:val="009F778C"/>
    <w:rsid w:val="009F7B36"/>
    <w:rsid w:val="00A019D7"/>
    <w:rsid w:val="00A04A87"/>
    <w:rsid w:val="00A05E21"/>
    <w:rsid w:val="00A074A2"/>
    <w:rsid w:val="00A0750D"/>
    <w:rsid w:val="00A11F16"/>
    <w:rsid w:val="00A12F09"/>
    <w:rsid w:val="00A143DF"/>
    <w:rsid w:val="00A144E9"/>
    <w:rsid w:val="00A150A4"/>
    <w:rsid w:val="00A159ED"/>
    <w:rsid w:val="00A16918"/>
    <w:rsid w:val="00A17980"/>
    <w:rsid w:val="00A21D47"/>
    <w:rsid w:val="00A25843"/>
    <w:rsid w:val="00A30352"/>
    <w:rsid w:val="00A30A86"/>
    <w:rsid w:val="00A30B44"/>
    <w:rsid w:val="00A310BF"/>
    <w:rsid w:val="00A31A0E"/>
    <w:rsid w:val="00A31CA9"/>
    <w:rsid w:val="00A333FC"/>
    <w:rsid w:val="00A33AFD"/>
    <w:rsid w:val="00A33B68"/>
    <w:rsid w:val="00A36BB5"/>
    <w:rsid w:val="00A36D5F"/>
    <w:rsid w:val="00A37EC2"/>
    <w:rsid w:val="00A401F3"/>
    <w:rsid w:val="00A417C7"/>
    <w:rsid w:val="00A421C6"/>
    <w:rsid w:val="00A42B9F"/>
    <w:rsid w:val="00A42E84"/>
    <w:rsid w:val="00A43648"/>
    <w:rsid w:val="00A43DFE"/>
    <w:rsid w:val="00A44531"/>
    <w:rsid w:val="00A44693"/>
    <w:rsid w:val="00A44935"/>
    <w:rsid w:val="00A44D9D"/>
    <w:rsid w:val="00A462E9"/>
    <w:rsid w:val="00A50BD3"/>
    <w:rsid w:val="00A5256C"/>
    <w:rsid w:val="00A52A2C"/>
    <w:rsid w:val="00A52B29"/>
    <w:rsid w:val="00A53814"/>
    <w:rsid w:val="00A558FB"/>
    <w:rsid w:val="00A55B16"/>
    <w:rsid w:val="00A55BFE"/>
    <w:rsid w:val="00A55C0B"/>
    <w:rsid w:val="00A5614F"/>
    <w:rsid w:val="00A56949"/>
    <w:rsid w:val="00A57E36"/>
    <w:rsid w:val="00A60826"/>
    <w:rsid w:val="00A611F0"/>
    <w:rsid w:val="00A641A7"/>
    <w:rsid w:val="00A67BA4"/>
    <w:rsid w:val="00A711C4"/>
    <w:rsid w:val="00A71395"/>
    <w:rsid w:val="00A71CFD"/>
    <w:rsid w:val="00A72609"/>
    <w:rsid w:val="00A72848"/>
    <w:rsid w:val="00A732B3"/>
    <w:rsid w:val="00A7627C"/>
    <w:rsid w:val="00A76425"/>
    <w:rsid w:val="00A768DE"/>
    <w:rsid w:val="00A8012F"/>
    <w:rsid w:val="00A80566"/>
    <w:rsid w:val="00A81166"/>
    <w:rsid w:val="00A81715"/>
    <w:rsid w:val="00A8181C"/>
    <w:rsid w:val="00A8216F"/>
    <w:rsid w:val="00A844DF"/>
    <w:rsid w:val="00A846A1"/>
    <w:rsid w:val="00A857BC"/>
    <w:rsid w:val="00A85824"/>
    <w:rsid w:val="00A866BF"/>
    <w:rsid w:val="00A9102C"/>
    <w:rsid w:val="00A92C83"/>
    <w:rsid w:val="00A93198"/>
    <w:rsid w:val="00A9420C"/>
    <w:rsid w:val="00A94934"/>
    <w:rsid w:val="00A97F39"/>
    <w:rsid w:val="00AA047F"/>
    <w:rsid w:val="00AA0DC9"/>
    <w:rsid w:val="00AA1044"/>
    <w:rsid w:val="00AA1CFC"/>
    <w:rsid w:val="00AA3C20"/>
    <w:rsid w:val="00AA3F40"/>
    <w:rsid w:val="00AA4EFA"/>
    <w:rsid w:val="00AA6ACA"/>
    <w:rsid w:val="00AA73D2"/>
    <w:rsid w:val="00AA7452"/>
    <w:rsid w:val="00AB00E0"/>
    <w:rsid w:val="00AB2149"/>
    <w:rsid w:val="00AB2265"/>
    <w:rsid w:val="00AB267D"/>
    <w:rsid w:val="00AB3171"/>
    <w:rsid w:val="00AB3E62"/>
    <w:rsid w:val="00AB4458"/>
    <w:rsid w:val="00AB4D34"/>
    <w:rsid w:val="00AB5382"/>
    <w:rsid w:val="00AB5C27"/>
    <w:rsid w:val="00AB6ECD"/>
    <w:rsid w:val="00AB71AF"/>
    <w:rsid w:val="00AB7799"/>
    <w:rsid w:val="00AB79B9"/>
    <w:rsid w:val="00AC1387"/>
    <w:rsid w:val="00AC18B8"/>
    <w:rsid w:val="00AC47E3"/>
    <w:rsid w:val="00AC4A91"/>
    <w:rsid w:val="00AC5BF3"/>
    <w:rsid w:val="00AC60B2"/>
    <w:rsid w:val="00AC6D0F"/>
    <w:rsid w:val="00AD0AF2"/>
    <w:rsid w:val="00AD0FA2"/>
    <w:rsid w:val="00AD18A5"/>
    <w:rsid w:val="00AD2A62"/>
    <w:rsid w:val="00AD37AD"/>
    <w:rsid w:val="00AD3E0E"/>
    <w:rsid w:val="00AD46EC"/>
    <w:rsid w:val="00AD5979"/>
    <w:rsid w:val="00AD5AAD"/>
    <w:rsid w:val="00AD62EA"/>
    <w:rsid w:val="00AD6813"/>
    <w:rsid w:val="00AD7742"/>
    <w:rsid w:val="00AD78F0"/>
    <w:rsid w:val="00AD7E1E"/>
    <w:rsid w:val="00AE087C"/>
    <w:rsid w:val="00AE0CBB"/>
    <w:rsid w:val="00AE1311"/>
    <w:rsid w:val="00AE1DE9"/>
    <w:rsid w:val="00AE1F0C"/>
    <w:rsid w:val="00AE2D01"/>
    <w:rsid w:val="00AE42BE"/>
    <w:rsid w:val="00AE49E6"/>
    <w:rsid w:val="00AE4CB3"/>
    <w:rsid w:val="00AE7C9D"/>
    <w:rsid w:val="00AE7DB3"/>
    <w:rsid w:val="00AF0DAB"/>
    <w:rsid w:val="00AF1407"/>
    <w:rsid w:val="00AF1C0E"/>
    <w:rsid w:val="00AF1CAD"/>
    <w:rsid w:val="00AF27A0"/>
    <w:rsid w:val="00AF3024"/>
    <w:rsid w:val="00AF40F0"/>
    <w:rsid w:val="00AF4F8C"/>
    <w:rsid w:val="00AF6068"/>
    <w:rsid w:val="00B0024D"/>
    <w:rsid w:val="00B00925"/>
    <w:rsid w:val="00B00E0E"/>
    <w:rsid w:val="00B01780"/>
    <w:rsid w:val="00B02A7E"/>
    <w:rsid w:val="00B02F75"/>
    <w:rsid w:val="00B033CB"/>
    <w:rsid w:val="00B03F2D"/>
    <w:rsid w:val="00B055EB"/>
    <w:rsid w:val="00B06C2A"/>
    <w:rsid w:val="00B10B86"/>
    <w:rsid w:val="00B10C4E"/>
    <w:rsid w:val="00B12B25"/>
    <w:rsid w:val="00B13259"/>
    <w:rsid w:val="00B1541F"/>
    <w:rsid w:val="00B1630C"/>
    <w:rsid w:val="00B16C93"/>
    <w:rsid w:val="00B177F6"/>
    <w:rsid w:val="00B21C1C"/>
    <w:rsid w:val="00B21CB3"/>
    <w:rsid w:val="00B21F2C"/>
    <w:rsid w:val="00B23D55"/>
    <w:rsid w:val="00B266F7"/>
    <w:rsid w:val="00B2755F"/>
    <w:rsid w:val="00B27726"/>
    <w:rsid w:val="00B31636"/>
    <w:rsid w:val="00B3335D"/>
    <w:rsid w:val="00B34AD7"/>
    <w:rsid w:val="00B37751"/>
    <w:rsid w:val="00B4243B"/>
    <w:rsid w:val="00B42812"/>
    <w:rsid w:val="00B429E8"/>
    <w:rsid w:val="00B43608"/>
    <w:rsid w:val="00B440C6"/>
    <w:rsid w:val="00B44141"/>
    <w:rsid w:val="00B445FB"/>
    <w:rsid w:val="00B454FD"/>
    <w:rsid w:val="00B4560E"/>
    <w:rsid w:val="00B47952"/>
    <w:rsid w:val="00B503D8"/>
    <w:rsid w:val="00B5306C"/>
    <w:rsid w:val="00B5346D"/>
    <w:rsid w:val="00B535B4"/>
    <w:rsid w:val="00B53A68"/>
    <w:rsid w:val="00B53B70"/>
    <w:rsid w:val="00B53D4C"/>
    <w:rsid w:val="00B555DF"/>
    <w:rsid w:val="00B55EE8"/>
    <w:rsid w:val="00B571C5"/>
    <w:rsid w:val="00B57212"/>
    <w:rsid w:val="00B57FDD"/>
    <w:rsid w:val="00B62119"/>
    <w:rsid w:val="00B633D6"/>
    <w:rsid w:val="00B63B48"/>
    <w:rsid w:val="00B65421"/>
    <w:rsid w:val="00B659BA"/>
    <w:rsid w:val="00B661FC"/>
    <w:rsid w:val="00B66C27"/>
    <w:rsid w:val="00B66C9B"/>
    <w:rsid w:val="00B67A88"/>
    <w:rsid w:val="00B71260"/>
    <w:rsid w:val="00B73CC0"/>
    <w:rsid w:val="00B75C2E"/>
    <w:rsid w:val="00B76190"/>
    <w:rsid w:val="00B77490"/>
    <w:rsid w:val="00B77596"/>
    <w:rsid w:val="00B77C4B"/>
    <w:rsid w:val="00B77DEA"/>
    <w:rsid w:val="00B802CF"/>
    <w:rsid w:val="00B81212"/>
    <w:rsid w:val="00B8196B"/>
    <w:rsid w:val="00B843D5"/>
    <w:rsid w:val="00B862EA"/>
    <w:rsid w:val="00B866A0"/>
    <w:rsid w:val="00B878AC"/>
    <w:rsid w:val="00B87E10"/>
    <w:rsid w:val="00B903CD"/>
    <w:rsid w:val="00B90AF8"/>
    <w:rsid w:val="00B91D3C"/>
    <w:rsid w:val="00B91F9B"/>
    <w:rsid w:val="00B94E01"/>
    <w:rsid w:val="00B955D9"/>
    <w:rsid w:val="00B96102"/>
    <w:rsid w:val="00B973B7"/>
    <w:rsid w:val="00BA068C"/>
    <w:rsid w:val="00BA1249"/>
    <w:rsid w:val="00BA667B"/>
    <w:rsid w:val="00BA6D94"/>
    <w:rsid w:val="00BB0224"/>
    <w:rsid w:val="00BB089D"/>
    <w:rsid w:val="00BB0D9D"/>
    <w:rsid w:val="00BB0E75"/>
    <w:rsid w:val="00BB1F8C"/>
    <w:rsid w:val="00BB37E0"/>
    <w:rsid w:val="00BB40E8"/>
    <w:rsid w:val="00BB428F"/>
    <w:rsid w:val="00BB4C8F"/>
    <w:rsid w:val="00BB601E"/>
    <w:rsid w:val="00BB680F"/>
    <w:rsid w:val="00BB71C0"/>
    <w:rsid w:val="00BB7DA8"/>
    <w:rsid w:val="00BC03EC"/>
    <w:rsid w:val="00BC2F80"/>
    <w:rsid w:val="00BC3DF7"/>
    <w:rsid w:val="00BC6509"/>
    <w:rsid w:val="00BC6D70"/>
    <w:rsid w:val="00BC705A"/>
    <w:rsid w:val="00BC7131"/>
    <w:rsid w:val="00BC7B0D"/>
    <w:rsid w:val="00BD1DD6"/>
    <w:rsid w:val="00BD2EFA"/>
    <w:rsid w:val="00BD3B5E"/>
    <w:rsid w:val="00BD4046"/>
    <w:rsid w:val="00BD47EA"/>
    <w:rsid w:val="00BD4C35"/>
    <w:rsid w:val="00BD5A8F"/>
    <w:rsid w:val="00BD5EC7"/>
    <w:rsid w:val="00BD6C45"/>
    <w:rsid w:val="00BD70A3"/>
    <w:rsid w:val="00BE0827"/>
    <w:rsid w:val="00BE1B93"/>
    <w:rsid w:val="00BE282F"/>
    <w:rsid w:val="00BE3635"/>
    <w:rsid w:val="00BE4016"/>
    <w:rsid w:val="00BE481E"/>
    <w:rsid w:val="00BE53CB"/>
    <w:rsid w:val="00BE607F"/>
    <w:rsid w:val="00BE608C"/>
    <w:rsid w:val="00BE708E"/>
    <w:rsid w:val="00BF0D57"/>
    <w:rsid w:val="00BF0DF1"/>
    <w:rsid w:val="00BF100D"/>
    <w:rsid w:val="00BF17F1"/>
    <w:rsid w:val="00BF2182"/>
    <w:rsid w:val="00BF415B"/>
    <w:rsid w:val="00BF4275"/>
    <w:rsid w:val="00BF44D6"/>
    <w:rsid w:val="00BF4CC5"/>
    <w:rsid w:val="00BF5230"/>
    <w:rsid w:val="00BF54EA"/>
    <w:rsid w:val="00BF6A34"/>
    <w:rsid w:val="00BF6E63"/>
    <w:rsid w:val="00BF736A"/>
    <w:rsid w:val="00BF7D6E"/>
    <w:rsid w:val="00C00573"/>
    <w:rsid w:val="00C005D7"/>
    <w:rsid w:val="00C022AA"/>
    <w:rsid w:val="00C02ADB"/>
    <w:rsid w:val="00C036F8"/>
    <w:rsid w:val="00C0376E"/>
    <w:rsid w:val="00C04D5F"/>
    <w:rsid w:val="00C04DBF"/>
    <w:rsid w:val="00C04EFF"/>
    <w:rsid w:val="00C05D48"/>
    <w:rsid w:val="00C06410"/>
    <w:rsid w:val="00C06B99"/>
    <w:rsid w:val="00C0719B"/>
    <w:rsid w:val="00C07E3F"/>
    <w:rsid w:val="00C106B2"/>
    <w:rsid w:val="00C1117F"/>
    <w:rsid w:val="00C1121C"/>
    <w:rsid w:val="00C11893"/>
    <w:rsid w:val="00C11D20"/>
    <w:rsid w:val="00C13FB6"/>
    <w:rsid w:val="00C14576"/>
    <w:rsid w:val="00C1606D"/>
    <w:rsid w:val="00C1781F"/>
    <w:rsid w:val="00C207F0"/>
    <w:rsid w:val="00C20CE9"/>
    <w:rsid w:val="00C216FE"/>
    <w:rsid w:val="00C221D9"/>
    <w:rsid w:val="00C2340D"/>
    <w:rsid w:val="00C244BA"/>
    <w:rsid w:val="00C24CD8"/>
    <w:rsid w:val="00C25BDF"/>
    <w:rsid w:val="00C26201"/>
    <w:rsid w:val="00C271DF"/>
    <w:rsid w:val="00C275C1"/>
    <w:rsid w:val="00C27DE9"/>
    <w:rsid w:val="00C31C57"/>
    <w:rsid w:val="00C339F5"/>
    <w:rsid w:val="00C346BA"/>
    <w:rsid w:val="00C357A1"/>
    <w:rsid w:val="00C36F44"/>
    <w:rsid w:val="00C3714C"/>
    <w:rsid w:val="00C37BB3"/>
    <w:rsid w:val="00C40FD1"/>
    <w:rsid w:val="00C41398"/>
    <w:rsid w:val="00C41414"/>
    <w:rsid w:val="00C42E54"/>
    <w:rsid w:val="00C432A1"/>
    <w:rsid w:val="00C45783"/>
    <w:rsid w:val="00C466DC"/>
    <w:rsid w:val="00C46731"/>
    <w:rsid w:val="00C470E1"/>
    <w:rsid w:val="00C47C37"/>
    <w:rsid w:val="00C5075D"/>
    <w:rsid w:val="00C5082D"/>
    <w:rsid w:val="00C5384A"/>
    <w:rsid w:val="00C5411E"/>
    <w:rsid w:val="00C54921"/>
    <w:rsid w:val="00C5543B"/>
    <w:rsid w:val="00C564EA"/>
    <w:rsid w:val="00C5669B"/>
    <w:rsid w:val="00C5785A"/>
    <w:rsid w:val="00C6036B"/>
    <w:rsid w:val="00C61242"/>
    <w:rsid w:val="00C61970"/>
    <w:rsid w:val="00C6198B"/>
    <w:rsid w:val="00C61ECF"/>
    <w:rsid w:val="00C63E71"/>
    <w:rsid w:val="00C643BA"/>
    <w:rsid w:val="00C6587A"/>
    <w:rsid w:val="00C6622E"/>
    <w:rsid w:val="00C66246"/>
    <w:rsid w:val="00C67786"/>
    <w:rsid w:val="00C70542"/>
    <w:rsid w:val="00C71354"/>
    <w:rsid w:val="00C718C8"/>
    <w:rsid w:val="00C72204"/>
    <w:rsid w:val="00C72752"/>
    <w:rsid w:val="00C744C0"/>
    <w:rsid w:val="00C76172"/>
    <w:rsid w:val="00C761A2"/>
    <w:rsid w:val="00C76895"/>
    <w:rsid w:val="00C76AE2"/>
    <w:rsid w:val="00C76E19"/>
    <w:rsid w:val="00C77563"/>
    <w:rsid w:val="00C80726"/>
    <w:rsid w:val="00C80A40"/>
    <w:rsid w:val="00C80B12"/>
    <w:rsid w:val="00C81395"/>
    <w:rsid w:val="00C8144A"/>
    <w:rsid w:val="00C841EC"/>
    <w:rsid w:val="00C84F10"/>
    <w:rsid w:val="00C8555D"/>
    <w:rsid w:val="00C855A2"/>
    <w:rsid w:val="00C8707C"/>
    <w:rsid w:val="00C87A82"/>
    <w:rsid w:val="00C906D5"/>
    <w:rsid w:val="00C93173"/>
    <w:rsid w:val="00C93222"/>
    <w:rsid w:val="00C938D5"/>
    <w:rsid w:val="00C94A55"/>
    <w:rsid w:val="00C956CE"/>
    <w:rsid w:val="00C95C0A"/>
    <w:rsid w:val="00C96705"/>
    <w:rsid w:val="00C972E7"/>
    <w:rsid w:val="00C97AE2"/>
    <w:rsid w:val="00CA06C0"/>
    <w:rsid w:val="00CA0CC3"/>
    <w:rsid w:val="00CA1686"/>
    <w:rsid w:val="00CA16DD"/>
    <w:rsid w:val="00CA1D2A"/>
    <w:rsid w:val="00CA27F5"/>
    <w:rsid w:val="00CA2993"/>
    <w:rsid w:val="00CA2C45"/>
    <w:rsid w:val="00CA37D8"/>
    <w:rsid w:val="00CA425B"/>
    <w:rsid w:val="00CA6434"/>
    <w:rsid w:val="00CB4E6E"/>
    <w:rsid w:val="00CB79D0"/>
    <w:rsid w:val="00CB7DFC"/>
    <w:rsid w:val="00CC118D"/>
    <w:rsid w:val="00CC1CE9"/>
    <w:rsid w:val="00CC1EE3"/>
    <w:rsid w:val="00CC29A7"/>
    <w:rsid w:val="00CC3017"/>
    <w:rsid w:val="00CC468E"/>
    <w:rsid w:val="00CC4B30"/>
    <w:rsid w:val="00CC51F8"/>
    <w:rsid w:val="00CC5703"/>
    <w:rsid w:val="00CC5A93"/>
    <w:rsid w:val="00CC688E"/>
    <w:rsid w:val="00CC6BC5"/>
    <w:rsid w:val="00CC7ACB"/>
    <w:rsid w:val="00CD03F2"/>
    <w:rsid w:val="00CD0790"/>
    <w:rsid w:val="00CD20DE"/>
    <w:rsid w:val="00CD2724"/>
    <w:rsid w:val="00CD2AEB"/>
    <w:rsid w:val="00CD2BAF"/>
    <w:rsid w:val="00CD3340"/>
    <w:rsid w:val="00CD3621"/>
    <w:rsid w:val="00CD3F0F"/>
    <w:rsid w:val="00CD41DF"/>
    <w:rsid w:val="00CD472F"/>
    <w:rsid w:val="00CD479D"/>
    <w:rsid w:val="00CD4F21"/>
    <w:rsid w:val="00CD5091"/>
    <w:rsid w:val="00CD5D9A"/>
    <w:rsid w:val="00CD67B6"/>
    <w:rsid w:val="00CD6A5D"/>
    <w:rsid w:val="00CD73B8"/>
    <w:rsid w:val="00CE07E3"/>
    <w:rsid w:val="00CE1A62"/>
    <w:rsid w:val="00CE2323"/>
    <w:rsid w:val="00CE3311"/>
    <w:rsid w:val="00CE4742"/>
    <w:rsid w:val="00CE53E2"/>
    <w:rsid w:val="00CE5EDF"/>
    <w:rsid w:val="00CE69FA"/>
    <w:rsid w:val="00CE6D82"/>
    <w:rsid w:val="00CE793C"/>
    <w:rsid w:val="00CE7D8C"/>
    <w:rsid w:val="00CE7D8F"/>
    <w:rsid w:val="00CF21F6"/>
    <w:rsid w:val="00CF241E"/>
    <w:rsid w:val="00CF3371"/>
    <w:rsid w:val="00CF407A"/>
    <w:rsid w:val="00CF4398"/>
    <w:rsid w:val="00CF51DE"/>
    <w:rsid w:val="00CF5219"/>
    <w:rsid w:val="00CF561B"/>
    <w:rsid w:val="00CF6505"/>
    <w:rsid w:val="00CF6914"/>
    <w:rsid w:val="00D0011E"/>
    <w:rsid w:val="00D006B1"/>
    <w:rsid w:val="00D00736"/>
    <w:rsid w:val="00D00B5B"/>
    <w:rsid w:val="00D012EF"/>
    <w:rsid w:val="00D024A0"/>
    <w:rsid w:val="00D027D3"/>
    <w:rsid w:val="00D02FEE"/>
    <w:rsid w:val="00D04288"/>
    <w:rsid w:val="00D052A4"/>
    <w:rsid w:val="00D07247"/>
    <w:rsid w:val="00D149AD"/>
    <w:rsid w:val="00D14A37"/>
    <w:rsid w:val="00D17652"/>
    <w:rsid w:val="00D205B7"/>
    <w:rsid w:val="00D20629"/>
    <w:rsid w:val="00D21823"/>
    <w:rsid w:val="00D22388"/>
    <w:rsid w:val="00D2319F"/>
    <w:rsid w:val="00D24269"/>
    <w:rsid w:val="00D2595C"/>
    <w:rsid w:val="00D25A63"/>
    <w:rsid w:val="00D2768A"/>
    <w:rsid w:val="00D27B9F"/>
    <w:rsid w:val="00D304B8"/>
    <w:rsid w:val="00D30BBC"/>
    <w:rsid w:val="00D31B5D"/>
    <w:rsid w:val="00D33077"/>
    <w:rsid w:val="00D34E35"/>
    <w:rsid w:val="00D364B4"/>
    <w:rsid w:val="00D365D0"/>
    <w:rsid w:val="00D401CA"/>
    <w:rsid w:val="00D41221"/>
    <w:rsid w:val="00D4280C"/>
    <w:rsid w:val="00D42ACB"/>
    <w:rsid w:val="00D4392A"/>
    <w:rsid w:val="00D45E3F"/>
    <w:rsid w:val="00D50F5A"/>
    <w:rsid w:val="00D52E36"/>
    <w:rsid w:val="00D53A31"/>
    <w:rsid w:val="00D55C21"/>
    <w:rsid w:val="00D56130"/>
    <w:rsid w:val="00D565E4"/>
    <w:rsid w:val="00D5670D"/>
    <w:rsid w:val="00D57339"/>
    <w:rsid w:val="00D6013C"/>
    <w:rsid w:val="00D6033A"/>
    <w:rsid w:val="00D6063E"/>
    <w:rsid w:val="00D60DC0"/>
    <w:rsid w:val="00D61297"/>
    <w:rsid w:val="00D61566"/>
    <w:rsid w:val="00D623A4"/>
    <w:rsid w:val="00D65D32"/>
    <w:rsid w:val="00D66043"/>
    <w:rsid w:val="00D6633F"/>
    <w:rsid w:val="00D66712"/>
    <w:rsid w:val="00D702B4"/>
    <w:rsid w:val="00D705FD"/>
    <w:rsid w:val="00D70E9C"/>
    <w:rsid w:val="00D71654"/>
    <w:rsid w:val="00D71C2A"/>
    <w:rsid w:val="00D736B2"/>
    <w:rsid w:val="00D73B52"/>
    <w:rsid w:val="00D747C3"/>
    <w:rsid w:val="00D74E24"/>
    <w:rsid w:val="00D7512F"/>
    <w:rsid w:val="00D80688"/>
    <w:rsid w:val="00D81167"/>
    <w:rsid w:val="00D82140"/>
    <w:rsid w:val="00D827AC"/>
    <w:rsid w:val="00D8412F"/>
    <w:rsid w:val="00D843FD"/>
    <w:rsid w:val="00D862C6"/>
    <w:rsid w:val="00D8736B"/>
    <w:rsid w:val="00D8790F"/>
    <w:rsid w:val="00D90266"/>
    <w:rsid w:val="00D902D5"/>
    <w:rsid w:val="00D92928"/>
    <w:rsid w:val="00D92F41"/>
    <w:rsid w:val="00D93AD3"/>
    <w:rsid w:val="00D93CA8"/>
    <w:rsid w:val="00D95961"/>
    <w:rsid w:val="00D95BE0"/>
    <w:rsid w:val="00D96F3B"/>
    <w:rsid w:val="00D9773B"/>
    <w:rsid w:val="00DA06BF"/>
    <w:rsid w:val="00DA0ACD"/>
    <w:rsid w:val="00DA10F5"/>
    <w:rsid w:val="00DA1D79"/>
    <w:rsid w:val="00DA228E"/>
    <w:rsid w:val="00DA3AA4"/>
    <w:rsid w:val="00DA4264"/>
    <w:rsid w:val="00DA4334"/>
    <w:rsid w:val="00DA50D0"/>
    <w:rsid w:val="00DA5A4C"/>
    <w:rsid w:val="00DA5BC9"/>
    <w:rsid w:val="00DA5F61"/>
    <w:rsid w:val="00DA70C1"/>
    <w:rsid w:val="00DA7B12"/>
    <w:rsid w:val="00DB09CC"/>
    <w:rsid w:val="00DB0A6F"/>
    <w:rsid w:val="00DB1855"/>
    <w:rsid w:val="00DB1DB7"/>
    <w:rsid w:val="00DB1FD7"/>
    <w:rsid w:val="00DB23FB"/>
    <w:rsid w:val="00DB3E62"/>
    <w:rsid w:val="00DB47AC"/>
    <w:rsid w:val="00DB5E39"/>
    <w:rsid w:val="00DB7763"/>
    <w:rsid w:val="00DC0AA0"/>
    <w:rsid w:val="00DC2A7D"/>
    <w:rsid w:val="00DC33A5"/>
    <w:rsid w:val="00DC35D1"/>
    <w:rsid w:val="00DC3629"/>
    <w:rsid w:val="00DC4222"/>
    <w:rsid w:val="00DC48DE"/>
    <w:rsid w:val="00DC4DE8"/>
    <w:rsid w:val="00DC5136"/>
    <w:rsid w:val="00DC5CC2"/>
    <w:rsid w:val="00DC5F24"/>
    <w:rsid w:val="00DC701B"/>
    <w:rsid w:val="00DC7D10"/>
    <w:rsid w:val="00DD142E"/>
    <w:rsid w:val="00DD196F"/>
    <w:rsid w:val="00DD1D33"/>
    <w:rsid w:val="00DD2545"/>
    <w:rsid w:val="00DD4736"/>
    <w:rsid w:val="00DD4C39"/>
    <w:rsid w:val="00DD7E87"/>
    <w:rsid w:val="00DE04D5"/>
    <w:rsid w:val="00DE1C28"/>
    <w:rsid w:val="00DE2A53"/>
    <w:rsid w:val="00DE36DA"/>
    <w:rsid w:val="00DE36DE"/>
    <w:rsid w:val="00DE407D"/>
    <w:rsid w:val="00DE6273"/>
    <w:rsid w:val="00DE7229"/>
    <w:rsid w:val="00DF1840"/>
    <w:rsid w:val="00DF31D5"/>
    <w:rsid w:val="00DF3615"/>
    <w:rsid w:val="00DF6AE5"/>
    <w:rsid w:val="00DF70EE"/>
    <w:rsid w:val="00E00069"/>
    <w:rsid w:val="00E00709"/>
    <w:rsid w:val="00E01933"/>
    <w:rsid w:val="00E04176"/>
    <w:rsid w:val="00E048E4"/>
    <w:rsid w:val="00E05D9E"/>
    <w:rsid w:val="00E12027"/>
    <w:rsid w:val="00E1328F"/>
    <w:rsid w:val="00E14320"/>
    <w:rsid w:val="00E1474D"/>
    <w:rsid w:val="00E15D5E"/>
    <w:rsid w:val="00E1675F"/>
    <w:rsid w:val="00E16A65"/>
    <w:rsid w:val="00E17380"/>
    <w:rsid w:val="00E2272A"/>
    <w:rsid w:val="00E2404C"/>
    <w:rsid w:val="00E24086"/>
    <w:rsid w:val="00E24148"/>
    <w:rsid w:val="00E25058"/>
    <w:rsid w:val="00E2509A"/>
    <w:rsid w:val="00E25EAD"/>
    <w:rsid w:val="00E26FFF"/>
    <w:rsid w:val="00E271F7"/>
    <w:rsid w:val="00E308C1"/>
    <w:rsid w:val="00E326C4"/>
    <w:rsid w:val="00E33EA8"/>
    <w:rsid w:val="00E34D43"/>
    <w:rsid w:val="00E355F1"/>
    <w:rsid w:val="00E40AFF"/>
    <w:rsid w:val="00E41236"/>
    <w:rsid w:val="00E41500"/>
    <w:rsid w:val="00E43529"/>
    <w:rsid w:val="00E43735"/>
    <w:rsid w:val="00E475AB"/>
    <w:rsid w:val="00E50ACF"/>
    <w:rsid w:val="00E52EFE"/>
    <w:rsid w:val="00E53188"/>
    <w:rsid w:val="00E53485"/>
    <w:rsid w:val="00E540E4"/>
    <w:rsid w:val="00E54D94"/>
    <w:rsid w:val="00E55092"/>
    <w:rsid w:val="00E5638D"/>
    <w:rsid w:val="00E56A59"/>
    <w:rsid w:val="00E60C72"/>
    <w:rsid w:val="00E61942"/>
    <w:rsid w:val="00E636FE"/>
    <w:rsid w:val="00E63755"/>
    <w:rsid w:val="00E672AD"/>
    <w:rsid w:val="00E674CE"/>
    <w:rsid w:val="00E74BBA"/>
    <w:rsid w:val="00E75EFD"/>
    <w:rsid w:val="00E775E1"/>
    <w:rsid w:val="00E8068B"/>
    <w:rsid w:val="00E80CF4"/>
    <w:rsid w:val="00E822CA"/>
    <w:rsid w:val="00E82383"/>
    <w:rsid w:val="00E82490"/>
    <w:rsid w:val="00E82681"/>
    <w:rsid w:val="00E82B7B"/>
    <w:rsid w:val="00E82E50"/>
    <w:rsid w:val="00E836EF"/>
    <w:rsid w:val="00E83A8D"/>
    <w:rsid w:val="00E83B2E"/>
    <w:rsid w:val="00E83D49"/>
    <w:rsid w:val="00E8440B"/>
    <w:rsid w:val="00E85118"/>
    <w:rsid w:val="00E85670"/>
    <w:rsid w:val="00E85D06"/>
    <w:rsid w:val="00E8686F"/>
    <w:rsid w:val="00E87AF0"/>
    <w:rsid w:val="00E9049C"/>
    <w:rsid w:val="00E915C5"/>
    <w:rsid w:val="00E948CD"/>
    <w:rsid w:val="00E9526E"/>
    <w:rsid w:val="00E9592B"/>
    <w:rsid w:val="00E959A7"/>
    <w:rsid w:val="00EA0D4B"/>
    <w:rsid w:val="00EA0D71"/>
    <w:rsid w:val="00EA36B1"/>
    <w:rsid w:val="00EA6664"/>
    <w:rsid w:val="00EA7FD8"/>
    <w:rsid w:val="00EB17D6"/>
    <w:rsid w:val="00EB21E2"/>
    <w:rsid w:val="00EB2A71"/>
    <w:rsid w:val="00EB4028"/>
    <w:rsid w:val="00EB636D"/>
    <w:rsid w:val="00EB6E96"/>
    <w:rsid w:val="00EB7378"/>
    <w:rsid w:val="00EC09AF"/>
    <w:rsid w:val="00EC1E58"/>
    <w:rsid w:val="00EC5AB7"/>
    <w:rsid w:val="00EC5F25"/>
    <w:rsid w:val="00EC7651"/>
    <w:rsid w:val="00EC7775"/>
    <w:rsid w:val="00ED01CB"/>
    <w:rsid w:val="00ED0486"/>
    <w:rsid w:val="00ED0CB2"/>
    <w:rsid w:val="00ED12C9"/>
    <w:rsid w:val="00ED24F5"/>
    <w:rsid w:val="00ED269D"/>
    <w:rsid w:val="00ED285C"/>
    <w:rsid w:val="00ED2ED4"/>
    <w:rsid w:val="00ED314A"/>
    <w:rsid w:val="00ED4FF4"/>
    <w:rsid w:val="00ED54E8"/>
    <w:rsid w:val="00ED660C"/>
    <w:rsid w:val="00ED6B36"/>
    <w:rsid w:val="00ED72DE"/>
    <w:rsid w:val="00ED77D6"/>
    <w:rsid w:val="00EE03DF"/>
    <w:rsid w:val="00EE0DA2"/>
    <w:rsid w:val="00EE1620"/>
    <w:rsid w:val="00EE1B56"/>
    <w:rsid w:val="00EE1C0B"/>
    <w:rsid w:val="00EE2387"/>
    <w:rsid w:val="00EE25CA"/>
    <w:rsid w:val="00EE43CF"/>
    <w:rsid w:val="00EE4427"/>
    <w:rsid w:val="00EE5BD2"/>
    <w:rsid w:val="00EE7327"/>
    <w:rsid w:val="00EF09B3"/>
    <w:rsid w:val="00EF107C"/>
    <w:rsid w:val="00EF11E5"/>
    <w:rsid w:val="00EF1300"/>
    <w:rsid w:val="00EF15A7"/>
    <w:rsid w:val="00EF2FFF"/>
    <w:rsid w:val="00EF4630"/>
    <w:rsid w:val="00EF4DAD"/>
    <w:rsid w:val="00EF5DC1"/>
    <w:rsid w:val="00EF5EEB"/>
    <w:rsid w:val="00EF631F"/>
    <w:rsid w:val="00EF7FD9"/>
    <w:rsid w:val="00F00C80"/>
    <w:rsid w:val="00F032A4"/>
    <w:rsid w:val="00F034EF"/>
    <w:rsid w:val="00F044FA"/>
    <w:rsid w:val="00F04A32"/>
    <w:rsid w:val="00F04B9F"/>
    <w:rsid w:val="00F04F2A"/>
    <w:rsid w:val="00F05677"/>
    <w:rsid w:val="00F05802"/>
    <w:rsid w:val="00F066CA"/>
    <w:rsid w:val="00F07252"/>
    <w:rsid w:val="00F127F3"/>
    <w:rsid w:val="00F13217"/>
    <w:rsid w:val="00F14C0F"/>
    <w:rsid w:val="00F1542A"/>
    <w:rsid w:val="00F16EE3"/>
    <w:rsid w:val="00F17659"/>
    <w:rsid w:val="00F17C18"/>
    <w:rsid w:val="00F202FE"/>
    <w:rsid w:val="00F205EE"/>
    <w:rsid w:val="00F20E57"/>
    <w:rsid w:val="00F2228F"/>
    <w:rsid w:val="00F22A39"/>
    <w:rsid w:val="00F22EC3"/>
    <w:rsid w:val="00F235DA"/>
    <w:rsid w:val="00F236F2"/>
    <w:rsid w:val="00F24DC8"/>
    <w:rsid w:val="00F25227"/>
    <w:rsid w:val="00F2565C"/>
    <w:rsid w:val="00F25784"/>
    <w:rsid w:val="00F25EA3"/>
    <w:rsid w:val="00F25EE2"/>
    <w:rsid w:val="00F27DDD"/>
    <w:rsid w:val="00F30DC9"/>
    <w:rsid w:val="00F30E3C"/>
    <w:rsid w:val="00F31D78"/>
    <w:rsid w:val="00F31F17"/>
    <w:rsid w:val="00F321D5"/>
    <w:rsid w:val="00F35DFD"/>
    <w:rsid w:val="00F408B6"/>
    <w:rsid w:val="00F41761"/>
    <w:rsid w:val="00F41D2D"/>
    <w:rsid w:val="00F43321"/>
    <w:rsid w:val="00F4412E"/>
    <w:rsid w:val="00F44218"/>
    <w:rsid w:val="00F4512F"/>
    <w:rsid w:val="00F452EC"/>
    <w:rsid w:val="00F47FDD"/>
    <w:rsid w:val="00F518D0"/>
    <w:rsid w:val="00F51D4A"/>
    <w:rsid w:val="00F53263"/>
    <w:rsid w:val="00F54EA8"/>
    <w:rsid w:val="00F567D1"/>
    <w:rsid w:val="00F57347"/>
    <w:rsid w:val="00F57E6C"/>
    <w:rsid w:val="00F60E4E"/>
    <w:rsid w:val="00F60FD9"/>
    <w:rsid w:val="00F6219C"/>
    <w:rsid w:val="00F6332D"/>
    <w:rsid w:val="00F639AD"/>
    <w:rsid w:val="00F63A89"/>
    <w:rsid w:val="00F63C72"/>
    <w:rsid w:val="00F716C7"/>
    <w:rsid w:val="00F716DA"/>
    <w:rsid w:val="00F71CA6"/>
    <w:rsid w:val="00F720D7"/>
    <w:rsid w:val="00F72385"/>
    <w:rsid w:val="00F725AE"/>
    <w:rsid w:val="00F74424"/>
    <w:rsid w:val="00F74F03"/>
    <w:rsid w:val="00F7691C"/>
    <w:rsid w:val="00F7792D"/>
    <w:rsid w:val="00F80A1D"/>
    <w:rsid w:val="00F80A92"/>
    <w:rsid w:val="00F80D2F"/>
    <w:rsid w:val="00F81049"/>
    <w:rsid w:val="00F81950"/>
    <w:rsid w:val="00F82942"/>
    <w:rsid w:val="00F82DDA"/>
    <w:rsid w:val="00F82FAA"/>
    <w:rsid w:val="00F83222"/>
    <w:rsid w:val="00F843BC"/>
    <w:rsid w:val="00F850B8"/>
    <w:rsid w:val="00F86022"/>
    <w:rsid w:val="00F863DA"/>
    <w:rsid w:val="00F86D5C"/>
    <w:rsid w:val="00F874EB"/>
    <w:rsid w:val="00F90432"/>
    <w:rsid w:val="00F91E47"/>
    <w:rsid w:val="00F91EF8"/>
    <w:rsid w:val="00F91F51"/>
    <w:rsid w:val="00F93E8C"/>
    <w:rsid w:val="00F94C3A"/>
    <w:rsid w:val="00F94FB0"/>
    <w:rsid w:val="00F96099"/>
    <w:rsid w:val="00F96B17"/>
    <w:rsid w:val="00F9754F"/>
    <w:rsid w:val="00F97A9F"/>
    <w:rsid w:val="00FA07F4"/>
    <w:rsid w:val="00FA10AE"/>
    <w:rsid w:val="00FA159A"/>
    <w:rsid w:val="00FA1D67"/>
    <w:rsid w:val="00FA2EDC"/>
    <w:rsid w:val="00FA41ED"/>
    <w:rsid w:val="00FA475A"/>
    <w:rsid w:val="00FA4D0B"/>
    <w:rsid w:val="00FA5AED"/>
    <w:rsid w:val="00FA5C11"/>
    <w:rsid w:val="00FA6BF2"/>
    <w:rsid w:val="00FA6D0F"/>
    <w:rsid w:val="00FA6F44"/>
    <w:rsid w:val="00FA744C"/>
    <w:rsid w:val="00FA7871"/>
    <w:rsid w:val="00FB0453"/>
    <w:rsid w:val="00FB070A"/>
    <w:rsid w:val="00FB226D"/>
    <w:rsid w:val="00FB232D"/>
    <w:rsid w:val="00FB2ADB"/>
    <w:rsid w:val="00FB2F62"/>
    <w:rsid w:val="00FB4847"/>
    <w:rsid w:val="00FB49BD"/>
    <w:rsid w:val="00FB4F49"/>
    <w:rsid w:val="00FB52FA"/>
    <w:rsid w:val="00FB7757"/>
    <w:rsid w:val="00FB7BBC"/>
    <w:rsid w:val="00FC0671"/>
    <w:rsid w:val="00FC0A2D"/>
    <w:rsid w:val="00FC19D6"/>
    <w:rsid w:val="00FC2AC1"/>
    <w:rsid w:val="00FC2B96"/>
    <w:rsid w:val="00FC39E4"/>
    <w:rsid w:val="00FC43B1"/>
    <w:rsid w:val="00FC46F4"/>
    <w:rsid w:val="00FC58E4"/>
    <w:rsid w:val="00FC6B20"/>
    <w:rsid w:val="00FC6CCB"/>
    <w:rsid w:val="00FD06D7"/>
    <w:rsid w:val="00FD0720"/>
    <w:rsid w:val="00FD0A3B"/>
    <w:rsid w:val="00FD0C7A"/>
    <w:rsid w:val="00FD1D84"/>
    <w:rsid w:val="00FD2DAA"/>
    <w:rsid w:val="00FD2DBB"/>
    <w:rsid w:val="00FD312C"/>
    <w:rsid w:val="00FD3219"/>
    <w:rsid w:val="00FD4E70"/>
    <w:rsid w:val="00FD6978"/>
    <w:rsid w:val="00FD6BC5"/>
    <w:rsid w:val="00FD6CAA"/>
    <w:rsid w:val="00FD7108"/>
    <w:rsid w:val="00FE0B70"/>
    <w:rsid w:val="00FE169A"/>
    <w:rsid w:val="00FE1B93"/>
    <w:rsid w:val="00FE2BFF"/>
    <w:rsid w:val="00FE3D76"/>
    <w:rsid w:val="00FE4015"/>
    <w:rsid w:val="00FE5E28"/>
    <w:rsid w:val="00FE6128"/>
    <w:rsid w:val="00FF0524"/>
    <w:rsid w:val="00FF14EF"/>
    <w:rsid w:val="00FF171A"/>
    <w:rsid w:val="00FF1EF9"/>
    <w:rsid w:val="00FF3261"/>
    <w:rsid w:val="00FF3E56"/>
    <w:rsid w:val="00FF6D2F"/>
    <w:rsid w:val="00FF7091"/>
    <w:rsid w:val="00FF78AB"/>
    <w:rsid w:val="00FF7A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8CDA49-99F0-4614-9149-EA8C134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24"/>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30"/>
  </w:style>
  <w:style w:type="paragraph" w:styleId="Footer">
    <w:name w:val="footer"/>
    <w:basedOn w:val="Normal"/>
    <w:link w:val="FooterChar"/>
    <w:uiPriority w:val="99"/>
    <w:unhideWhenUsed/>
    <w:rsid w:val="00296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30"/>
  </w:style>
  <w:style w:type="character" w:styleId="Hyperlink">
    <w:name w:val="Hyperlink"/>
    <w:uiPriority w:val="99"/>
    <w:unhideWhenUsed/>
    <w:rsid w:val="002E55DC"/>
    <w:rPr>
      <w:color w:val="0563C1"/>
      <w:u w:val="single"/>
    </w:rPr>
  </w:style>
  <w:style w:type="character" w:customStyle="1" w:styleId="Mention1">
    <w:name w:val="Mention1"/>
    <w:uiPriority w:val="99"/>
    <w:semiHidden/>
    <w:unhideWhenUsed/>
    <w:rsid w:val="002E55DC"/>
    <w:rPr>
      <w:color w:val="2B579A"/>
      <w:shd w:val="clear" w:color="auto" w:fill="E6E6E6"/>
    </w:rPr>
  </w:style>
  <w:style w:type="character" w:customStyle="1" w:styleId="apple-converted-space">
    <w:name w:val="apple-converted-space"/>
    <w:basedOn w:val="DefaultParagraphFont"/>
    <w:rsid w:val="007E4C2D"/>
  </w:style>
  <w:style w:type="paragraph" w:customStyle="1" w:styleId="Default">
    <w:name w:val="Default"/>
    <w:rsid w:val="00D304B8"/>
    <w:pPr>
      <w:autoSpaceDE w:val="0"/>
      <w:autoSpaceDN w:val="0"/>
      <w:adjustRightInd w:val="0"/>
    </w:pPr>
    <w:rPr>
      <w:rFonts w:ascii="Tahoma" w:hAnsi="Tahoma" w:cs="Tahoma"/>
      <w:color w:val="000000"/>
      <w:sz w:val="24"/>
      <w:szCs w:val="24"/>
      <w:lang w:eastAsia="en-US"/>
    </w:rPr>
  </w:style>
  <w:style w:type="character" w:styleId="Emphasis">
    <w:name w:val="Emphasis"/>
    <w:uiPriority w:val="20"/>
    <w:qFormat/>
    <w:rsid w:val="00B13259"/>
    <w:rPr>
      <w:i/>
      <w:iCs/>
    </w:rPr>
  </w:style>
  <w:style w:type="paragraph" w:styleId="ListParagraph">
    <w:name w:val="List Paragraph"/>
    <w:basedOn w:val="Normal"/>
    <w:uiPriority w:val="34"/>
    <w:qFormat/>
    <w:rsid w:val="000B0521"/>
    <w:pPr>
      <w:ind w:left="720"/>
      <w:contextualSpacing/>
    </w:pPr>
  </w:style>
  <w:style w:type="character" w:customStyle="1" w:styleId="author">
    <w:name w:val="author"/>
    <w:basedOn w:val="DefaultParagraphFont"/>
    <w:rsid w:val="008A5372"/>
  </w:style>
  <w:style w:type="character" w:customStyle="1" w:styleId="pubyear">
    <w:name w:val="pubyear"/>
    <w:basedOn w:val="DefaultParagraphFont"/>
    <w:rsid w:val="008A5372"/>
  </w:style>
  <w:style w:type="character" w:customStyle="1" w:styleId="articletitle">
    <w:name w:val="articletitle"/>
    <w:basedOn w:val="DefaultParagraphFont"/>
    <w:rsid w:val="008A5372"/>
  </w:style>
  <w:style w:type="character" w:customStyle="1" w:styleId="journaltitle">
    <w:name w:val="journaltitle"/>
    <w:basedOn w:val="DefaultParagraphFont"/>
    <w:rsid w:val="008A5372"/>
  </w:style>
  <w:style w:type="character" w:customStyle="1" w:styleId="vol">
    <w:name w:val="vol"/>
    <w:basedOn w:val="DefaultParagraphFont"/>
    <w:rsid w:val="008A5372"/>
  </w:style>
  <w:style w:type="character" w:customStyle="1" w:styleId="citedissue">
    <w:name w:val="citedissue"/>
    <w:basedOn w:val="DefaultParagraphFont"/>
    <w:rsid w:val="008A5372"/>
  </w:style>
  <w:style w:type="character" w:customStyle="1" w:styleId="pagefirst">
    <w:name w:val="pagefirst"/>
    <w:basedOn w:val="DefaultParagraphFont"/>
    <w:rsid w:val="008A5372"/>
  </w:style>
  <w:style w:type="character" w:customStyle="1" w:styleId="pagelast">
    <w:name w:val="pagelast"/>
    <w:basedOn w:val="DefaultParagraphFont"/>
    <w:rsid w:val="008A5372"/>
  </w:style>
  <w:style w:type="character" w:styleId="BookTitle">
    <w:name w:val="Book Title"/>
    <w:uiPriority w:val="33"/>
    <w:qFormat/>
    <w:rsid w:val="00EF5EEB"/>
    <w:rPr>
      <w:b/>
      <w:bCs/>
      <w:i/>
      <w:iCs/>
      <w:spacing w:val="5"/>
    </w:rPr>
  </w:style>
  <w:style w:type="paragraph" w:styleId="FootnoteText">
    <w:name w:val="footnote text"/>
    <w:basedOn w:val="Normal"/>
    <w:link w:val="FootnoteTextChar"/>
    <w:semiHidden/>
    <w:rsid w:val="002D551C"/>
    <w:pPr>
      <w:snapToGrid w:val="0"/>
      <w:spacing w:after="0" w:line="240" w:lineRule="auto"/>
    </w:pPr>
    <w:rPr>
      <w:rFonts w:ascii="Times New Roman" w:eastAsia="Times New Roman" w:hAnsi="Times New Roman"/>
      <w:color w:val="000000"/>
      <w:sz w:val="20"/>
      <w:szCs w:val="20"/>
      <w:lang w:val="x-none" w:eastAsia="x-none"/>
    </w:rPr>
  </w:style>
  <w:style w:type="character" w:customStyle="1" w:styleId="FootnoteTextChar">
    <w:name w:val="Footnote Text Char"/>
    <w:link w:val="FootnoteText"/>
    <w:semiHidden/>
    <w:rsid w:val="002D551C"/>
    <w:rPr>
      <w:rFonts w:ascii="Times New Roman" w:eastAsia="Times New Roman" w:hAnsi="Times New Roman" w:cs="Times New Roman"/>
      <w:color w:val="000000"/>
      <w:sz w:val="20"/>
      <w:szCs w:val="20"/>
    </w:rPr>
  </w:style>
  <w:style w:type="character" w:styleId="FootnoteReference">
    <w:name w:val="footnote reference"/>
    <w:semiHidden/>
    <w:rsid w:val="002D551C"/>
    <w:rPr>
      <w:vertAlign w:val="superscript"/>
    </w:rPr>
  </w:style>
  <w:style w:type="character" w:styleId="CommentReference">
    <w:name w:val="annotation reference"/>
    <w:uiPriority w:val="99"/>
    <w:semiHidden/>
    <w:unhideWhenUsed/>
    <w:rsid w:val="00475931"/>
    <w:rPr>
      <w:sz w:val="16"/>
      <w:szCs w:val="16"/>
    </w:rPr>
  </w:style>
  <w:style w:type="paragraph" w:styleId="CommentText">
    <w:name w:val="annotation text"/>
    <w:basedOn w:val="Normal"/>
    <w:link w:val="CommentTextChar"/>
    <w:uiPriority w:val="99"/>
    <w:semiHidden/>
    <w:unhideWhenUsed/>
    <w:rsid w:val="00475931"/>
    <w:pPr>
      <w:spacing w:line="240" w:lineRule="auto"/>
    </w:pPr>
    <w:rPr>
      <w:sz w:val="20"/>
      <w:szCs w:val="20"/>
      <w:lang w:val="x-none" w:eastAsia="x-none"/>
    </w:rPr>
  </w:style>
  <w:style w:type="character" w:customStyle="1" w:styleId="CommentTextChar">
    <w:name w:val="Comment Text Char"/>
    <w:link w:val="CommentText"/>
    <w:uiPriority w:val="99"/>
    <w:semiHidden/>
    <w:rsid w:val="00475931"/>
    <w:rPr>
      <w:sz w:val="20"/>
      <w:szCs w:val="20"/>
    </w:rPr>
  </w:style>
  <w:style w:type="paragraph" w:styleId="CommentSubject">
    <w:name w:val="annotation subject"/>
    <w:basedOn w:val="CommentText"/>
    <w:next w:val="CommentText"/>
    <w:link w:val="CommentSubjectChar"/>
    <w:uiPriority w:val="99"/>
    <w:semiHidden/>
    <w:unhideWhenUsed/>
    <w:rsid w:val="00475931"/>
    <w:rPr>
      <w:b/>
      <w:bCs/>
    </w:rPr>
  </w:style>
  <w:style w:type="character" w:customStyle="1" w:styleId="CommentSubjectChar">
    <w:name w:val="Comment Subject Char"/>
    <w:link w:val="CommentSubject"/>
    <w:uiPriority w:val="99"/>
    <w:semiHidden/>
    <w:rsid w:val="00475931"/>
    <w:rPr>
      <w:b/>
      <w:bCs/>
      <w:sz w:val="20"/>
      <w:szCs w:val="20"/>
    </w:rPr>
  </w:style>
  <w:style w:type="paragraph" w:styleId="BalloonText">
    <w:name w:val="Balloon Text"/>
    <w:basedOn w:val="Normal"/>
    <w:link w:val="BalloonTextChar"/>
    <w:uiPriority w:val="99"/>
    <w:semiHidden/>
    <w:unhideWhenUsed/>
    <w:rsid w:val="0047593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475931"/>
    <w:rPr>
      <w:rFonts w:ascii="Segoe UI" w:hAnsi="Segoe UI" w:cs="Segoe UI"/>
      <w:sz w:val="18"/>
      <w:szCs w:val="18"/>
    </w:rPr>
  </w:style>
  <w:style w:type="character" w:styleId="UnresolvedMention">
    <w:name w:val="Unresolved Mention"/>
    <w:uiPriority w:val="99"/>
    <w:semiHidden/>
    <w:unhideWhenUsed/>
    <w:rsid w:val="003D6B91"/>
    <w:rPr>
      <w:color w:val="808080"/>
      <w:shd w:val="clear" w:color="auto" w:fill="E6E6E6"/>
    </w:rPr>
  </w:style>
  <w:style w:type="character" w:styleId="FollowedHyperlink">
    <w:name w:val="FollowedHyperlink"/>
    <w:uiPriority w:val="99"/>
    <w:semiHidden/>
    <w:unhideWhenUsed/>
    <w:rsid w:val="00CD5D9A"/>
    <w:rPr>
      <w:color w:val="800080"/>
      <w:u w:val="single"/>
    </w:rPr>
  </w:style>
  <w:style w:type="paragraph" w:styleId="NormalWeb">
    <w:name w:val="Normal (Web)"/>
    <w:basedOn w:val="Normal"/>
    <w:uiPriority w:val="99"/>
    <w:semiHidden/>
    <w:unhideWhenUsed/>
    <w:rsid w:val="00632E0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72731">
      <w:bodyDiv w:val="1"/>
      <w:marLeft w:val="0"/>
      <w:marRight w:val="0"/>
      <w:marTop w:val="0"/>
      <w:marBottom w:val="0"/>
      <w:divBdr>
        <w:top w:val="none" w:sz="0" w:space="0" w:color="auto"/>
        <w:left w:val="none" w:sz="0" w:space="0" w:color="auto"/>
        <w:bottom w:val="none" w:sz="0" w:space="0" w:color="auto"/>
        <w:right w:val="none" w:sz="0" w:space="0" w:color="auto"/>
      </w:divBdr>
    </w:div>
    <w:div w:id="1653439677">
      <w:bodyDiv w:val="1"/>
      <w:marLeft w:val="0"/>
      <w:marRight w:val="0"/>
      <w:marTop w:val="0"/>
      <w:marBottom w:val="0"/>
      <w:divBdr>
        <w:top w:val="none" w:sz="0" w:space="0" w:color="auto"/>
        <w:left w:val="none" w:sz="0" w:space="0" w:color="auto"/>
        <w:bottom w:val="none" w:sz="0" w:space="0" w:color="auto"/>
        <w:right w:val="none" w:sz="0" w:space="0" w:color="auto"/>
      </w:divBdr>
    </w:div>
    <w:div w:id="1990791237">
      <w:bodyDiv w:val="1"/>
      <w:marLeft w:val="0"/>
      <w:marRight w:val="0"/>
      <w:marTop w:val="0"/>
      <w:marBottom w:val="0"/>
      <w:divBdr>
        <w:top w:val="none" w:sz="0" w:space="0" w:color="auto"/>
        <w:left w:val="none" w:sz="0" w:space="0" w:color="auto"/>
        <w:bottom w:val="none" w:sz="0" w:space="0" w:color="auto"/>
        <w:right w:val="none" w:sz="0" w:space="0" w:color="auto"/>
      </w:divBdr>
    </w:div>
    <w:div w:id="20273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arson.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ley.Gill1@Staffs.ac.uk" TargetMode="External"/><Relationship Id="rId12" Type="http://schemas.openxmlformats.org/officeDocument/2006/relationships/hyperlink" Target="http://www.hefce.ac.uk/analysis/HEinEngland/providers/colleg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fce.ac.uk/pubs/hefce/2007/07_03/default.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zca.org/2007NZCAProgrammeProgramme.pdf" TargetMode="External"/><Relationship Id="rId4" Type="http://schemas.openxmlformats.org/officeDocument/2006/relationships/webSettings" Target="webSettings.xml"/><Relationship Id="rId9" Type="http://schemas.openxmlformats.org/officeDocument/2006/relationships/hyperlink" Target="http://www.dfee/heqe/fdcd.htm" TargetMode="External"/><Relationship Id="rId14" Type="http://schemas.openxmlformats.org/officeDocument/2006/relationships/hyperlink" Target="https://www.universitiesuk.ac.uk/facts-and-stats/data-and-analysis/Pages/patterns-and-trends-20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7408</Words>
  <Characters>42230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49539</CharactersWithSpaces>
  <SharedDoc>false</SharedDoc>
  <HLinks>
    <vt:vector size="42" baseType="variant">
      <vt:variant>
        <vt:i4>3932195</vt:i4>
      </vt:variant>
      <vt:variant>
        <vt:i4>18</vt:i4>
      </vt:variant>
      <vt:variant>
        <vt:i4>0</vt:i4>
      </vt:variant>
      <vt:variant>
        <vt:i4>5</vt:i4>
      </vt:variant>
      <vt:variant>
        <vt:lpwstr>https://www.universitiesuk.ac.uk/facts-and-stats/data-and-analysis/Pages/patterns-and-trends-2017.aspx</vt:lpwstr>
      </vt:variant>
      <vt:variant>
        <vt:lpwstr/>
      </vt:variant>
      <vt:variant>
        <vt:i4>2818154</vt:i4>
      </vt:variant>
      <vt:variant>
        <vt:i4>15</vt:i4>
      </vt:variant>
      <vt:variant>
        <vt:i4>0</vt:i4>
      </vt:variant>
      <vt:variant>
        <vt:i4>5</vt:i4>
      </vt:variant>
      <vt:variant>
        <vt:lpwstr>https://www.pearson.co.uk/</vt:lpwstr>
      </vt:variant>
      <vt:variant>
        <vt:lpwstr/>
      </vt:variant>
      <vt:variant>
        <vt:i4>3735594</vt:i4>
      </vt:variant>
      <vt:variant>
        <vt:i4>12</vt:i4>
      </vt:variant>
      <vt:variant>
        <vt:i4>0</vt:i4>
      </vt:variant>
      <vt:variant>
        <vt:i4>5</vt:i4>
      </vt:variant>
      <vt:variant>
        <vt:lpwstr>http://www.hefce.ac.uk/analysis/HEinEngland/providers/colleges/</vt:lpwstr>
      </vt:variant>
      <vt:variant>
        <vt:lpwstr/>
      </vt:variant>
      <vt:variant>
        <vt:i4>2949147</vt:i4>
      </vt:variant>
      <vt:variant>
        <vt:i4>9</vt:i4>
      </vt:variant>
      <vt:variant>
        <vt:i4>0</vt:i4>
      </vt:variant>
      <vt:variant>
        <vt:i4>5</vt:i4>
      </vt:variant>
      <vt:variant>
        <vt:lpwstr>http://www.hefce.ac.uk/pubs/hefce/2007/07_03/default.html</vt:lpwstr>
      </vt:variant>
      <vt:variant>
        <vt:lpwstr/>
      </vt:variant>
      <vt:variant>
        <vt:i4>1376336</vt:i4>
      </vt:variant>
      <vt:variant>
        <vt:i4>6</vt:i4>
      </vt:variant>
      <vt:variant>
        <vt:i4>0</vt:i4>
      </vt:variant>
      <vt:variant>
        <vt:i4>5</vt:i4>
      </vt:variant>
      <vt:variant>
        <vt:lpwstr>http://www.nzca.org/2007NZCAProgrammeProgramme.pdf</vt:lpwstr>
      </vt:variant>
      <vt:variant>
        <vt:lpwstr>page=24</vt:lpwstr>
      </vt:variant>
      <vt:variant>
        <vt:i4>5898253</vt:i4>
      </vt:variant>
      <vt:variant>
        <vt:i4>3</vt:i4>
      </vt:variant>
      <vt:variant>
        <vt:i4>0</vt:i4>
      </vt:variant>
      <vt:variant>
        <vt:i4>5</vt:i4>
      </vt:variant>
      <vt:variant>
        <vt:lpwstr>http://www.dfee/heqe/fdcd.htm</vt:lpwstr>
      </vt:variant>
      <vt:variant>
        <vt:lpwstr/>
      </vt:variant>
      <vt:variant>
        <vt:i4>2097242</vt:i4>
      </vt:variant>
      <vt:variant>
        <vt:i4>0</vt:i4>
      </vt:variant>
      <vt:variant>
        <vt:i4>0</vt:i4>
      </vt:variant>
      <vt:variant>
        <vt:i4>5</vt:i4>
      </vt:variant>
      <vt:variant>
        <vt:lpwstr>mailto:Ashley.Gill1@Staffs.ac.uk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Ashley</dc:creator>
  <cp:keywords/>
  <cp:lastModifiedBy>BAGSHAW Matthew</cp:lastModifiedBy>
  <cp:revision>2</cp:revision>
  <dcterms:created xsi:type="dcterms:W3CDTF">2019-05-07T08:43:00Z</dcterms:created>
  <dcterms:modified xsi:type="dcterms:W3CDTF">2019-05-07T08:43:00Z</dcterms:modified>
</cp:coreProperties>
</file>