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1BF3E" w14:textId="7B316E77" w:rsidR="003C1384" w:rsidRDefault="002A0AA6" w:rsidP="005F57A1">
      <w:pPr>
        <w:ind w:right="107"/>
        <w:jc w:val="both"/>
      </w:pPr>
      <w:r>
        <w:t>Volume 1, Issue 1</w:t>
      </w:r>
      <w:r>
        <w:tab/>
      </w:r>
      <w:r>
        <w:tab/>
      </w:r>
      <w:r>
        <w:tab/>
      </w:r>
      <w:r>
        <w:tab/>
      </w:r>
      <w:r>
        <w:tab/>
      </w:r>
      <w:r>
        <w:tab/>
      </w:r>
      <w:r>
        <w:tab/>
      </w:r>
      <w:r>
        <w:tab/>
      </w:r>
      <w:r>
        <w:tab/>
      </w:r>
      <w:r w:rsidR="005F57A1">
        <w:tab/>
      </w:r>
      <w:r>
        <w:t>Article 1</w:t>
      </w:r>
    </w:p>
    <w:p w14:paraId="5C08C93D" w14:textId="77777777" w:rsidR="00125578" w:rsidRDefault="00125578" w:rsidP="005F57A1">
      <w:pPr>
        <w:spacing w:after="0"/>
      </w:pPr>
    </w:p>
    <w:p w14:paraId="581D1548" w14:textId="77777777" w:rsidR="002A0AA6" w:rsidRDefault="009A25AC" w:rsidP="009A25AC">
      <w:pPr>
        <w:tabs>
          <w:tab w:val="left" w:pos="2295"/>
        </w:tabs>
        <w:spacing w:after="0"/>
      </w:pPr>
      <w:r>
        <w:tab/>
      </w:r>
    </w:p>
    <w:p w14:paraId="6EC6491D" w14:textId="77777777" w:rsidR="002A0AA6" w:rsidRDefault="002A0AA6" w:rsidP="005F57A1">
      <w:pPr>
        <w:spacing w:after="0"/>
      </w:pPr>
    </w:p>
    <w:p w14:paraId="47EFD532" w14:textId="77777777" w:rsidR="009A18B7" w:rsidRPr="00D429D3" w:rsidRDefault="00BB2EBC" w:rsidP="005F57A1">
      <w:pPr>
        <w:rPr>
          <w:b/>
          <w:sz w:val="28"/>
          <w:szCs w:val="28"/>
        </w:rPr>
      </w:pPr>
      <w:r>
        <w:rPr>
          <w:b/>
          <w:sz w:val="28"/>
          <w:szCs w:val="28"/>
        </w:rPr>
        <w:t>Not proven</w:t>
      </w:r>
      <w:r w:rsidR="009A18B7" w:rsidRPr="00D429D3">
        <w:rPr>
          <w:b/>
          <w:sz w:val="28"/>
          <w:szCs w:val="28"/>
        </w:rPr>
        <w:t>? The curious case of the contaminated steak: A study of the Alberto Contador case and its implications for the 2015 World Anti-Doping Code</w:t>
      </w:r>
    </w:p>
    <w:p w14:paraId="56D2BC26" w14:textId="77777777" w:rsidR="00496324" w:rsidRPr="00685164" w:rsidRDefault="00923828" w:rsidP="005F57A1">
      <w:pPr>
        <w:spacing w:after="0"/>
      </w:pPr>
      <w:r w:rsidRPr="00685164">
        <w:t>L Thompson</w:t>
      </w:r>
    </w:p>
    <w:p w14:paraId="6D88E79A" w14:textId="77777777" w:rsidR="00EF6A86" w:rsidRDefault="00EF6A86" w:rsidP="005F57A1">
      <w:pPr>
        <w:spacing w:after="0"/>
      </w:pPr>
    </w:p>
    <w:p w14:paraId="3829EB11" w14:textId="77777777" w:rsidR="00EF6A86" w:rsidRDefault="00EF6A86" w:rsidP="005F57A1">
      <w:pPr>
        <w:spacing w:after="0"/>
      </w:pPr>
    </w:p>
    <w:p w14:paraId="3B2BC936" w14:textId="77777777" w:rsidR="00A62556" w:rsidRDefault="00A62556" w:rsidP="005F57A1">
      <w:pPr>
        <w:spacing w:after="0"/>
      </w:pPr>
    </w:p>
    <w:p w14:paraId="19D2F4E3" w14:textId="77777777" w:rsidR="00625F9F" w:rsidRPr="00625F9F" w:rsidRDefault="00625F9F" w:rsidP="005F57A1">
      <w:pPr>
        <w:spacing w:after="0"/>
        <w:rPr>
          <w:b/>
        </w:rPr>
      </w:pPr>
      <w:r w:rsidRPr="00625F9F">
        <w:rPr>
          <w:b/>
        </w:rPr>
        <w:t>Abstract</w:t>
      </w:r>
    </w:p>
    <w:p w14:paraId="7AF0C008" w14:textId="0318D97C" w:rsidR="00EF6A86" w:rsidRPr="00B975DD" w:rsidRDefault="003C1AEF" w:rsidP="005F57A1">
      <w:pPr>
        <w:spacing w:after="0"/>
      </w:pPr>
      <w:r w:rsidRPr="00B975DD">
        <w:t xml:space="preserve">Following his victory in the 2010 Tour de France, cyclist Alberto Contador was revealed to have tested positive during the race for the prohibited substance clenbuterol. As a result he faced a two-year ban from the sport. Contador claimed the positive result came from contaminated meat </w:t>
      </w:r>
      <w:r w:rsidR="00353C0C" w:rsidRPr="00B975DD">
        <w:t xml:space="preserve">he had </w:t>
      </w:r>
      <w:r w:rsidR="00635496" w:rsidRPr="00B975DD">
        <w:t>consumed</w:t>
      </w:r>
      <w:r w:rsidR="00353C0C" w:rsidRPr="00B975DD">
        <w:t xml:space="preserve"> </w:t>
      </w:r>
      <w:r w:rsidRPr="00B975DD">
        <w:t xml:space="preserve">but the </w:t>
      </w:r>
      <w:r w:rsidR="00353C0C" w:rsidRPr="00B975DD">
        <w:t xml:space="preserve">relevant </w:t>
      </w:r>
      <w:r w:rsidRPr="00B975DD">
        <w:t>anti-doping authorities disagreed</w:t>
      </w:r>
      <w:r w:rsidR="00353C0C" w:rsidRPr="00B975DD">
        <w:t>, cla</w:t>
      </w:r>
      <w:r w:rsidR="00144A14" w:rsidRPr="00B975DD">
        <w:t xml:space="preserve">iming instead that Contador had </w:t>
      </w:r>
      <w:r w:rsidR="00353C0C" w:rsidRPr="00B975DD">
        <w:t xml:space="preserve">deliberately ingested the substance via a contaminated blood transfusion. Ultimately Contador’s case </w:t>
      </w:r>
      <w:r w:rsidRPr="00B975DD">
        <w:t xml:space="preserve">was decided before </w:t>
      </w:r>
      <w:r w:rsidR="00353C0C" w:rsidRPr="00B975DD">
        <w:t xml:space="preserve">an arbitration panel at </w:t>
      </w:r>
      <w:r w:rsidRPr="00B975DD">
        <w:t>the Court of Arbitration for Sport (CAS)</w:t>
      </w:r>
      <w:r w:rsidR="00353C0C" w:rsidRPr="00B975DD">
        <w:t xml:space="preserve"> which handed down a two-year ban</w:t>
      </w:r>
      <w:r w:rsidRPr="00B975DD">
        <w:t xml:space="preserve">. </w:t>
      </w:r>
    </w:p>
    <w:p w14:paraId="11C624F5" w14:textId="77777777" w:rsidR="003C1AEF" w:rsidRPr="00B975DD" w:rsidRDefault="003C1AEF" w:rsidP="005F57A1">
      <w:pPr>
        <w:spacing w:after="0"/>
        <w:rPr>
          <w:i/>
        </w:rPr>
      </w:pPr>
    </w:p>
    <w:p w14:paraId="0103DFA2" w14:textId="0548C881" w:rsidR="00685164" w:rsidRPr="00B975DD" w:rsidRDefault="00685164" w:rsidP="00685164">
      <w:pPr>
        <w:spacing w:after="0"/>
      </w:pPr>
      <w:r w:rsidRPr="00B975DD">
        <w:t xml:space="preserve">This </w:t>
      </w:r>
      <w:r w:rsidR="00144A14" w:rsidRPr="00B975DD">
        <w:t>article</w:t>
      </w:r>
      <w:r w:rsidRPr="00B975DD">
        <w:t xml:space="preserve"> </w:t>
      </w:r>
      <w:r w:rsidR="003C1AEF" w:rsidRPr="00B975DD">
        <w:t xml:space="preserve">will examine the Contador case </w:t>
      </w:r>
      <w:r w:rsidRPr="00B975DD">
        <w:t xml:space="preserve">in detail, focussing in particular on the </w:t>
      </w:r>
      <w:r w:rsidR="003C1AEF" w:rsidRPr="00B975DD">
        <w:t>difficulties</w:t>
      </w:r>
      <w:r w:rsidRPr="00B975DD">
        <w:t xml:space="preserve"> arising from the interplay between the provisions of th</w:t>
      </w:r>
      <w:r w:rsidR="003C1AEF" w:rsidRPr="00B975DD">
        <w:t xml:space="preserve">e 2009 World Anti-Doping Code </w:t>
      </w:r>
      <w:r w:rsidRPr="00B975DD">
        <w:t>relating to burdens and standards of proof and sanctioning. The analysis will draw primarily on the Court of Arbit</w:t>
      </w:r>
      <w:r w:rsidR="003C1AEF" w:rsidRPr="00B975DD">
        <w:t>ration for Sport (CAS) award –</w:t>
      </w:r>
      <w:r w:rsidRPr="00B975DD">
        <w:t xml:space="preserve"> as well as other secondary so</w:t>
      </w:r>
      <w:r w:rsidR="003C1AEF" w:rsidRPr="00B975DD">
        <w:t>urces and recent similar cases –</w:t>
      </w:r>
      <w:r w:rsidRPr="00B975DD">
        <w:t xml:space="preserve"> to assess the extent to which the issues identified have been addressed in the revised </w:t>
      </w:r>
      <w:r w:rsidR="003C1AEF" w:rsidRPr="00B975DD">
        <w:t>2015 World Anti-Doping Code</w:t>
      </w:r>
      <w:r w:rsidRPr="00B975DD">
        <w:t>.</w:t>
      </w:r>
      <w:r w:rsidR="003C1AEF" w:rsidRPr="00B975DD">
        <w:t xml:space="preserve"> The article also offers some thoughts on possible further amendments to the Code which might offer additional sanctioning flexibility in specific cases.</w:t>
      </w:r>
    </w:p>
    <w:p w14:paraId="0CA6EC8C" w14:textId="77777777" w:rsidR="00EF6A86" w:rsidRPr="00B975DD" w:rsidRDefault="00EF6A86" w:rsidP="005F57A1">
      <w:pPr>
        <w:spacing w:after="0"/>
      </w:pPr>
    </w:p>
    <w:p w14:paraId="7ACD6E28" w14:textId="77777777" w:rsidR="00EF6A86" w:rsidRPr="00B975DD" w:rsidRDefault="00EF6A86" w:rsidP="005F57A1">
      <w:pPr>
        <w:spacing w:after="0"/>
      </w:pPr>
      <w:r w:rsidRPr="00B975DD">
        <w:t xml:space="preserve">Keywords: </w:t>
      </w:r>
      <w:r w:rsidR="00685164" w:rsidRPr="00B975DD">
        <w:rPr>
          <w:i/>
        </w:rPr>
        <w:t>Cycling, Doping, Contamination, Burdens of Proof, Sanctioning</w:t>
      </w:r>
    </w:p>
    <w:p w14:paraId="3607DBD2" w14:textId="2A0ABD49" w:rsidR="000533BC" w:rsidRDefault="000533BC" w:rsidP="000533BC">
      <w:pPr>
        <w:spacing w:before="120" w:after="0"/>
        <w:rPr>
          <w:i/>
        </w:rPr>
      </w:pPr>
      <w:r w:rsidRPr="00B975DD">
        <w:rPr>
          <w:i/>
        </w:rPr>
        <w:t xml:space="preserve">[First submitted </w:t>
      </w:r>
      <w:r w:rsidR="00171E20" w:rsidRPr="00B975DD">
        <w:rPr>
          <w:i/>
        </w:rPr>
        <w:t xml:space="preserve">in 2013 </w:t>
      </w:r>
      <w:r w:rsidRPr="00B975DD">
        <w:rPr>
          <w:i/>
        </w:rPr>
        <w:t>as part fulfilment of the degree of LLM in International Sports Law, Staffordshire University</w:t>
      </w:r>
      <w:r w:rsidR="00316924" w:rsidRPr="00B975DD">
        <w:rPr>
          <w:i/>
        </w:rPr>
        <w:t xml:space="preserve"> </w:t>
      </w:r>
      <w:r w:rsidR="0061110F" w:rsidRPr="00B975DD">
        <w:rPr>
          <w:i/>
        </w:rPr>
        <w:t>when</w:t>
      </w:r>
      <w:r w:rsidR="00316924" w:rsidRPr="00B975DD">
        <w:rPr>
          <w:i/>
        </w:rPr>
        <w:t xml:space="preserve"> the W</w:t>
      </w:r>
      <w:r w:rsidR="0061110F" w:rsidRPr="00B975DD">
        <w:rPr>
          <w:i/>
        </w:rPr>
        <w:t>orld Anti-Doping Code</w:t>
      </w:r>
      <w:r w:rsidR="00316924" w:rsidRPr="00B975DD">
        <w:rPr>
          <w:i/>
        </w:rPr>
        <w:t xml:space="preserve"> 2009 was </w:t>
      </w:r>
      <w:r w:rsidR="0061110F" w:rsidRPr="00B975DD">
        <w:rPr>
          <w:i/>
        </w:rPr>
        <w:t xml:space="preserve">still </w:t>
      </w:r>
      <w:r w:rsidR="00316924" w:rsidRPr="00B975DD">
        <w:rPr>
          <w:i/>
        </w:rPr>
        <w:t xml:space="preserve">in force. The author has subsequently </w:t>
      </w:r>
      <w:r w:rsidR="00171E20" w:rsidRPr="00B975DD">
        <w:rPr>
          <w:i/>
        </w:rPr>
        <w:t xml:space="preserve">updated </w:t>
      </w:r>
      <w:r w:rsidR="00316924" w:rsidRPr="00B975DD">
        <w:rPr>
          <w:i/>
        </w:rPr>
        <w:t xml:space="preserve">the paper </w:t>
      </w:r>
      <w:r w:rsidR="00171E20" w:rsidRPr="00B975DD">
        <w:rPr>
          <w:i/>
        </w:rPr>
        <w:t>in light of the recent introduction of the revised World Anti-Doping Code 2015</w:t>
      </w:r>
      <w:r w:rsidRPr="00B975DD">
        <w:rPr>
          <w:i/>
        </w:rPr>
        <w:t>]</w:t>
      </w:r>
    </w:p>
    <w:p w14:paraId="6688DD14" w14:textId="77777777" w:rsidR="000533BC" w:rsidRDefault="000533BC" w:rsidP="000533BC">
      <w:pPr>
        <w:spacing w:after="0"/>
      </w:pPr>
    </w:p>
    <w:p w14:paraId="4F5AF3B6" w14:textId="77777777" w:rsidR="009A25AC" w:rsidRDefault="009A25AC" w:rsidP="005F57A1">
      <w:pPr>
        <w:pBdr>
          <w:bottom w:val="single" w:sz="4" w:space="1" w:color="auto"/>
        </w:pBdr>
        <w:spacing w:after="0"/>
      </w:pPr>
    </w:p>
    <w:p w14:paraId="6F447F9B" w14:textId="77777777" w:rsidR="002A0AA6" w:rsidRDefault="002A0AA6" w:rsidP="005F57A1">
      <w:pPr>
        <w:spacing w:after="0"/>
      </w:pPr>
    </w:p>
    <w:p w14:paraId="31E04C21" w14:textId="77777777" w:rsidR="009A18B7" w:rsidRDefault="00625F9F" w:rsidP="005F57A1">
      <w:pPr>
        <w:spacing w:after="120"/>
        <w:rPr>
          <w:b/>
          <w:sz w:val="20"/>
        </w:rPr>
      </w:pPr>
      <w:r w:rsidRPr="002B0A45">
        <w:rPr>
          <w:b/>
          <w:sz w:val="20"/>
        </w:rPr>
        <w:t>Recommended Citation</w:t>
      </w:r>
      <w:r w:rsidR="009A18B7">
        <w:rPr>
          <w:b/>
          <w:sz w:val="20"/>
        </w:rPr>
        <w:t xml:space="preserve"> </w:t>
      </w:r>
    </w:p>
    <w:p w14:paraId="04D55A58" w14:textId="77777777" w:rsidR="009A25AC" w:rsidRPr="00923828" w:rsidRDefault="00923828" w:rsidP="009A25AC">
      <w:pPr>
        <w:spacing w:after="0"/>
        <w:rPr>
          <w:rFonts w:cs="Arial"/>
          <w:sz w:val="20"/>
          <w:szCs w:val="20"/>
        </w:rPr>
      </w:pPr>
      <w:r w:rsidRPr="00685164">
        <w:rPr>
          <w:sz w:val="20"/>
          <w:szCs w:val="20"/>
        </w:rPr>
        <w:t>L Thompson</w:t>
      </w:r>
      <w:r w:rsidR="00BB2EBC">
        <w:rPr>
          <w:sz w:val="20"/>
          <w:szCs w:val="20"/>
        </w:rPr>
        <w:t>, ‘</w:t>
      </w:r>
      <w:r w:rsidR="009A18B7" w:rsidRPr="00685164">
        <w:rPr>
          <w:i/>
          <w:iCs/>
          <w:sz w:val="20"/>
          <w:szCs w:val="20"/>
        </w:rPr>
        <w:t>Not</w:t>
      </w:r>
      <w:r w:rsidR="00BB2EBC">
        <w:rPr>
          <w:i/>
          <w:iCs/>
          <w:sz w:val="20"/>
          <w:szCs w:val="20"/>
        </w:rPr>
        <w:t xml:space="preserve"> proven</w:t>
      </w:r>
      <w:r w:rsidR="009A18B7" w:rsidRPr="00685164">
        <w:rPr>
          <w:i/>
          <w:iCs/>
          <w:sz w:val="20"/>
          <w:szCs w:val="20"/>
        </w:rPr>
        <w:t xml:space="preserve">? The curious case of the contaminated steak: A study of the Alberto Contador case and its </w:t>
      </w:r>
      <w:r w:rsidR="009A18B7" w:rsidRPr="00923828">
        <w:rPr>
          <w:i/>
          <w:iCs/>
          <w:sz w:val="20"/>
          <w:szCs w:val="20"/>
        </w:rPr>
        <w:t>implications for the 2015 World Anti-Doping Code’</w:t>
      </w:r>
      <w:r w:rsidR="009A18B7" w:rsidRPr="00923828">
        <w:rPr>
          <w:b/>
          <w:bCs/>
          <w:sz w:val="20"/>
          <w:szCs w:val="20"/>
        </w:rPr>
        <w:t xml:space="preserve"> </w:t>
      </w:r>
      <w:r w:rsidRPr="00923828">
        <w:rPr>
          <w:rFonts w:eastAsia="Arial" w:cs="Arial"/>
          <w:sz w:val="20"/>
          <w:szCs w:val="20"/>
        </w:rPr>
        <w:t>(2015</w:t>
      </w:r>
      <w:r w:rsidR="009A18B7" w:rsidRPr="00923828">
        <w:rPr>
          <w:rFonts w:eastAsia="Arial" w:cs="Arial"/>
          <w:sz w:val="20"/>
          <w:szCs w:val="20"/>
        </w:rPr>
        <w:t xml:space="preserve">) </w:t>
      </w:r>
      <w:r w:rsidR="009A25AC" w:rsidRPr="00923828">
        <w:rPr>
          <w:rFonts w:eastAsia="Arial" w:cs="Arial"/>
          <w:sz w:val="20"/>
          <w:szCs w:val="20"/>
        </w:rPr>
        <w:t>1 Laws of the Game 1</w:t>
      </w:r>
    </w:p>
    <w:p w14:paraId="07F798F8" w14:textId="69942D67" w:rsidR="005A7410" w:rsidRDefault="005A1465" w:rsidP="005A1465">
      <w:pPr>
        <w:spacing w:after="0"/>
        <w:jc w:val="right"/>
        <w:rPr>
          <w:sz w:val="20"/>
        </w:rPr>
      </w:pPr>
      <w:r>
        <w:rPr>
          <w:sz w:val="20"/>
        </w:rPr>
        <w:t>[</w:t>
      </w:r>
      <w:r w:rsidR="005A7410" w:rsidRPr="002B0A45">
        <w:rPr>
          <w:sz w:val="20"/>
        </w:rPr>
        <w:t xml:space="preserve">Available at: </w:t>
      </w:r>
      <w:hyperlink r:id="rId8" w:history="1">
        <w:hyperlink r:id="rId9" w:history="1">
          <w:r w:rsidR="005A7410" w:rsidRPr="00D2720B">
            <w:rPr>
              <w:rStyle w:val="Hyperlink"/>
              <w:sz w:val="20"/>
              <w:szCs w:val="20"/>
            </w:rPr>
            <w:t>www.staffs.ac.uk/lawsofthegame</w:t>
          </w:r>
        </w:hyperlink>
        <w:r w:rsidR="005A7410" w:rsidRPr="00D2720B">
          <w:rPr>
            <w:rStyle w:val="Hyperlink"/>
            <w:sz w:val="20"/>
            <w:szCs w:val="20"/>
          </w:rPr>
          <w:t>/</w:t>
        </w:r>
      </w:hyperlink>
      <w:r>
        <w:rPr>
          <w:rStyle w:val="Hyperlink"/>
          <w:color w:val="auto"/>
          <w:sz w:val="20"/>
          <w:szCs w:val="20"/>
          <w:u w:val="none"/>
        </w:rPr>
        <w:t>]</w:t>
      </w:r>
      <w:r w:rsidR="005A7410" w:rsidRPr="002B0A45">
        <w:rPr>
          <w:sz w:val="20"/>
        </w:rPr>
        <w:t xml:space="preserve"> </w:t>
      </w:r>
    </w:p>
    <w:p w14:paraId="59897E3E" w14:textId="3292E9C0" w:rsidR="00BB2EBC" w:rsidRDefault="007340E0" w:rsidP="009A25AC">
      <w:pPr>
        <w:rPr>
          <w:b/>
          <w:i/>
        </w:rPr>
      </w:pPr>
      <w:r>
        <w:rPr>
          <w:b/>
          <w:i/>
          <w:noProof/>
          <w:lang w:eastAsia="en-GB"/>
        </w:rPr>
        <w:lastRenderedPageBreak/>
        <mc:AlternateContent>
          <mc:Choice Requires="wps">
            <w:drawing>
              <wp:anchor distT="0" distB="0" distL="114300" distR="114300" simplePos="0" relativeHeight="251657215" behindDoc="1" locked="0" layoutInCell="1" allowOverlap="1" wp14:anchorId="38370F67" wp14:editId="07B7D5D4">
                <wp:simplePos x="0" y="0"/>
                <wp:positionH relativeFrom="column">
                  <wp:posOffset>-152400</wp:posOffset>
                </wp:positionH>
                <wp:positionV relativeFrom="paragraph">
                  <wp:posOffset>-68580</wp:posOffset>
                </wp:positionV>
                <wp:extent cx="6400800" cy="876300"/>
                <wp:effectExtent l="7620" t="8890" r="11430"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76300"/>
                        </a:xfrm>
                        <a:prstGeom prst="rect">
                          <a:avLst/>
                        </a:prstGeom>
                        <a:solidFill>
                          <a:schemeClr val="bg1">
                            <a:lumMod val="8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2C782" id="Rectangle 3" o:spid="_x0000_s1026" style="position:absolute;margin-left:-12pt;margin-top:-5.4pt;width:7in;height:69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" fillcolor="#d8d8d8 [2732]"/>
            </w:pict>
          </mc:Fallback>
        </mc:AlternateContent>
      </w:r>
      <w:r w:rsidR="0061110F" w:rsidRPr="0061110F">
        <w:rPr>
          <w:b/>
          <w:i/>
        </w:rPr>
        <w:t>Note: This paper was first submitted in 2013 as part fulfilment of the degree of LLM in International Sports Law, Staffordshire University</w:t>
      </w:r>
      <w:r w:rsidR="0061110F">
        <w:rPr>
          <w:b/>
          <w:i/>
        </w:rPr>
        <w:t xml:space="preserve"> when</w:t>
      </w:r>
      <w:r w:rsidR="0061110F" w:rsidRPr="0061110F">
        <w:rPr>
          <w:b/>
          <w:i/>
        </w:rPr>
        <w:t xml:space="preserve"> the W</w:t>
      </w:r>
      <w:r w:rsidR="0061110F">
        <w:rPr>
          <w:b/>
          <w:i/>
        </w:rPr>
        <w:t>orld Anti-Doping Code</w:t>
      </w:r>
      <w:r w:rsidR="0061110F" w:rsidRPr="0061110F">
        <w:rPr>
          <w:b/>
          <w:i/>
        </w:rPr>
        <w:t xml:space="preserve"> 2009 was still in force. The auth</w:t>
      </w:r>
      <w:r w:rsidR="00C21564">
        <w:rPr>
          <w:b/>
          <w:i/>
        </w:rPr>
        <w:t xml:space="preserve">or has subsequently updated </w:t>
      </w:r>
      <w:r w:rsidR="0061110F">
        <w:rPr>
          <w:b/>
          <w:i/>
        </w:rPr>
        <w:t>section</w:t>
      </w:r>
      <w:r w:rsidR="00FB7A2A">
        <w:rPr>
          <w:b/>
          <w:i/>
        </w:rPr>
        <w:t>s</w:t>
      </w:r>
      <w:r w:rsidR="0061110F">
        <w:rPr>
          <w:b/>
          <w:i/>
        </w:rPr>
        <w:t xml:space="preserve"> of the </w:t>
      </w:r>
      <w:r w:rsidR="0061110F" w:rsidRPr="0061110F">
        <w:rPr>
          <w:b/>
          <w:i/>
        </w:rPr>
        <w:t>paper in light of the recent introduction of the revised World Anti-Doping Code 2015</w:t>
      </w:r>
      <w:r w:rsidR="0061110F">
        <w:rPr>
          <w:b/>
          <w:i/>
        </w:rPr>
        <w:t>.</w:t>
      </w:r>
    </w:p>
    <w:p w14:paraId="76783ACC" w14:textId="77777777" w:rsidR="00B975DD" w:rsidRDefault="00B975DD" w:rsidP="009A25AC">
      <w:pPr>
        <w:rPr>
          <w:b/>
          <w:i/>
        </w:rPr>
      </w:pPr>
    </w:p>
    <w:p w14:paraId="0D5DB91D" w14:textId="3043A3F8" w:rsidR="009A18B7" w:rsidRPr="00DE2606" w:rsidRDefault="00DE2606" w:rsidP="009A25AC">
      <w:pPr>
        <w:rPr>
          <w:b/>
          <w:sz w:val="24"/>
        </w:rPr>
      </w:pPr>
      <w:r w:rsidRPr="00DE2606">
        <w:rPr>
          <w:b/>
          <w:sz w:val="24"/>
        </w:rPr>
        <w:t>INTRODUCTION</w:t>
      </w:r>
    </w:p>
    <w:p w14:paraId="5F935025" w14:textId="77777777" w:rsidR="009A18B7" w:rsidRDefault="009A18B7" w:rsidP="005F57A1">
      <w:pPr>
        <w:spacing w:after="0"/>
      </w:pPr>
      <w:r w:rsidRPr="009A18B7">
        <w:t>On 25 July 2010 Alberto Contador Velasco stood atop the podium in Paris celebrating his third victory in the Tour de France.</w:t>
      </w:r>
      <w:r w:rsidRPr="009A18B7">
        <w:rPr>
          <w:rStyle w:val="FootnoteReference"/>
        </w:rPr>
        <w:footnoteReference w:id="1"/>
      </w:r>
      <w:r w:rsidRPr="009A18B7">
        <w:t xml:space="preserve"> Little was he to know that in a matter of weeks he would be facing an even tougher challenge than that posed by the mythical climbs of the French Alps: the challenge of proving his innocence in the face</w:t>
      </w:r>
      <w:r w:rsidR="00CC69B5">
        <w:t xml:space="preserve"> of a positive anti-doping test</w:t>
      </w:r>
      <w:r w:rsidRPr="009A18B7">
        <w:t xml:space="preserve"> conducted at the very Tour he had just won.</w:t>
      </w:r>
      <w:r w:rsidRPr="009A18B7">
        <w:rPr>
          <w:rStyle w:val="FootnoteReference"/>
        </w:rPr>
        <w:footnoteReference w:id="2"/>
      </w:r>
      <w:r w:rsidR="00CB40B1">
        <w:t xml:space="preserve"> </w:t>
      </w:r>
      <w:r w:rsidRPr="009A18B7">
        <w:t>Ultimately Contador failed and received a two-year ban.</w:t>
      </w:r>
      <w:r w:rsidRPr="009A18B7">
        <w:rPr>
          <w:rStyle w:val="FootnoteReference"/>
        </w:rPr>
        <w:footnoteReference w:id="3"/>
      </w:r>
      <w:r w:rsidRPr="009A18B7">
        <w:t xml:space="preserve"> However the case generated huge global media attention and raised a number of important issues – notably in relation to sanctions – that have influenced the shape of the 2015 World Anti-Doping Code (WADC 2015).</w:t>
      </w:r>
      <w:r w:rsidRPr="009A18B7">
        <w:rPr>
          <w:rStyle w:val="FootnoteReference"/>
        </w:rPr>
        <w:footnoteReference w:id="4"/>
      </w:r>
      <w:r w:rsidRPr="009A18B7">
        <w:t xml:space="preserve"> </w:t>
      </w:r>
    </w:p>
    <w:p w14:paraId="317687A4" w14:textId="5CC5D076" w:rsidR="009A18B7" w:rsidRPr="009A18B7" w:rsidRDefault="003C1AEF" w:rsidP="003C1AEF">
      <w:pPr>
        <w:tabs>
          <w:tab w:val="left" w:pos="5430"/>
        </w:tabs>
        <w:spacing w:after="0"/>
      </w:pPr>
      <w:r>
        <w:tab/>
      </w:r>
    </w:p>
    <w:p w14:paraId="2B3E5D25" w14:textId="7FC9764C" w:rsidR="009A18B7" w:rsidRPr="009A18B7" w:rsidRDefault="009A18B7" w:rsidP="005F57A1">
      <w:pPr>
        <w:spacing w:after="0"/>
      </w:pPr>
      <w:r w:rsidRPr="009A18B7">
        <w:t xml:space="preserve">This </w:t>
      </w:r>
      <w:r w:rsidR="00144A14">
        <w:t>article</w:t>
      </w:r>
      <w:r w:rsidRPr="009A18B7">
        <w:t xml:space="preserve"> will examine the Contador case (hereafter ‘</w:t>
      </w:r>
      <w:r w:rsidRPr="009A18B7">
        <w:rPr>
          <w:i/>
        </w:rPr>
        <w:t>Contador</w:t>
      </w:r>
      <w:r w:rsidRPr="009A18B7">
        <w:t xml:space="preserve">’) in detail, focussing in particular on the issues arising from the interplay between the provisions of the </w:t>
      </w:r>
      <w:r w:rsidR="008F6400">
        <w:t>2009 World Anti-Doping Code</w:t>
      </w:r>
      <w:r w:rsidRPr="009A18B7">
        <w:t xml:space="preserve"> (</w:t>
      </w:r>
      <w:r w:rsidR="00171E20">
        <w:t>WADC 2009</w:t>
      </w:r>
      <w:r w:rsidRPr="009A18B7">
        <w:t>) relating to burdens and standards of proof and sanctioning.</w:t>
      </w:r>
      <w:r w:rsidRPr="009A18B7">
        <w:rPr>
          <w:rStyle w:val="FootnoteReference"/>
        </w:rPr>
        <w:footnoteReference w:id="5"/>
      </w:r>
      <w:r w:rsidRPr="009A18B7">
        <w:t xml:space="preserve"> The analysis will draw primarily on the Court of Arbitration for Sport (CAS) award</w:t>
      </w:r>
      <w:r w:rsidRPr="009A18B7">
        <w:rPr>
          <w:rStyle w:val="FootnoteReference"/>
        </w:rPr>
        <w:footnoteReference w:id="6"/>
      </w:r>
      <w:r w:rsidR="000C5AA6">
        <w:t xml:space="preserve"> and the WADC 2009</w:t>
      </w:r>
      <w:r w:rsidRPr="009A18B7">
        <w:t xml:space="preserve"> – as well as other secondary sources and recent similar cases – to assess the extent to which the issues identified have been addressed in the revised WADC 2015.</w:t>
      </w:r>
    </w:p>
    <w:p w14:paraId="1288219F" w14:textId="77777777" w:rsidR="009A18B7" w:rsidRDefault="009A18B7" w:rsidP="005F57A1">
      <w:pPr>
        <w:spacing w:after="0"/>
      </w:pPr>
    </w:p>
    <w:p w14:paraId="0B7E87B0" w14:textId="77777777" w:rsidR="009A18B7" w:rsidRPr="009A18B7" w:rsidRDefault="009A18B7" w:rsidP="005F57A1">
      <w:pPr>
        <w:spacing w:after="0"/>
      </w:pPr>
    </w:p>
    <w:p w14:paraId="102823E3" w14:textId="6FCC3C38" w:rsidR="009A18B7" w:rsidRPr="00DE2606" w:rsidRDefault="00DE2606" w:rsidP="00CB40B1">
      <w:pPr>
        <w:spacing w:after="120"/>
        <w:rPr>
          <w:b/>
          <w:sz w:val="24"/>
        </w:rPr>
      </w:pPr>
      <w:r w:rsidRPr="00DE2606">
        <w:rPr>
          <w:b/>
          <w:sz w:val="24"/>
        </w:rPr>
        <w:t>CASE SUMMARY</w:t>
      </w:r>
      <w:r w:rsidR="009A18B7" w:rsidRPr="00DE2606">
        <w:rPr>
          <w:rStyle w:val="FootnoteReference"/>
          <w:sz w:val="24"/>
        </w:rPr>
        <w:footnoteReference w:id="7"/>
      </w:r>
    </w:p>
    <w:p w14:paraId="6EF570BC" w14:textId="696C15E4" w:rsidR="009A18B7" w:rsidRDefault="009A18B7" w:rsidP="005F57A1">
      <w:pPr>
        <w:spacing w:after="0"/>
      </w:pPr>
      <w:r w:rsidRPr="009A18B7">
        <w:t xml:space="preserve">Alberto Contador is an elite-level professional cyclist. At the time of the offence he was riding for </w:t>
      </w:r>
      <w:proofErr w:type="spellStart"/>
      <w:r w:rsidRPr="009A18B7">
        <w:t>ProTeam</w:t>
      </w:r>
      <w:proofErr w:type="spellEnd"/>
      <w:r w:rsidRPr="009A18B7">
        <w:t xml:space="preserve"> Astana and was widely considered the sport’s most successful and high-profile athlete having won al</w:t>
      </w:r>
      <w:r w:rsidR="0050516F">
        <w:t xml:space="preserve">l of </w:t>
      </w:r>
      <w:r w:rsidR="0050516F">
        <w:lastRenderedPageBreak/>
        <w:t>cycling’s Grand Tours</w:t>
      </w:r>
      <w:r w:rsidRPr="009A18B7">
        <w:t>.</w:t>
      </w:r>
      <w:r w:rsidRPr="009A18B7">
        <w:rPr>
          <w:rStyle w:val="FootnoteReference"/>
        </w:rPr>
        <w:footnoteReference w:id="8"/>
      </w:r>
      <w:r w:rsidR="00CB40B1">
        <w:t xml:space="preserve"> </w:t>
      </w:r>
      <w:r w:rsidRPr="009A18B7">
        <w:t xml:space="preserve">On 21 July 2010, a rest day on the Tour de France, Contador was subjected to an in-competition doping control by the Union </w:t>
      </w:r>
      <w:proofErr w:type="spellStart"/>
      <w:r w:rsidRPr="009A18B7">
        <w:t>Cyc</w:t>
      </w:r>
      <w:r w:rsidR="005E1221">
        <w:t>liste</w:t>
      </w:r>
      <w:proofErr w:type="spellEnd"/>
      <w:r w:rsidR="005E1221">
        <w:t xml:space="preserve"> International (UCI), the international federation</w:t>
      </w:r>
      <w:r w:rsidRPr="009A18B7">
        <w:t xml:space="preserve"> for cycling. The urine sample (A sample) was subsequently analysed on 26 July and found to contain small traces of the Pr</w:t>
      </w:r>
      <w:r w:rsidR="000C4C5B">
        <w:t xml:space="preserve">ohibited Substance clenbuterol – an anabolic agent – </w:t>
      </w:r>
      <w:r w:rsidRPr="009A18B7">
        <w:t>in a concentration of 50pg/ML.</w:t>
      </w:r>
      <w:r w:rsidRPr="009A18B7">
        <w:rPr>
          <w:rStyle w:val="FootnoteReference"/>
        </w:rPr>
        <w:footnoteReference w:id="9"/>
      </w:r>
      <w:r w:rsidRPr="009A18B7">
        <w:t xml:space="preserve"> </w:t>
      </w:r>
    </w:p>
    <w:p w14:paraId="58F2E21E" w14:textId="77777777" w:rsidR="005F57A1" w:rsidRPr="009A18B7" w:rsidRDefault="005F57A1" w:rsidP="005F57A1">
      <w:pPr>
        <w:spacing w:after="0"/>
      </w:pPr>
    </w:p>
    <w:p w14:paraId="78D9829E" w14:textId="77777777" w:rsidR="009A18B7" w:rsidRPr="009A18B7" w:rsidRDefault="009A18B7" w:rsidP="005F57A1">
      <w:pPr>
        <w:spacing w:after="0"/>
      </w:pPr>
      <w:r w:rsidRPr="009A18B7">
        <w:t>On 26 August 2010 Contador was officially informed of the finding by the UCI and provisionally suspended. The subsequent B Sample analysis confirmed the initial A Sample finding. As a consequence it was held that Contador had committed a violation under Art 21.1 of the UCI Anti-Doping Regulations (UCI ADR), his first doping offence.</w:t>
      </w:r>
      <w:r w:rsidRPr="009A18B7">
        <w:rPr>
          <w:rStyle w:val="FootnoteReference"/>
        </w:rPr>
        <w:footnoteReference w:id="10"/>
      </w:r>
      <w:r w:rsidR="00CB40B1">
        <w:t xml:space="preserve"> </w:t>
      </w:r>
      <w:r w:rsidRPr="009A18B7">
        <w:t>Contador subsequently gave a press conference on 30 September at which he blamed the positive test on contaminated steak</w:t>
      </w:r>
      <w:r w:rsidR="00CB40B1">
        <w:t>,</w:t>
      </w:r>
      <w:r w:rsidRPr="009A18B7">
        <w:t xml:space="preserve"> which had been sourced by his team from Spain.</w:t>
      </w:r>
      <w:r w:rsidRPr="009A18B7">
        <w:rPr>
          <w:rStyle w:val="FootnoteReference"/>
        </w:rPr>
        <w:footnoteReference w:id="11"/>
      </w:r>
      <w:r w:rsidR="005F57A1">
        <w:t xml:space="preserve"> </w:t>
      </w:r>
      <w:r w:rsidRPr="009A18B7">
        <w:t xml:space="preserve">On 8 November, after several weeks of further scientific investigations, the UCI requested </w:t>
      </w:r>
      <w:r w:rsidR="005F57A1">
        <w:t xml:space="preserve">that </w:t>
      </w:r>
      <w:r w:rsidRPr="009A18B7">
        <w:t xml:space="preserve">the Spanish cycling federation, the </w:t>
      </w:r>
      <w:r w:rsidRPr="009A18B7">
        <w:rPr>
          <w:i/>
        </w:rPr>
        <w:t xml:space="preserve">Real </w:t>
      </w:r>
      <w:proofErr w:type="spellStart"/>
      <w:r w:rsidRPr="009A18B7">
        <w:rPr>
          <w:i/>
        </w:rPr>
        <w:t>Federación</w:t>
      </w:r>
      <w:proofErr w:type="spellEnd"/>
      <w:r w:rsidRPr="009A18B7">
        <w:rPr>
          <w:i/>
        </w:rPr>
        <w:t xml:space="preserve"> </w:t>
      </w:r>
      <w:proofErr w:type="spellStart"/>
      <w:r w:rsidRPr="009A18B7">
        <w:rPr>
          <w:i/>
        </w:rPr>
        <w:t>Espanõla</w:t>
      </w:r>
      <w:proofErr w:type="spellEnd"/>
      <w:r w:rsidRPr="009A18B7">
        <w:rPr>
          <w:i/>
        </w:rPr>
        <w:t xml:space="preserve"> de </w:t>
      </w:r>
      <w:proofErr w:type="spellStart"/>
      <w:r w:rsidRPr="009A18B7">
        <w:rPr>
          <w:i/>
        </w:rPr>
        <w:t>Ciclismo</w:t>
      </w:r>
      <w:proofErr w:type="spellEnd"/>
      <w:r w:rsidRPr="009A18B7">
        <w:t xml:space="preserve"> (RFEC), initiate disciplinary proceedings against Contador.</w:t>
      </w:r>
    </w:p>
    <w:p w14:paraId="4B74F2EA" w14:textId="77777777" w:rsidR="009A18B7" w:rsidRDefault="009A18B7" w:rsidP="005F57A1">
      <w:pPr>
        <w:spacing w:after="0"/>
      </w:pPr>
    </w:p>
    <w:p w14:paraId="6097DD3D" w14:textId="79D2F188" w:rsidR="009A18B7" w:rsidRPr="009A18B7" w:rsidRDefault="009A18B7" w:rsidP="005F57A1">
      <w:pPr>
        <w:spacing w:after="0"/>
      </w:pPr>
      <w:r w:rsidRPr="009A18B7">
        <w:t xml:space="preserve">The RFEC initiated proceedings through its disciplinary committee, the </w:t>
      </w:r>
      <w:proofErr w:type="spellStart"/>
      <w:r w:rsidRPr="009A18B7">
        <w:rPr>
          <w:i/>
        </w:rPr>
        <w:t>Comité</w:t>
      </w:r>
      <w:proofErr w:type="spellEnd"/>
      <w:r w:rsidRPr="009A18B7">
        <w:rPr>
          <w:i/>
        </w:rPr>
        <w:t xml:space="preserve"> Nacional de </w:t>
      </w:r>
      <w:proofErr w:type="spellStart"/>
      <w:r w:rsidRPr="009A18B7">
        <w:rPr>
          <w:i/>
        </w:rPr>
        <w:t>Competicion</w:t>
      </w:r>
      <w:proofErr w:type="spellEnd"/>
      <w:r w:rsidRPr="009A18B7">
        <w:rPr>
          <w:i/>
        </w:rPr>
        <w:t xml:space="preserve"> y </w:t>
      </w:r>
      <w:proofErr w:type="spellStart"/>
      <w:r w:rsidRPr="009A18B7">
        <w:rPr>
          <w:i/>
        </w:rPr>
        <w:t>Disciplina</w:t>
      </w:r>
      <w:proofErr w:type="spellEnd"/>
      <w:r w:rsidRPr="009A18B7">
        <w:rPr>
          <w:i/>
        </w:rPr>
        <w:t xml:space="preserve"> </w:t>
      </w:r>
      <w:proofErr w:type="spellStart"/>
      <w:r w:rsidRPr="009A18B7">
        <w:rPr>
          <w:i/>
        </w:rPr>
        <w:t>Deportiva</w:t>
      </w:r>
      <w:proofErr w:type="spellEnd"/>
      <w:r w:rsidRPr="009A18B7">
        <w:rPr>
          <w:i/>
        </w:rPr>
        <w:t xml:space="preserve"> </w:t>
      </w:r>
      <w:r w:rsidRPr="009A18B7">
        <w:t>(CNCDD). The case was heard on 26 November 2010.</w:t>
      </w:r>
      <w:r w:rsidR="00CB40B1">
        <w:t xml:space="preserve"> </w:t>
      </w:r>
      <w:r w:rsidRPr="009A18B7">
        <w:t xml:space="preserve">After </w:t>
      </w:r>
      <w:r w:rsidR="00CB40B1">
        <w:t>considering Contador’s evidence</w:t>
      </w:r>
      <w:r w:rsidR="00E66092">
        <w:t xml:space="preserve">, </w:t>
      </w:r>
      <w:r w:rsidRPr="009A18B7">
        <w:t>on 25</w:t>
      </w:r>
      <w:r w:rsidR="00CB40B1" w:rsidRPr="00CB40B1">
        <w:rPr>
          <w:vertAlign w:val="superscript"/>
        </w:rPr>
        <w:t>th</w:t>
      </w:r>
      <w:r w:rsidR="00CB40B1">
        <w:t xml:space="preserve"> </w:t>
      </w:r>
      <w:r w:rsidRPr="009A18B7">
        <w:t>January 2011 the CNCDD proposed a one-year period of ineligibility.</w:t>
      </w:r>
      <w:r w:rsidRPr="009A18B7">
        <w:rPr>
          <w:rStyle w:val="FootnoteReference"/>
        </w:rPr>
        <w:footnoteReference w:id="12"/>
      </w:r>
      <w:r w:rsidRPr="009A18B7">
        <w:t xml:space="preserve"> </w:t>
      </w:r>
      <w:r w:rsidR="00CB40B1">
        <w:t>T</w:t>
      </w:r>
      <w:r w:rsidRPr="009A18B7">
        <w:t xml:space="preserve">his was </w:t>
      </w:r>
      <w:r w:rsidR="00CB40B1">
        <w:t xml:space="preserve">however </w:t>
      </w:r>
      <w:r w:rsidRPr="009A18B7">
        <w:t>rejected by Contador and, in a further controversial twist, Spanish Prime Minister Jose Luis Rodriquez Zapatero claimed</w:t>
      </w:r>
      <w:r w:rsidR="009400B9">
        <w:t xml:space="preserve"> </w:t>
      </w:r>
      <w:r w:rsidR="009400B9" w:rsidRPr="009A18B7">
        <w:t>publicly</w:t>
      </w:r>
      <w:r w:rsidRPr="009A18B7">
        <w:t xml:space="preserve"> there was “no legal reason to justify sanctioning Contador.”</w:t>
      </w:r>
      <w:r w:rsidRPr="009A18B7">
        <w:rPr>
          <w:rStyle w:val="FootnoteReference"/>
        </w:rPr>
        <w:footnoteReference w:id="13"/>
      </w:r>
      <w:r w:rsidR="00CB40B1">
        <w:t xml:space="preserve"> </w:t>
      </w:r>
      <w:r w:rsidRPr="009A18B7">
        <w:t>On 14 February the CNCDD issued a final decision acquitting Contador and as a result he became eligible to compete again.</w:t>
      </w:r>
      <w:r w:rsidRPr="009A18B7">
        <w:rPr>
          <w:rStyle w:val="FootnoteReference"/>
        </w:rPr>
        <w:footnoteReference w:id="14"/>
      </w:r>
    </w:p>
    <w:p w14:paraId="3D0F4C05" w14:textId="77777777" w:rsidR="009A18B7" w:rsidRDefault="009A18B7" w:rsidP="005F57A1">
      <w:pPr>
        <w:spacing w:after="0"/>
      </w:pPr>
    </w:p>
    <w:p w14:paraId="0EE43403" w14:textId="77777777" w:rsidR="009A18B7" w:rsidRDefault="009A18B7" w:rsidP="005F57A1">
      <w:pPr>
        <w:spacing w:after="0"/>
      </w:pPr>
      <w:r w:rsidRPr="009A18B7">
        <w:t xml:space="preserve">First the UCI and subsequently WADA appealed the decision of the CNCDD to the </w:t>
      </w:r>
      <w:r w:rsidR="00CB40B1">
        <w:t>Court of Arbitration for Sport (</w:t>
      </w:r>
      <w:r w:rsidRPr="009A18B7">
        <w:t>CAS</w:t>
      </w:r>
      <w:r w:rsidR="00CB40B1">
        <w:t>)</w:t>
      </w:r>
      <w:r w:rsidRPr="009A18B7">
        <w:t>. Given th</w:t>
      </w:r>
      <w:r w:rsidR="00D20235">
        <w:t>at th</w:t>
      </w:r>
      <w:r w:rsidRPr="009A18B7">
        <w:t>e two appeals sought the same goal – the setting aside of the CNCDD decision and the imposition of sanctions – these were combined together into a single appeal process.</w:t>
      </w:r>
      <w:r w:rsidRPr="009A18B7">
        <w:rPr>
          <w:rStyle w:val="FootnoteReference"/>
        </w:rPr>
        <w:footnoteReference w:id="15"/>
      </w:r>
      <w:r w:rsidRPr="009A18B7">
        <w:t xml:space="preserve"> After months of </w:t>
      </w:r>
      <w:r w:rsidRPr="009A18B7">
        <w:lastRenderedPageBreak/>
        <w:t>detailed legal submissions</w:t>
      </w:r>
      <w:r w:rsidR="00D20235">
        <w:t>,</w:t>
      </w:r>
      <w:r w:rsidRPr="009A18B7">
        <w:t xml:space="preserve"> the CAS h</w:t>
      </w:r>
      <w:r w:rsidR="00D20235">
        <w:t>earing finally took place o</w:t>
      </w:r>
      <w:r w:rsidRPr="009A18B7">
        <w:t>n 21-24 November 2011, almost a year on from the original disciplinary hearing of the CNCDD.</w:t>
      </w:r>
      <w:r w:rsidRPr="009A18B7">
        <w:rPr>
          <w:rStyle w:val="FootnoteReference"/>
        </w:rPr>
        <w:footnoteReference w:id="16"/>
      </w:r>
    </w:p>
    <w:p w14:paraId="63AC028C" w14:textId="77777777" w:rsidR="005F57A1" w:rsidRPr="009A18B7" w:rsidRDefault="005F57A1" w:rsidP="005F57A1">
      <w:pPr>
        <w:spacing w:after="0"/>
      </w:pPr>
    </w:p>
    <w:p w14:paraId="58EA9C2F" w14:textId="77777777" w:rsidR="009A18B7" w:rsidRPr="009A18B7" w:rsidRDefault="009A18B7" w:rsidP="005F57A1">
      <w:pPr>
        <w:spacing w:after="0"/>
      </w:pPr>
    </w:p>
    <w:p w14:paraId="3B76A36C" w14:textId="3AFCCF23" w:rsidR="009A18B7" w:rsidRPr="00DE2606" w:rsidRDefault="00DE2606" w:rsidP="00CB40B1">
      <w:pPr>
        <w:spacing w:after="120"/>
        <w:rPr>
          <w:b/>
          <w:sz w:val="24"/>
        </w:rPr>
      </w:pPr>
      <w:r w:rsidRPr="00DE2606">
        <w:rPr>
          <w:b/>
          <w:sz w:val="24"/>
        </w:rPr>
        <w:t>THE CAS HEARING</w:t>
      </w:r>
    </w:p>
    <w:p w14:paraId="516832BC" w14:textId="352EF7B7" w:rsidR="009A18B7" w:rsidRPr="009A18B7" w:rsidRDefault="009A18B7" w:rsidP="00CB40B1">
      <w:pPr>
        <w:spacing w:after="120"/>
      </w:pPr>
      <w:r w:rsidRPr="009A18B7">
        <w:t xml:space="preserve">Neither side disputed the adverse finding </w:t>
      </w:r>
      <w:r w:rsidR="00EE6719">
        <w:t xml:space="preserve">for clenbuterol </w:t>
      </w:r>
      <w:r w:rsidRPr="009A18B7">
        <w:t>and therefore the violation. Instead</w:t>
      </w:r>
      <w:r w:rsidR="00CB40B1">
        <w:t>,</w:t>
      </w:r>
      <w:r w:rsidRPr="009A18B7">
        <w:t xml:space="preserve"> the CAS hearing was dominated by fundamental disagreement over the precise route by which the clenbuterol had entered Contador’s body, proof of which would determine any sanction he might face. Three alternative </w:t>
      </w:r>
      <w:r w:rsidR="00EE6719">
        <w:t>theories</w:t>
      </w:r>
      <w:r w:rsidRPr="009A18B7">
        <w:t xml:space="preserve"> were proposed:</w:t>
      </w:r>
    </w:p>
    <w:p w14:paraId="256F4199" w14:textId="77777777" w:rsidR="009A18B7" w:rsidRPr="009A18B7" w:rsidRDefault="009A18B7" w:rsidP="00CB40B1">
      <w:pPr>
        <w:pStyle w:val="ListParagraph"/>
        <w:numPr>
          <w:ilvl w:val="0"/>
          <w:numId w:val="6"/>
        </w:numPr>
        <w:spacing w:after="120"/>
        <w:ind w:left="714" w:hanging="357"/>
        <w:contextualSpacing w:val="0"/>
      </w:pPr>
      <w:r w:rsidRPr="009A18B7">
        <w:t>The ‘</w:t>
      </w:r>
      <w:r w:rsidRPr="00D20235">
        <w:rPr>
          <w:i/>
        </w:rPr>
        <w:t>contaminated meat’</w:t>
      </w:r>
      <w:r w:rsidRPr="009A18B7">
        <w:t xml:space="preserve"> theory – Contador’s defence which asserted that a piece of steak he consumed was contaminated with clenbuterol and was thus the cause of the adverse finding;</w:t>
      </w:r>
    </w:p>
    <w:p w14:paraId="38344241" w14:textId="77777777" w:rsidR="009A18B7" w:rsidRPr="009A18B7" w:rsidRDefault="009A18B7" w:rsidP="00CB40B1">
      <w:pPr>
        <w:pStyle w:val="ListParagraph"/>
        <w:numPr>
          <w:ilvl w:val="0"/>
          <w:numId w:val="6"/>
        </w:numPr>
        <w:spacing w:after="120"/>
        <w:ind w:left="714" w:hanging="357"/>
        <w:contextualSpacing w:val="0"/>
      </w:pPr>
      <w:r w:rsidRPr="009A18B7">
        <w:t>The ‘</w:t>
      </w:r>
      <w:r w:rsidRPr="00D20235">
        <w:rPr>
          <w:i/>
        </w:rPr>
        <w:t>blood transfusion’</w:t>
      </w:r>
      <w:r w:rsidRPr="009A18B7">
        <w:t xml:space="preserve"> theory – WADA and the UCI’s primary explanation which asserted that a contaminated blood transfusion was the cause of the adverse finding;</w:t>
      </w:r>
    </w:p>
    <w:p w14:paraId="47DE8FE1" w14:textId="33B7BB71" w:rsidR="009A18B7" w:rsidRPr="009A18B7" w:rsidRDefault="009A18B7" w:rsidP="00CB40B1">
      <w:pPr>
        <w:pStyle w:val="ListParagraph"/>
        <w:numPr>
          <w:ilvl w:val="0"/>
          <w:numId w:val="6"/>
        </w:numPr>
        <w:spacing w:after="120"/>
      </w:pPr>
      <w:r w:rsidRPr="009A18B7">
        <w:t>The ‘</w:t>
      </w:r>
      <w:r w:rsidRPr="00D20235">
        <w:rPr>
          <w:i/>
        </w:rPr>
        <w:t xml:space="preserve">contaminated supplement’ </w:t>
      </w:r>
      <w:r w:rsidRPr="009A18B7">
        <w:t xml:space="preserve">theory – WADA and the UCI’s alternative explanation which asserted that a dietary supplement containing clenbuterol </w:t>
      </w:r>
      <w:r w:rsidR="0042254C">
        <w:t xml:space="preserve">could have caused </w:t>
      </w:r>
      <w:r w:rsidRPr="009A18B7">
        <w:t>the adverse finding.</w:t>
      </w:r>
      <w:r w:rsidRPr="009A18B7">
        <w:rPr>
          <w:rStyle w:val="FootnoteReference"/>
        </w:rPr>
        <w:footnoteReference w:id="17"/>
      </w:r>
    </w:p>
    <w:p w14:paraId="40428387" w14:textId="77777777" w:rsidR="00CB40B1" w:rsidRDefault="00CB40B1" w:rsidP="005F57A1">
      <w:pPr>
        <w:spacing w:after="0"/>
      </w:pPr>
    </w:p>
    <w:p w14:paraId="52BCB53F" w14:textId="77777777" w:rsidR="009A18B7" w:rsidRPr="009A18B7" w:rsidRDefault="009A18B7" w:rsidP="00CB40B1">
      <w:pPr>
        <w:spacing w:after="120"/>
      </w:pPr>
      <w:r w:rsidRPr="009A18B7">
        <w:t>Ultimately the CAS Panel concluded, somewhat surprisingly, that neither side’s primary theories were sufficiently convincing and that the most likely ingestion route was via a contaminated supplement.</w:t>
      </w:r>
      <w:r w:rsidR="00CB40B1">
        <w:t xml:space="preserve"> </w:t>
      </w:r>
      <w:r w:rsidRPr="009A18B7">
        <w:t>Based on the Panel’s conclusions regarding the most likely route of ingestion, it was held that:</w:t>
      </w:r>
    </w:p>
    <w:p w14:paraId="2C821E9C" w14:textId="7997CB18" w:rsidR="009A18B7" w:rsidRPr="009A18B7" w:rsidRDefault="009A18B7" w:rsidP="009A2418">
      <w:pPr>
        <w:pStyle w:val="ListParagraph"/>
        <w:numPr>
          <w:ilvl w:val="0"/>
          <w:numId w:val="7"/>
        </w:numPr>
        <w:spacing w:after="120"/>
        <w:ind w:left="714" w:hanging="357"/>
        <w:contextualSpacing w:val="0"/>
      </w:pPr>
      <w:r w:rsidRPr="009A18B7">
        <w:t xml:space="preserve">The decision of the CNCDD to acquit be set aside and </w:t>
      </w:r>
      <w:r w:rsidR="004D0BC7" w:rsidRPr="004D0BC7">
        <w:t>“as none of the conditions for eliminating or reducing the period of ineligibilit</w:t>
      </w:r>
      <w:r w:rsidR="00FC07DE">
        <w:t xml:space="preserve">y…[were] </w:t>
      </w:r>
      <w:r w:rsidR="00F17134">
        <w:t>applicable”</w:t>
      </w:r>
      <w:r w:rsidR="00F17134">
        <w:rPr>
          <w:rStyle w:val="FootnoteReference"/>
        </w:rPr>
        <w:footnoteReference w:id="18"/>
      </w:r>
      <w:r w:rsidR="00F17134">
        <w:t xml:space="preserve"> C</w:t>
      </w:r>
      <w:r w:rsidRPr="009A18B7">
        <w:t xml:space="preserve">ontador be sanctioned with a period </w:t>
      </w:r>
      <w:r w:rsidR="00B975DD">
        <w:t xml:space="preserve">of </w:t>
      </w:r>
      <w:r w:rsidRPr="009A18B7">
        <w:t>two years’ ineligibility beginning 25 January 2011;</w:t>
      </w:r>
    </w:p>
    <w:p w14:paraId="39AE505C" w14:textId="77777777" w:rsidR="009A18B7" w:rsidRPr="009A18B7" w:rsidRDefault="009A18B7" w:rsidP="00CB40B1">
      <w:pPr>
        <w:pStyle w:val="ListParagraph"/>
        <w:numPr>
          <w:ilvl w:val="0"/>
          <w:numId w:val="7"/>
        </w:numPr>
        <w:spacing w:after="120"/>
        <w:ind w:left="714" w:hanging="357"/>
        <w:contextualSpacing w:val="0"/>
      </w:pPr>
      <w:r w:rsidRPr="009A18B7">
        <w:t>Contador be disqualified from the 2010 Tour de France and stripped of any results obtained after 25 January 2011.</w:t>
      </w:r>
      <w:r w:rsidRPr="009A18B7">
        <w:rPr>
          <w:rStyle w:val="FootnoteReference"/>
        </w:rPr>
        <w:footnoteReference w:id="19"/>
      </w:r>
    </w:p>
    <w:p w14:paraId="6F4DB954" w14:textId="77777777" w:rsidR="009A18B7" w:rsidRDefault="009A18B7" w:rsidP="005F57A1">
      <w:pPr>
        <w:spacing w:after="0"/>
      </w:pPr>
    </w:p>
    <w:p w14:paraId="13CBB88A" w14:textId="77777777" w:rsidR="005F57A1" w:rsidRPr="009A18B7" w:rsidRDefault="005F57A1" w:rsidP="005F57A1">
      <w:pPr>
        <w:spacing w:after="0"/>
      </w:pPr>
    </w:p>
    <w:p w14:paraId="097344B4" w14:textId="71924338" w:rsidR="009A18B7" w:rsidRPr="00DE2606" w:rsidRDefault="00DE2606" w:rsidP="005C2941">
      <w:pPr>
        <w:spacing w:after="120"/>
        <w:rPr>
          <w:b/>
          <w:sz w:val="24"/>
          <w:szCs w:val="24"/>
        </w:rPr>
      </w:pPr>
      <w:r w:rsidRPr="00DE2606">
        <w:rPr>
          <w:b/>
          <w:sz w:val="24"/>
          <w:szCs w:val="24"/>
        </w:rPr>
        <w:t>THE KEY ISSUE AT STEAK (SIC): PROVING THE ROUTE OF INGESTION</w:t>
      </w:r>
    </w:p>
    <w:p w14:paraId="261F5435" w14:textId="6ACCD862" w:rsidR="009A18B7" w:rsidRPr="009A18B7" w:rsidRDefault="009A18B7" w:rsidP="005C2941">
      <w:pPr>
        <w:spacing w:after="120"/>
      </w:pPr>
      <w:r w:rsidRPr="009A18B7">
        <w:t xml:space="preserve">Some commentators consider </w:t>
      </w:r>
      <w:r w:rsidRPr="009A18B7">
        <w:rPr>
          <w:i/>
        </w:rPr>
        <w:t xml:space="preserve">Contador </w:t>
      </w:r>
      <w:r w:rsidR="0050516F">
        <w:t>to be</w:t>
      </w:r>
      <w:r w:rsidRPr="009A18B7">
        <w:t xml:space="preserve"> a straightforward case of applying the </w:t>
      </w:r>
      <w:r w:rsidR="00EE6719">
        <w:t>WADC 2009</w:t>
      </w:r>
      <w:r w:rsidRPr="009A18B7">
        <w:t>: since Contador could not explain how the substance entered his body, he could not qualify for a reduction in sanction.</w:t>
      </w:r>
      <w:r w:rsidRPr="009A18B7">
        <w:rPr>
          <w:rStyle w:val="FootnoteReference"/>
        </w:rPr>
        <w:footnoteReference w:id="20"/>
      </w:r>
      <w:r w:rsidRPr="009A18B7">
        <w:t xml:space="preserve"> However, what </w:t>
      </w:r>
      <w:r w:rsidRPr="009A18B7">
        <w:rPr>
          <w:i/>
        </w:rPr>
        <w:t>Contador</w:t>
      </w:r>
      <w:r w:rsidRPr="009A18B7">
        <w:t xml:space="preserve"> highlig</w:t>
      </w:r>
      <w:r w:rsidR="0050516F">
        <w:t>hts is that in practice cases do arise in which</w:t>
      </w:r>
      <w:r w:rsidRPr="009A18B7">
        <w:t xml:space="preserve"> the available evidence does not point conclusively to </w:t>
      </w:r>
      <w:r w:rsidRPr="009A18B7">
        <w:rPr>
          <w:i/>
        </w:rPr>
        <w:t>any one particular</w:t>
      </w:r>
      <w:r w:rsidRPr="009A18B7">
        <w:t xml:space="preserve"> </w:t>
      </w:r>
      <w:r w:rsidRPr="000479C8">
        <w:rPr>
          <w:i/>
        </w:rPr>
        <w:t>route of ingestion</w:t>
      </w:r>
      <w:r w:rsidRPr="009A18B7">
        <w:t xml:space="preserve"> and yet, in such</w:t>
      </w:r>
      <w:r w:rsidR="002B4B5D">
        <w:t xml:space="preserve"> cases, the drafting of the </w:t>
      </w:r>
      <w:r w:rsidR="00B975DD">
        <w:t xml:space="preserve">Code </w:t>
      </w:r>
      <w:r w:rsidRPr="009A18B7">
        <w:t>debars any consideration of fault in mitigation of a sanction, even where the circumstances suggest little or none may be attached to the athlete.</w:t>
      </w:r>
      <w:r w:rsidRPr="009A18B7">
        <w:rPr>
          <w:rStyle w:val="FootnoteReference"/>
        </w:rPr>
        <w:footnoteReference w:id="21"/>
      </w:r>
      <w:r w:rsidRPr="009A18B7">
        <w:t xml:space="preserve"> Thus, although the CAS decision</w:t>
      </w:r>
      <w:r w:rsidR="000479C8">
        <w:t xml:space="preserve"> in </w:t>
      </w:r>
      <w:r w:rsidR="000479C8">
        <w:rPr>
          <w:i/>
        </w:rPr>
        <w:lastRenderedPageBreak/>
        <w:t>Contador</w:t>
      </w:r>
      <w:r w:rsidRPr="009A18B7">
        <w:t xml:space="preserve"> accords with th</w:t>
      </w:r>
      <w:r w:rsidR="00631A06">
        <w:t>e well-established doctrine of strict liability</w:t>
      </w:r>
      <w:r w:rsidRPr="009A18B7">
        <w:t xml:space="preserve"> – whereby an athlete bears sole responsibility for what enters his or her body – in this author’s view</w:t>
      </w:r>
      <w:r w:rsidR="000C5AA6">
        <w:t>,</w:t>
      </w:r>
      <w:r w:rsidRPr="009A18B7">
        <w:t xml:space="preserve"> application of the full</w:t>
      </w:r>
      <w:r w:rsidR="00A5320A">
        <w:t xml:space="preserve"> sanction of</w:t>
      </w:r>
      <w:r w:rsidRPr="009A18B7">
        <w:t xml:space="preserve"> </w:t>
      </w:r>
      <w:r w:rsidR="00B975DD">
        <w:t>two years’</w:t>
      </w:r>
      <w:r w:rsidRPr="009A18B7">
        <w:t xml:space="preserve"> </w:t>
      </w:r>
      <w:r w:rsidR="00A5320A">
        <w:t>ineligibility</w:t>
      </w:r>
      <w:r w:rsidRPr="009A18B7">
        <w:t xml:space="preserve"> in such circumstances remains somewhat unsatisfactory, not least from the point of view of fairness.</w:t>
      </w:r>
      <w:r w:rsidRPr="009A18B7">
        <w:rPr>
          <w:rStyle w:val="FootnoteReference"/>
        </w:rPr>
        <w:footnoteReference w:id="22"/>
      </w:r>
      <w:r w:rsidRPr="009A18B7">
        <w:rPr>
          <w:vertAlign w:val="superscript"/>
        </w:rPr>
        <w:t>,</w:t>
      </w:r>
      <w:r w:rsidRPr="009A18B7">
        <w:rPr>
          <w:rStyle w:val="FootnoteReference"/>
        </w:rPr>
        <w:footnoteReference w:id="23"/>
      </w:r>
      <w:r w:rsidRPr="009A18B7">
        <w:t xml:space="preserve">  The case therefore raises an important question and one which is the focus of this study: to what extent have the issues raised by the </w:t>
      </w:r>
      <w:r w:rsidRPr="000C5AA6">
        <w:rPr>
          <w:i/>
        </w:rPr>
        <w:t>Contador</w:t>
      </w:r>
      <w:r w:rsidRPr="009A18B7">
        <w:t xml:space="preserve"> verdict been addressed in the revised WADC 2015, in particular in relation to burdens of proof and sanctioning? </w:t>
      </w:r>
    </w:p>
    <w:p w14:paraId="1AEE2C2E" w14:textId="77777777" w:rsidR="009A18B7" w:rsidRDefault="009A18B7" w:rsidP="005F57A1">
      <w:pPr>
        <w:spacing w:after="0"/>
      </w:pPr>
    </w:p>
    <w:p w14:paraId="3E2199A8" w14:textId="77777777" w:rsidR="005F57A1" w:rsidRPr="009A18B7" w:rsidRDefault="005F57A1" w:rsidP="005F57A1">
      <w:pPr>
        <w:spacing w:after="0"/>
      </w:pPr>
    </w:p>
    <w:p w14:paraId="2A109DAC" w14:textId="274F4C61" w:rsidR="009A18B7" w:rsidRPr="00DE2606" w:rsidRDefault="00DE2606" w:rsidP="00CB40B1">
      <w:pPr>
        <w:spacing w:after="120"/>
        <w:rPr>
          <w:b/>
          <w:sz w:val="24"/>
        </w:rPr>
      </w:pPr>
      <w:r w:rsidRPr="00DE2606">
        <w:rPr>
          <w:b/>
          <w:sz w:val="24"/>
        </w:rPr>
        <w:t>THE RELEVANT PROVISIONS OF THE WORLD ANTI-DOPING CODE 2009</w:t>
      </w:r>
      <w:r w:rsidR="009A18B7" w:rsidRPr="00DE2606">
        <w:rPr>
          <w:rStyle w:val="FootnoteReference"/>
          <w:sz w:val="24"/>
        </w:rPr>
        <w:footnoteReference w:id="24"/>
      </w:r>
    </w:p>
    <w:p w14:paraId="5A7D8894" w14:textId="65562496" w:rsidR="009A18B7" w:rsidRPr="009A18B7" w:rsidRDefault="009A18B7" w:rsidP="00CB40B1">
      <w:pPr>
        <w:spacing w:after="120"/>
      </w:pPr>
      <w:r w:rsidRPr="009A18B7">
        <w:t xml:space="preserve">As already noted, </w:t>
      </w:r>
      <w:r w:rsidR="00F17134">
        <w:t xml:space="preserve">there was no dispute over </w:t>
      </w:r>
      <w:r w:rsidRPr="009A18B7">
        <w:t xml:space="preserve">the adverse finding </w:t>
      </w:r>
      <w:r w:rsidR="00F17134">
        <w:t xml:space="preserve">or that </w:t>
      </w:r>
      <w:r w:rsidR="00FC07DE">
        <w:t xml:space="preserve">Contador had committed </w:t>
      </w:r>
      <w:r w:rsidRPr="009A18B7">
        <w:t>a violation under Article 2.1.</w:t>
      </w:r>
      <w:r w:rsidRPr="009A18B7">
        <w:rPr>
          <w:rStyle w:val="FootnoteReference"/>
        </w:rPr>
        <w:footnoteReference w:id="25"/>
      </w:r>
      <w:r w:rsidRPr="009A18B7">
        <w:t xml:space="preserve"> As a consequence, the outcome turned on the application of three specific articles in the </w:t>
      </w:r>
      <w:r w:rsidR="009445B9">
        <w:t>WADC 2009</w:t>
      </w:r>
      <w:r w:rsidRPr="009A18B7">
        <w:t xml:space="preserve">: </w:t>
      </w:r>
    </w:p>
    <w:p w14:paraId="1CED7F58" w14:textId="791E47CE" w:rsidR="009A18B7" w:rsidRPr="009A18B7" w:rsidRDefault="009A18B7" w:rsidP="00CB40B1">
      <w:pPr>
        <w:pStyle w:val="ListParagraph"/>
        <w:numPr>
          <w:ilvl w:val="0"/>
          <w:numId w:val="8"/>
        </w:numPr>
        <w:spacing w:after="120"/>
        <w:ind w:left="714" w:hanging="357"/>
        <w:contextualSpacing w:val="0"/>
      </w:pPr>
      <w:r w:rsidRPr="00CB40B1">
        <w:rPr>
          <w:i/>
        </w:rPr>
        <w:t>Article 3.1 – Burdens and Standards of Proof</w:t>
      </w:r>
      <w:r w:rsidR="00CB40B1">
        <w:t>:</w:t>
      </w:r>
      <w:r w:rsidRPr="009A18B7">
        <w:t xml:space="preserve"> This </w:t>
      </w:r>
      <w:r w:rsidR="00CB40B1">
        <w:t>A</w:t>
      </w:r>
      <w:r w:rsidRPr="009A18B7">
        <w:t>rticle establishes an initial burden on the anti-doping organisati</w:t>
      </w:r>
      <w:r w:rsidR="00DE2898">
        <w:t>on to prove a violation to the “</w:t>
      </w:r>
      <w:r w:rsidRPr="009A18B7">
        <w:t>comfortable satisfaction</w:t>
      </w:r>
      <w:r w:rsidR="00DE2898">
        <w:t>”</w:t>
      </w:r>
      <w:r w:rsidRPr="009A18B7">
        <w:t xml:space="preserve"> of the hearing panel. Further it establishes that where the burden shifts to the athlete “to rebut a presumption or establish specified facts or circumstances, the standard of proof shall be </w:t>
      </w:r>
      <w:r w:rsidR="00DE2898">
        <w:t>by a balance of probability...”</w:t>
      </w:r>
      <w:r w:rsidRPr="009A18B7">
        <w:rPr>
          <w:rStyle w:val="FootnoteReference"/>
        </w:rPr>
        <w:footnoteReference w:id="26"/>
      </w:r>
      <w:r w:rsidRPr="009A18B7">
        <w:t xml:space="preserve"> </w:t>
      </w:r>
    </w:p>
    <w:p w14:paraId="5E3B03D2" w14:textId="7290AD62" w:rsidR="009A18B7" w:rsidRPr="009A18B7" w:rsidRDefault="009A18B7" w:rsidP="00CB40B1">
      <w:pPr>
        <w:pStyle w:val="ListParagraph"/>
        <w:numPr>
          <w:ilvl w:val="0"/>
          <w:numId w:val="8"/>
        </w:numPr>
        <w:spacing w:after="120"/>
        <w:ind w:left="714" w:hanging="357"/>
        <w:contextualSpacing w:val="0"/>
      </w:pPr>
      <w:r w:rsidRPr="00CB40B1">
        <w:rPr>
          <w:i/>
        </w:rPr>
        <w:t>Article 10.2 – Ineligibility for Presence, Use or Attempted Use, or Possession of Prohibited Substances or Prohibited Methods</w:t>
      </w:r>
      <w:r w:rsidR="00CB40B1">
        <w:rPr>
          <w:i/>
        </w:rPr>
        <w:t>:</w:t>
      </w:r>
      <w:r w:rsidR="000E15DE">
        <w:t xml:space="preserve"> This specifies the base </w:t>
      </w:r>
      <w:r w:rsidRPr="009A18B7">
        <w:t xml:space="preserve">sanction for a first violation as two years’ ineligibility, subject to the athlete qualifying for mitigation under the conditions set out in </w:t>
      </w:r>
      <w:r w:rsidRPr="00DE2898">
        <w:t>Article 10.5</w:t>
      </w:r>
      <w:r w:rsidRPr="00CB40B1">
        <w:rPr>
          <w:i/>
        </w:rPr>
        <w:t>.</w:t>
      </w:r>
      <w:r w:rsidR="000C4C5B">
        <w:rPr>
          <w:rStyle w:val="FootnoteReference"/>
          <w:i/>
        </w:rPr>
        <w:footnoteReference w:id="27"/>
      </w:r>
      <w:r w:rsidRPr="009A18B7">
        <w:t xml:space="preserve"> </w:t>
      </w:r>
    </w:p>
    <w:p w14:paraId="190E799D" w14:textId="6771DD14" w:rsidR="009A18B7" w:rsidRPr="009A18B7" w:rsidRDefault="009A18B7" w:rsidP="00CB40B1">
      <w:pPr>
        <w:pStyle w:val="ListParagraph"/>
        <w:numPr>
          <w:ilvl w:val="0"/>
          <w:numId w:val="8"/>
        </w:numPr>
        <w:spacing w:after="120"/>
        <w:ind w:left="714" w:hanging="357"/>
        <w:contextualSpacing w:val="0"/>
      </w:pPr>
      <w:r w:rsidRPr="00CB40B1">
        <w:rPr>
          <w:i/>
        </w:rPr>
        <w:t>Article 10.5 – Elimination or Reduction of a Period of Ineligibility Based on Exceptional Circumstances</w:t>
      </w:r>
      <w:r w:rsidRPr="009A18B7">
        <w:t>. Under this article</w:t>
      </w:r>
      <w:r w:rsidR="00CB40B1">
        <w:t>:</w:t>
      </w:r>
      <w:r w:rsidRPr="009A18B7">
        <w:t xml:space="preserve"> in order to qualify for a reduction in sanction the athlete must demonstra</w:t>
      </w:r>
      <w:r w:rsidR="00712DA5">
        <w:t>te on the balance of probabilities</w:t>
      </w:r>
      <w:r w:rsidR="00D219CA">
        <w:t xml:space="preserve"> that he or she bore “no fault or negligence” or “</w:t>
      </w:r>
      <w:r w:rsidRPr="009A18B7">
        <w:t xml:space="preserve">no </w:t>
      </w:r>
      <w:r w:rsidR="00D219CA">
        <w:t>significant fault or negligence”</w:t>
      </w:r>
      <w:r w:rsidRPr="009A18B7">
        <w:t xml:space="preserve"> in relation to the violation.</w:t>
      </w:r>
      <w:r w:rsidRPr="009A18B7">
        <w:rPr>
          <w:rStyle w:val="FootnoteReference"/>
        </w:rPr>
        <w:footnoteReference w:id="28"/>
      </w:r>
      <w:r w:rsidRPr="009A18B7">
        <w:t xml:space="preserve"> Importantly however, where the substance in question is prohibited “...the Athlete </w:t>
      </w:r>
      <w:r w:rsidRPr="005F57A1">
        <w:rPr>
          <w:i/>
        </w:rPr>
        <w:t>must also</w:t>
      </w:r>
      <w:r w:rsidRPr="009A18B7">
        <w:t xml:space="preserve"> establish how [it] entered his or her system...” (</w:t>
      </w:r>
      <w:proofErr w:type="gramStart"/>
      <w:r w:rsidRPr="009A18B7">
        <w:t>emphasis</w:t>
      </w:r>
      <w:proofErr w:type="gramEnd"/>
      <w:r w:rsidRPr="009A18B7">
        <w:t xml:space="preserve"> added).</w:t>
      </w:r>
      <w:r w:rsidRPr="009A18B7">
        <w:rPr>
          <w:rStyle w:val="FootnoteReference"/>
        </w:rPr>
        <w:footnoteReference w:id="29"/>
      </w:r>
    </w:p>
    <w:p w14:paraId="5B5C4C35" w14:textId="77777777" w:rsidR="009A18B7" w:rsidRPr="009A18B7" w:rsidRDefault="009A18B7" w:rsidP="005F57A1">
      <w:pPr>
        <w:spacing w:after="0"/>
      </w:pPr>
    </w:p>
    <w:p w14:paraId="7EE474BA" w14:textId="51692344" w:rsidR="009A18B7" w:rsidRPr="009A18B7" w:rsidRDefault="009A18B7" w:rsidP="005F57A1">
      <w:pPr>
        <w:spacing w:after="0"/>
      </w:pPr>
      <w:r w:rsidRPr="009A18B7">
        <w:t xml:space="preserve">Therefore, </w:t>
      </w:r>
      <w:r w:rsidR="009445B9">
        <w:t xml:space="preserve">in order </w:t>
      </w:r>
      <w:r w:rsidRPr="009A18B7">
        <w:t>for Contador to qualif</w:t>
      </w:r>
      <w:r w:rsidR="000E15DE">
        <w:t xml:space="preserve">y for a reduction in the base </w:t>
      </w:r>
      <w:r w:rsidR="000479C8">
        <w:t>sanction of two year</w:t>
      </w:r>
      <w:r w:rsidRPr="009A18B7">
        <w:t>s</w:t>
      </w:r>
      <w:r w:rsidR="000479C8">
        <w:t>’</w:t>
      </w:r>
      <w:r w:rsidRPr="009A18B7">
        <w:t xml:space="preserve"> ineligibility, he needed to clear two separate but contingent hurdles: first, demonstrate on the balance of probabilities how the substance entered his system and second, demonstrate a lack of fault or negligence. </w:t>
      </w:r>
    </w:p>
    <w:p w14:paraId="1D5EFDDB" w14:textId="77777777" w:rsidR="009A18B7" w:rsidRDefault="009A18B7" w:rsidP="005F57A1">
      <w:pPr>
        <w:spacing w:after="0"/>
      </w:pPr>
    </w:p>
    <w:p w14:paraId="603D7ED1" w14:textId="77777777" w:rsidR="000E15DE" w:rsidRDefault="000E15DE" w:rsidP="005F57A1">
      <w:pPr>
        <w:spacing w:after="0"/>
      </w:pPr>
    </w:p>
    <w:p w14:paraId="35889732" w14:textId="2D26ED7D" w:rsidR="009A18B7" w:rsidRPr="003F22FC" w:rsidRDefault="003F22FC" w:rsidP="005F57A1">
      <w:pPr>
        <w:spacing w:after="0"/>
        <w:rPr>
          <w:b/>
          <w:sz w:val="24"/>
        </w:rPr>
      </w:pPr>
      <w:r w:rsidRPr="003F22FC">
        <w:rPr>
          <w:b/>
          <w:sz w:val="24"/>
        </w:rPr>
        <w:t>DISCHARGING THE BURDEN OF PROOF</w:t>
      </w:r>
    </w:p>
    <w:p w14:paraId="541D35B3" w14:textId="3E130BD0" w:rsidR="009A18B7" w:rsidRPr="009A18B7" w:rsidRDefault="009A18B7" w:rsidP="005F57A1">
      <w:pPr>
        <w:spacing w:after="0"/>
      </w:pPr>
      <w:r w:rsidRPr="009A18B7">
        <w:t>To succeed in clearing this first hurdle</w:t>
      </w:r>
      <w:r w:rsidR="00824680">
        <w:t>,</w:t>
      </w:r>
      <w:r w:rsidRPr="009A18B7">
        <w:t xml:space="preserve"> Contador had to prove that the steak he consumed was contaminated with clenbuterol</w:t>
      </w:r>
      <w:r w:rsidR="000E15DE">
        <w:t xml:space="preserve"> </w:t>
      </w:r>
      <w:r w:rsidRPr="009A18B7">
        <w:t xml:space="preserve">absent any direct evidence – the steak itself no longer existed nor were any tests performed on team-mates to corroborate his story. Further, the CAS Panel considered that the burden established in the </w:t>
      </w:r>
      <w:r w:rsidR="000479C8">
        <w:t>WADC 2009</w:t>
      </w:r>
      <w:r w:rsidRPr="009A18B7">
        <w:t xml:space="preserve"> required him to demonstrate not simply that his explanation was more likely than not to have occurred but that it was more likely than other explanations that may be available.</w:t>
      </w:r>
      <w:r w:rsidRPr="009A18B7">
        <w:rPr>
          <w:rStyle w:val="FootnoteReference"/>
        </w:rPr>
        <w:footnoteReference w:id="30"/>
      </w:r>
      <w:r w:rsidRPr="009A18B7">
        <w:t xml:space="preserve"> </w:t>
      </w:r>
      <w:r w:rsidR="00824680">
        <w:t xml:space="preserve"> </w:t>
      </w:r>
      <w:r w:rsidRPr="009A18B7">
        <w:t>Importantly, since this requirement put Contador in the awkward position of having to prove a “negative fact”, the CAS Panel placed a reciprocal obligation on the UCI/WADA to contribute to the “clarification of the corresponding facts”.</w:t>
      </w:r>
      <w:r w:rsidRPr="009A18B7">
        <w:rPr>
          <w:rStyle w:val="FootnoteReference"/>
        </w:rPr>
        <w:footnoteReference w:id="31"/>
      </w:r>
      <w:r w:rsidRPr="009A18B7">
        <w:t xml:space="preserve"> The Panel considered the UCI/WADA’s submission of two alternative explanations for the positive test to have fulfilled this obligation.</w:t>
      </w:r>
      <w:r w:rsidRPr="009A18B7">
        <w:rPr>
          <w:rStyle w:val="FootnoteReference"/>
        </w:rPr>
        <w:footnoteReference w:id="32"/>
      </w:r>
    </w:p>
    <w:p w14:paraId="7FA1FA60" w14:textId="77777777" w:rsidR="009A18B7" w:rsidRPr="009A18B7" w:rsidRDefault="009A18B7" w:rsidP="005F57A1">
      <w:pPr>
        <w:spacing w:after="0"/>
      </w:pPr>
    </w:p>
    <w:p w14:paraId="040F39BA" w14:textId="4A71DC6F" w:rsidR="009A18B7" w:rsidRDefault="009A18B7" w:rsidP="005F57A1">
      <w:pPr>
        <w:spacing w:after="0"/>
      </w:pPr>
      <w:r w:rsidRPr="009A18B7">
        <w:t xml:space="preserve">Some commentators consider that the CAS Panel erred in placing this obligation on </w:t>
      </w:r>
      <w:r w:rsidR="000479C8">
        <w:t xml:space="preserve">the </w:t>
      </w:r>
      <w:r w:rsidRPr="009A18B7">
        <w:t xml:space="preserve">UCI/WADA and in so doing undermined the burden of proof </w:t>
      </w:r>
      <w:r w:rsidR="003B57CE">
        <w:t>which rested</w:t>
      </w:r>
      <w:r w:rsidRPr="009A18B7">
        <w:t xml:space="preserve"> upon the athlete.</w:t>
      </w:r>
      <w:r w:rsidRPr="009A18B7">
        <w:rPr>
          <w:rStyle w:val="FootnoteReference"/>
        </w:rPr>
        <w:footnoteReference w:id="33"/>
      </w:r>
      <w:r w:rsidRPr="009A18B7">
        <w:t xml:space="preserve"> However, this author proposes an alternative view that </w:t>
      </w:r>
      <w:r w:rsidR="00631A06">
        <w:t>the accommodation of</w:t>
      </w:r>
      <w:r w:rsidRPr="009A18B7">
        <w:t xml:space="preserve"> multiple competing theories </w:t>
      </w:r>
      <w:r w:rsidR="002E41F1">
        <w:t xml:space="preserve">allowed the evidential waters to be muddied to an extent </w:t>
      </w:r>
      <w:r w:rsidR="00A5320A">
        <w:t>sufficient to make</w:t>
      </w:r>
      <w:r w:rsidR="002E41F1">
        <w:t xml:space="preserve"> it</w:t>
      </w:r>
      <w:r w:rsidRPr="009A18B7">
        <w:t xml:space="preserve"> </w:t>
      </w:r>
      <w:r w:rsidRPr="009A18B7">
        <w:rPr>
          <w:i/>
        </w:rPr>
        <w:t>more</w:t>
      </w:r>
      <w:r w:rsidRPr="009A18B7">
        <w:t xml:space="preserve"> difficult for Contador to discharge the burden </w:t>
      </w:r>
      <w:r w:rsidR="002E41F1">
        <w:t>up</w:t>
      </w:r>
      <w:r w:rsidRPr="009A18B7">
        <w:t xml:space="preserve">on him. More specifically, it is submitted there is a difference – if not in the abstract then certainly in practice – between proving the likelihood or not of one possible explanation and proving the likelihood of one explanation over two alternatives. This is because to succeed in the latter case requires the athlete to both substantiate his own explanation </w:t>
      </w:r>
      <w:r w:rsidRPr="009A18B7">
        <w:rPr>
          <w:i/>
        </w:rPr>
        <w:t>and</w:t>
      </w:r>
      <w:r w:rsidRPr="009A18B7">
        <w:t xml:space="preserve"> to cast sufficient doubt on the plausibility of the alternatives.</w:t>
      </w:r>
      <w:r w:rsidRPr="009A18B7">
        <w:rPr>
          <w:rStyle w:val="FootnoteReference"/>
        </w:rPr>
        <w:footnoteReference w:id="34"/>
      </w:r>
    </w:p>
    <w:p w14:paraId="572649FE" w14:textId="77777777" w:rsidR="00E31504" w:rsidRDefault="00E31504" w:rsidP="005F57A1">
      <w:pPr>
        <w:spacing w:after="0"/>
      </w:pPr>
    </w:p>
    <w:p w14:paraId="72F182AA" w14:textId="612B153A" w:rsidR="00E31504" w:rsidRPr="00E31504" w:rsidRDefault="00B8169A" w:rsidP="005F57A1">
      <w:pPr>
        <w:spacing w:after="0"/>
        <w:rPr>
          <w:szCs w:val="20"/>
        </w:rPr>
      </w:pPr>
      <w:r>
        <w:rPr>
          <w:szCs w:val="20"/>
        </w:rPr>
        <w:t>Furthermore</w:t>
      </w:r>
      <w:r w:rsidR="00E31504">
        <w:rPr>
          <w:szCs w:val="20"/>
        </w:rPr>
        <w:t xml:space="preserve">, the existence of multiple competing theories </w:t>
      </w:r>
      <w:r>
        <w:rPr>
          <w:szCs w:val="20"/>
        </w:rPr>
        <w:t>generated</w:t>
      </w:r>
      <w:r w:rsidR="00E31504" w:rsidRPr="00E31504">
        <w:rPr>
          <w:szCs w:val="20"/>
        </w:rPr>
        <w:t xml:space="preserve"> </w:t>
      </w:r>
      <w:r w:rsidR="000C5AA6">
        <w:rPr>
          <w:szCs w:val="20"/>
        </w:rPr>
        <w:t>an important</w:t>
      </w:r>
      <w:r>
        <w:rPr>
          <w:szCs w:val="20"/>
        </w:rPr>
        <w:t xml:space="preserve"> </w:t>
      </w:r>
      <w:r w:rsidR="00E31504">
        <w:rPr>
          <w:szCs w:val="20"/>
        </w:rPr>
        <w:t>opportunity cost for Contador –</w:t>
      </w:r>
      <w:r w:rsidR="00E31504" w:rsidRPr="00E31504">
        <w:rPr>
          <w:szCs w:val="20"/>
        </w:rPr>
        <w:t xml:space="preserve"> the resources </w:t>
      </w:r>
      <w:r w:rsidR="00E77687">
        <w:rPr>
          <w:szCs w:val="20"/>
        </w:rPr>
        <w:t xml:space="preserve">he </w:t>
      </w:r>
      <w:r w:rsidR="00E31504" w:rsidRPr="00E31504">
        <w:rPr>
          <w:szCs w:val="20"/>
        </w:rPr>
        <w:t>expended in rebutting the UCI/WADA’s theories were diverted away from supporting his own version of events.</w:t>
      </w:r>
      <w:r>
        <w:rPr>
          <w:rStyle w:val="FootnoteReference"/>
          <w:szCs w:val="20"/>
        </w:rPr>
        <w:footnoteReference w:id="35"/>
      </w:r>
      <w:r w:rsidR="00E31504" w:rsidRPr="00E31504">
        <w:rPr>
          <w:szCs w:val="20"/>
        </w:rPr>
        <w:t xml:space="preserve"> Indeed this </w:t>
      </w:r>
      <w:r w:rsidR="00E31504">
        <w:rPr>
          <w:szCs w:val="20"/>
        </w:rPr>
        <w:t xml:space="preserve">opportunity cost </w:t>
      </w:r>
      <w:r w:rsidR="00492B24">
        <w:rPr>
          <w:szCs w:val="20"/>
        </w:rPr>
        <w:t xml:space="preserve">concept </w:t>
      </w:r>
      <w:r w:rsidR="00E31504" w:rsidRPr="00E31504">
        <w:rPr>
          <w:szCs w:val="20"/>
        </w:rPr>
        <w:t>raises a</w:t>
      </w:r>
      <w:r w:rsidR="0095436A">
        <w:rPr>
          <w:szCs w:val="20"/>
        </w:rPr>
        <w:t>n additional</w:t>
      </w:r>
      <w:r w:rsidR="00E31504" w:rsidRPr="00E31504">
        <w:rPr>
          <w:szCs w:val="20"/>
        </w:rPr>
        <w:t xml:space="preserve"> and much broader question of equity: </w:t>
      </w:r>
      <w:r w:rsidR="00854C94">
        <w:rPr>
          <w:szCs w:val="20"/>
        </w:rPr>
        <w:t>what of</w:t>
      </w:r>
      <w:r w:rsidR="00621C2A">
        <w:rPr>
          <w:szCs w:val="20"/>
        </w:rPr>
        <w:t xml:space="preserve"> an</w:t>
      </w:r>
      <w:r w:rsidR="00EB590C">
        <w:rPr>
          <w:szCs w:val="20"/>
        </w:rPr>
        <w:t xml:space="preserve"> </w:t>
      </w:r>
      <w:r w:rsidR="00621C2A">
        <w:rPr>
          <w:szCs w:val="20"/>
        </w:rPr>
        <w:t>athlete</w:t>
      </w:r>
      <w:r w:rsidR="00E31504" w:rsidRPr="00E31504">
        <w:rPr>
          <w:szCs w:val="20"/>
        </w:rPr>
        <w:t xml:space="preserve"> who </w:t>
      </w:r>
      <w:r w:rsidR="00EB590C">
        <w:rPr>
          <w:szCs w:val="20"/>
        </w:rPr>
        <w:t>find</w:t>
      </w:r>
      <w:r w:rsidR="00621C2A">
        <w:rPr>
          <w:szCs w:val="20"/>
        </w:rPr>
        <w:t>s himself</w:t>
      </w:r>
      <w:r w:rsidR="00E31504" w:rsidRPr="00E31504">
        <w:rPr>
          <w:szCs w:val="20"/>
        </w:rPr>
        <w:t xml:space="preserve"> in a similar position to Contador </w:t>
      </w:r>
      <w:r w:rsidR="00EA36BC">
        <w:rPr>
          <w:szCs w:val="20"/>
        </w:rPr>
        <w:t>yet</w:t>
      </w:r>
      <w:r w:rsidR="00EB590C">
        <w:rPr>
          <w:szCs w:val="20"/>
        </w:rPr>
        <w:t xml:space="preserve"> </w:t>
      </w:r>
      <w:r w:rsidR="0095436A">
        <w:rPr>
          <w:szCs w:val="20"/>
        </w:rPr>
        <w:t>without</w:t>
      </w:r>
      <w:r w:rsidR="00E31504" w:rsidRPr="00E31504">
        <w:rPr>
          <w:szCs w:val="20"/>
        </w:rPr>
        <w:t xml:space="preserve"> the</w:t>
      </w:r>
      <w:r w:rsidR="00EA36BC">
        <w:rPr>
          <w:szCs w:val="20"/>
        </w:rPr>
        <w:t xml:space="preserve"> same financial</w:t>
      </w:r>
      <w:r w:rsidR="00E31504" w:rsidRPr="00E31504">
        <w:rPr>
          <w:szCs w:val="20"/>
        </w:rPr>
        <w:t xml:space="preserve"> resources to rebut</w:t>
      </w:r>
      <w:r w:rsidR="00EB590C">
        <w:rPr>
          <w:szCs w:val="20"/>
        </w:rPr>
        <w:t xml:space="preserve"> </w:t>
      </w:r>
      <w:r w:rsidR="00E31504" w:rsidRPr="00E31504">
        <w:rPr>
          <w:szCs w:val="20"/>
        </w:rPr>
        <w:t xml:space="preserve">the various alternative theories </w:t>
      </w:r>
      <w:r w:rsidR="0095436A">
        <w:rPr>
          <w:szCs w:val="20"/>
        </w:rPr>
        <w:t xml:space="preserve">that might be </w:t>
      </w:r>
      <w:r w:rsidR="00E31504" w:rsidRPr="00E31504">
        <w:rPr>
          <w:szCs w:val="20"/>
        </w:rPr>
        <w:t>proposed by anti-doping authorities</w:t>
      </w:r>
      <w:r w:rsidR="00E31504" w:rsidRPr="00144A14">
        <w:rPr>
          <w:szCs w:val="20"/>
        </w:rPr>
        <w:t>?</w:t>
      </w:r>
      <w:r w:rsidR="00635496">
        <w:rPr>
          <w:rStyle w:val="FootnoteReference"/>
          <w:szCs w:val="20"/>
        </w:rPr>
        <w:footnoteReference w:id="36"/>
      </w:r>
    </w:p>
    <w:p w14:paraId="362EBB74" w14:textId="77777777" w:rsidR="00712DA5" w:rsidRDefault="00712DA5" w:rsidP="005F57A1">
      <w:pPr>
        <w:spacing w:after="0"/>
      </w:pPr>
    </w:p>
    <w:p w14:paraId="39DA292F" w14:textId="7BA829FA" w:rsidR="009A18B7" w:rsidRDefault="009A18B7" w:rsidP="005F57A1">
      <w:pPr>
        <w:spacing w:after="0"/>
      </w:pPr>
      <w:r w:rsidRPr="009A18B7">
        <w:t xml:space="preserve">While the approach of the CAS Panel in </w:t>
      </w:r>
      <w:r w:rsidRPr="00E31504">
        <w:rPr>
          <w:i/>
        </w:rPr>
        <w:t>Contador</w:t>
      </w:r>
      <w:r w:rsidRPr="009A18B7">
        <w:t xml:space="preserve"> does not set a binding precedent, it </w:t>
      </w:r>
      <w:r w:rsidR="00EB590C">
        <w:t>is</w:t>
      </w:r>
      <w:r w:rsidRPr="009A18B7">
        <w:t xml:space="preserve"> </w:t>
      </w:r>
      <w:r w:rsidR="00EB590C">
        <w:t>likely</w:t>
      </w:r>
      <w:r w:rsidRPr="009A18B7">
        <w:t xml:space="preserve"> that in future cases the same reasoning may be followed and which </w:t>
      </w:r>
      <w:r w:rsidR="00BE0B3B">
        <w:t>could</w:t>
      </w:r>
      <w:r w:rsidRPr="009A18B7">
        <w:t xml:space="preserve"> put </w:t>
      </w:r>
      <w:r w:rsidR="00FE0EA9">
        <w:t>an</w:t>
      </w:r>
      <w:r w:rsidRPr="009A18B7">
        <w:t xml:space="preserve"> athlete at a similar disadvantage.</w:t>
      </w:r>
      <w:r w:rsidR="00854C94">
        <w:t xml:space="preserve"> In this respect t</w:t>
      </w:r>
      <w:r w:rsidRPr="009A18B7">
        <w:t xml:space="preserve">he </w:t>
      </w:r>
      <w:r w:rsidRPr="009A18B7">
        <w:rPr>
          <w:i/>
        </w:rPr>
        <w:t>Contador</w:t>
      </w:r>
      <w:r w:rsidRPr="009A18B7">
        <w:t xml:space="preserve"> decisio</w:t>
      </w:r>
      <w:r w:rsidR="00854C94">
        <w:t xml:space="preserve">n is </w:t>
      </w:r>
      <w:r w:rsidR="00BE0B3B">
        <w:t>consistent</w:t>
      </w:r>
      <w:r w:rsidR="00854C94">
        <w:t xml:space="preserve"> </w:t>
      </w:r>
      <w:r w:rsidRPr="009A18B7">
        <w:t xml:space="preserve">with previous CAS decisions that have allowed for the weighing of multiple possible explanations, notably </w:t>
      </w:r>
      <w:r w:rsidRPr="009A18B7">
        <w:rPr>
          <w:i/>
        </w:rPr>
        <w:t>WADA v</w:t>
      </w:r>
      <w:r w:rsidR="003F22FC">
        <w:rPr>
          <w:i/>
        </w:rPr>
        <w:t>.</w:t>
      </w:r>
      <w:r w:rsidRPr="009A18B7">
        <w:rPr>
          <w:i/>
        </w:rPr>
        <w:t xml:space="preserve"> Swiss Olympic Association &amp; Simon </w:t>
      </w:r>
      <w:proofErr w:type="spellStart"/>
      <w:r w:rsidRPr="009A18B7">
        <w:rPr>
          <w:i/>
        </w:rPr>
        <w:t>Daubney</w:t>
      </w:r>
      <w:proofErr w:type="spellEnd"/>
      <w:r w:rsidRPr="009A18B7">
        <w:t>.</w:t>
      </w:r>
      <w:r w:rsidRPr="009A18B7">
        <w:rPr>
          <w:rStyle w:val="FootnoteReference"/>
        </w:rPr>
        <w:footnoteReference w:id="37"/>
      </w:r>
    </w:p>
    <w:p w14:paraId="016AB3F7" w14:textId="77777777" w:rsidR="005F57A1" w:rsidRDefault="005F57A1" w:rsidP="005F57A1">
      <w:pPr>
        <w:spacing w:after="0"/>
      </w:pPr>
    </w:p>
    <w:p w14:paraId="76FD8718" w14:textId="77777777" w:rsidR="003F22FC" w:rsidRPr="009A18B7" w:rsidRDefault="003F22FC" w:rsidP="005F57A1">
      <w:pPr>
        <w:spacing w:after="0"/>
      </w:pPr>
    </w:p>
    <w:p w14:paraId="7586AD92" w14:textId="77777777" w:rsidR="009A18B7" w:rsidRPr="009A18B7" w:rsidRDefault="009A18B7" w:rsidP="005C2941">
      <w:pPr>
        <w:spacing w:after="0"/>
        <w:rPr>
          <w:b/>
          <w:i/>
        </w:rPr>
      </w:pPr>
      <w:r w:rsidRPr="009A18B7">
        <w:rPr>
          <w:b/>
          <w:i/>
        </w:rPr>
        <w:t>Reaching the standard of proof</w:t>
      </w:r>
    </w:p>
    <w:p w14:paraId="4ABDA5A3" w14:textId="30F0340C" w:rsidR="009A18B7" w:rsidRPr="009A18B7" w:rsidRDefault="009A18B7" w:rsidP="005C2941">
      <w:pPr>
        <w:spacing w:after="0"/>
      </w:pPr>
      <w:r w:rsidRPr="009A18B7">
        <w:t>The balance of probabilities standard</w:t>
      </w:r>
      <w:r w:rsidR="00F95DA9">
        <w:t xml:space="preserve"> embodied</w:t>
      </w:r>
      <w:r w:rsidRPr="009A18B7">
        <w:t xml:space="preserve"> </w:t>
      </w:r>
      <w:r w:rsidR="00712DA5">
        <w:t>in Article</w:t>
      </w:r>
      <w:r w:rsidR="009C7A74">
        <w:t>s 3.1 and</w:t>
      </w:r>
      <w:r w:rsidR="00A5320A">
        <w:t xml:space="preserve"> </w:t>
      </w:r>
      <w:r w:rsidR="00712DA5">
        <w:t xml:space="preserve">10.5 of the </w:t>
      </w:r>
      <w:r w:rsidR="00FE0EA9">
        <w:t>WADC 2009</w:t>
      </w:r>
      <w:r w:rsidR="00712DA5">
        <w:t xml:space="preserve"> </w:t>
      </w:r>
      <w:r w:rsidR="00005A8E">
        <w:t>represents</w:t>
      </w:r>
      <w:r w:rsidRPr="009A18B7">
        <w:t xml:space="preserve"> an important “threshold requirement”; were an athlete not required to prove how a substance entered his body it would undermine the strict liability provisions underpinning the Code.</w:t>
      </w:r>
      <w:r w:rsidRPr="009A18B7">
        <w:rPr>
          <w:rStyle w:val="FootnoteReference"/>
        </w:rPr>
        <w:footnoteReference w:id="38"/>
      </w:r>
      <w:r w:rsidRPr="009A18B7">
        <w:t xml:space="preserve"> Thus, various CAS Panels have reiterated the importance of reaching the standard in order to trigger the provisions which allow for consideration of an athlete’s fault or negligence.</w:t>
      </w:r>
      <w:r w:rsidRPr="009A18B7">
        <w:rPr>
          <w:rStyle w:val="FootnoteReference"/>
        </w:rPr>
        <w:footnoteReference w:id="39"/>
      </w:r>
      <w:r w:rsidRPr="009A18B7">
        <w:t xml:space="preserve"> Clearly, the difficulty Contador faced in discharging the burden upon him had a large bearing on his inability to reach this threshold. </w:t>
      </w:r>
      <w:r w:rsidR="000E3E75">
        <w:t>Nonetheless, the case highlights</w:t>
      </w:r>
      <w:r w:rsidRPr="009A18B7">
        <w:t xml:space="preserve"> a</w:t>
      </w:r>
      <w:r w:rsidR="003D7860">
        <w:t xml:space="preserve"> further</w:t>
      </w:r>
      <w:r w:rsidRPr="009A18B7">
        <w:t xml:space="preserve"> difficulty that arises wit</w:t>
      </w:r>
      <w:r w:rsidR="00BB1C5E">
        <w:t xml:space="preserve">h the application of this </w:t>
      </w:r>
      <w:r w:rsidR="00345500">
        <w:t xml:space="preserve">threshold </w:t>
      </w:r>
      <w:r w:rsidR="00BB1C5E">
        <w:t xml:space="preserve">test – </w:t>
      </w:r>
      <w:r w:rsidRPr="009A18B7">
        <w:t>notably where multiple theories have been advanced, none of which are sufficiently compelling to establish primacy. In such a situation the risk of not meeting the threshold remains with athlete even though all arguments are considered equally likely.</w:t>
      </w:r>
      <w:r w:rsidRPr="009A18B7">
        <w:rPr>
          <w:rStyle w:val="FootnoteReference"/>
        </w:rPr>
        <w:footnoteReference w:id="40"/>
      </w:r>
      <w:r w:rsidRPr="009A18B7">
        <w:t xml:space="preserve"> Although </w:t>
      </w:r>
      <w:r w:rsidR="004F0573">
        <w:t>strictly</w:t>
      </w:r>
      <w:r w:rsidRPr="009A18B7">
        <w:t xml:space="preserve"> speaking this </w:t>
      </w:r>
      <w:r w:rsidR="00005A8E">
        <w:t>outcome</w:t>
      </w:r>
      <w:r w:rsidR="00BB1C5E">
        <w:t xml:space="preserve"> </w:t>
      </w:r>
      <w:r w:rsidRPr="009A18B7">
        <w:t xml:space="preserve">did not occur in </w:t>
      </w:r>
      <w:r w:rsidRPr="009A18B7">
        <w:rPr>
          <w:i/>
        </w:rPr>
        <w:t>Contador</w:t>
      </w:r>
      <w:r w:rsidRPr="009A18B7">
        <w:t>, this was principally because the Panel concluded that the ‘contaminated supplement’ theory was the most likely</w:t>
      </w:r>
      <w:r w:rsidR="004F0573">
        <w:t xml:space="preserve"> explanation</w:t>
      </w:r>
      <w:r w:rsidRPr="009A18B7">
        <w:t xml:space="preserve">. There was no compelling evidence to elevate it above the other two theories proposed and in reality </w:t>
      </w:r>
      <w:r w:rsidRPr="009A18B7">
        <w:rPr>
          <w:i/>
        </w:rPr>
        <w:t>Contador</w:t>
      </w:r>
      <w:r w:rsidRPr="009A18B7">
        <w:t xml:space="preserve"> came as close as any case to a position where all theories were equally likely.</w:t>
      </w:r>
      <w:r w:rsidRPr="009A18B7">
        <w:rPr>
          <w:rStyle w:val="FootnoteReference"/>
        </w:rPr>
        <w:footnoteReference w:id="41"/>
      </w:r>
      <w:r w:rsidRPr="009A18B7">
        <w:t xml:space="preserve"> </w:t>
      </w:r>
    </w:p>
    <w:p w14:paraId="68883D4C" w14:textId="77777777" w:rsidR="009A18B7" w:rsidRPr="009A18B7" w:rsidRDefault="009A18B7" w:rsidP="005F57A1">
      <w:pPr>
        <w:spacing w:after="0"/>
      </w:pPr>
    </w:p>
    <w:p w14:paraId="4DA479B4" w14:textId="185EEE94" w:rsidR="009A18B7" w:rsidRPr="009A18B7" w:rsidRDefault="009A18B7" w:rsidP="005F57A1">
      <w:pPr>
        <w:spacing w:after="0"/>
      </w:pPr>
      <w:r w:rsidRPr="009A18B7">
        <w:t xml:space="preserve">The key point is that, were the Panel to have in fact held all three theories to be equally likely, </w:t>
      </w:r>
      <w:r w:rsidR="00EB590C">
        <w:t>it</w:t>
      </w:r>
      <w:r w:rsidRPr="009A18B7">
        <w:t xml:space="preserve"> would have been compelled to hand Contador a two-year ban with no definitive explanation as to how the substance entered his body and no recourse to considering his degree of fault.</w:t>
      </w:r>
      <w:r w:rsidRPr="009A18B7">
        <w:rPr>
          <w:rStyle w:val="FootnoteReference"/>
        </w:rPr>
        <w:footnoteReference w:id="42"/>
      </w:r>
      <w:r w:rsidRPr="009A18B7">
        <w:t xml:space="preserve"> From the point of view of fairness</w:t>
      </w:r>
      <w:r w:rsidR="003F22FC">
        <w:t>,</w:t>
      </w:r>
      <w:r w:rsidRPr="009A18B7">
        <w:t xml:space="preserve"> this seems a difficult proposition to accept and, in the limited instances where the balance of probabilities threshold has been arrived at but not crossed, one could argue there ought to be an opportunity to examine the fault of the athlete so as to potentially mitigate any sanction.</w:t>
      </w:r>
    </w:p>
    <w:p w14:paraId="39DDDA37" w14:textId="77777777" w:rsidR="009A18B7" w:rsidRPr="009A18B7" w:rsidRDefault="009A18B7" w:rsidP="005F57A1">
      <w:pPr>
        <w:spacing w:after="0"/>
      </w:pPr>
    </w:p>
    <w:p w14:paraId="0F093212" w14:textId="37008CC9" w:rsidR="009A18B7" w:rsidRDefault="009A18B7" w:rsidP="005F57A1">
      <w:pPr>
        <w:spacing w:after="0"/>
      </w:pPr>
      <w:r w:rsidRPr="009A18B7">
        <w:t xml:space="preserve">More broadly, </w:t>
      </w:r>
      <w:r w:rsidR="003D7860">
        <w:t xml:space="preserve">other </w:t>
      </w:r>
      <w:r w:rsidR="00340242">
        <w:t>recent</w:t>
      </w:r>
      <w:r w:rsidRPr="009A18B7">
        <w:t xml:space="preserve"> cases involving clenbuterol highlight the difficulty in applying the </w:t>
      </w:r>
      <w:r w:rsidR="00CF05FD">
        <w:t xml:space="preserve">balance of probabilities </w:t>
      </w:r>
      <w:r w:rsidR="00BD1C36">
        <w:t xml:space="preserve">threshold. </w:t>
      </w:r>
      <w:r w:rsidR="007519F2">
        <w:t>I</w:t>
      </w:r>
      <w:r w:rsidR="00BD1C36">
        <w:t xml:space="preserve">n some instances </w:t>
      </w:r>
      <w:r w:rsidR="00413257">
        <w:t>the threshold</w:t>
      </w:r>
      <w:r w:rsidR="00CF05FD">
        <w:t xml:space="preserve"> </w:t>
      </w:r>
      <w:r w:rsidR="00BD1C36">
        <w:t>has been</w:t>
      </w:r>
      <w:r w:rsidR="00CF05FD">
        <w:t xml:space="preserve"> set according to</w:t>
      </w:r>
      <w:r w:rsidRPr="009A18B7">
        <w:t xml:space="preserve"> the country</w:t>
      </w:r>
      <w:r w:rsidR="00BD1C36">
        <w:t xml:space="preserve"> i</w:t>
      </w:r>
      <w:r w:rsidR="00BE0B3B">
        <w:t xml:space="preserve">n which an athlete </w:t>
      </w:r>
      <w:r w:rsidR="00C507AB">
        <w:t xml:space="preserve">has competed. For example, </w:t>
      </w:r>
      <w:r w:rsidRPr="009A18B7">
        <w:t xml:space="preserve">athletes </w:t>
      </w:r>
      <w:r w:rsidR="00C507AB">
        <w:t>that have returned</w:t>
      </w:r>
      <w:r w:rsidR="007519F2">
        <w:t xml:space="preserve"> adverse findings whilst </w:t>
      </w:r>
      <w:r w:rsidRPr="009A18B7">
        <w:t>com</w:t>
      </w:r>
      <w:r w:rsidR="00BD1C36">
        <w:t>peting in both Mexico and China</w:t>
      </w:r>
      <w:r w:rsidRPr="009A18B7">
        <w:t xml:space="preserve"> </w:t>
      </w:r>
      <w:r w:rsidR="00340242">
        <w:t xml:space="preserve">have had </w:t>
      </w:r>
      <w:r w:rsidRPr="009A18B7">
        <w:t xml:space="preserve">‘contaminated meat’ explanations </w:t>
      </w:r>
      <w:r w:rsidR="00C507AB">
        <w:t xml:space="preserve">readily </w:t>
      </w:r>
      <w:r w:rsidRPr="009A18B7">
        <w:t>accepted</w:t>
      </w:r>
      <w:r w:rsidR="004F0573">
        <w:t xml:space="preserve"> </w:t>
      </w:r>
      <w:r w:rsidR="00C507AB">
        <w:t xml:space="preserve">on the basis of </w:t>
      </w:r>
      <w:r w:rsidRPr="009A18B7">
        <w:t xml:space="preserve">studies </w:t>
      </w:r>
      <w:r w:rsidR="004B3841">
        <w:t>indicating</w:t>
      </w:r>
      <w:r w:rsidRPr="009A18B7">
        <w:t xml:space="preserve"> a link to the use of</w:t>
      </w:r>
      <w:r w:rsidR="00C507AB">
        <w:t xml:space="preserve"> clenbuterol in livestock in tho</w:t>
      </w:r>
      <w:r w:rsidRPr="009A18B7">
        <w:t>se countries.</w:t>
      </w:r>
      <w:r w:rsidRPr="009A18B7">
        <w:rPr>
          <w:rStyle w:val="FootnoteReference"/>
        </w:rPr>
        <w:footnoteReference w:id="43"/>
      </w:r>
      <w:r w:rsidRPr="009A18B7">
        <w:t xml:space="preserve"> This is despite </w:t>
      </w:r>
      <w:r w:rsidR="0060222A">
        <w:t>doubts</w:t>
      </w:r>
      <w:r w:rsidRPr="009A18B7">
        <w:t xml:space="preserve"> over </w:t>
      </w:r>
      <w:r w:rsidR="0060222A">
        <w:t xml:space="preserve">both </w:t>
      </w:r>
      <w:r w:rsidRPr="009A18B7">
        <w:t xml:space="preserve">the scientific rigour of the </w:t>
      </w:r>
      <w:r w:rsidRPr="008762B5">
        <w:t>studies purporting to show this chain of causation</w:t>
      </w:r>
      <w:r w:rsidR="004120BA">
        <w:rPr>
          <w:rStyle w:val="FootnoteReference"/>
        </w:rPr>
        <w:footnoteReference w:id="44"/>
      </w:r>
      <w:r w:rsidR="004F0573" w:rsidRPr="008762B5">
        <w:t xml:space="preserve"> and </w:t>
      </w:r>
      <w:r w:rsidR="004B3841" w:rsidRPr="008762B5">
        <w:t xml:space="preserve">the </w:t>
      </w:r>
      <w:r w:rsidR="005342AD" w:rsidRPr="008762B5">
        <w:t>ability</w:t>
      </w:r>
      <w:r w:rsidR="00DE71EE" w:rsidRPr="008762B5">
        <w:t xml:space="preserve"> of anti-doping authorities</w:t>
      </w:r>
      <w:r w:rsidR="005342AD" w:rsidRPr="008762B5">
        <w:t xml:space="preserve"> to differentiate clearly between accidental and deliberate </w:t>
      </w:r>
      <w:r w:rsidR="004B3841" w:rsidRPr="008762B5">
        <w:t>clenbuterol ingestion</w:t>
      </w:r>
      <w:r w:rsidR="0060222A" w:rsidRPr="008762B5">
        <w:t xml:space="preserve"> based </w:t>
      </w:r>
      <w:r w:rsidR="00C507AB" w:rsidRPr="008762B5">
        <w:t xml:space="preserve">on </w:t>
      </w:r>
      <w:r w:rsidR="0060222A" w:rsidRPr="008762B5">
        <w:t xml:space="preserve">the </w:t>
      </w:r>
      <w:r w:rsidR="00C507AB" w:rsidRPr="008762B5">
        <w:t>analysis of urine samples</w:t>
      </w:r>
      <w:r w:rsidR="004B3841" w:rsidRPr="008762B5">
        <w:t>.</w:t>
      </w:r>
      <w:r w:rsidRPr="008762B5">
        <w:rPr>
          <w:rStyle w:val="FootnoteReference"/>
        </w:rPr>
        <w:footnoteReference w:id="45"/>
      </w:r>
    </w:p>
    <w:p w14:paraId="6ED297F4" w14:textId="77777777" w:rsidR="005F57A1" w:rsidRDefault="005F57A1" w:rsidP="005F57A1">
      <w:pPr>
        <w:spacing w:after="0"/>
      </w:pPr>
    </w:p>
    <w:p w14:paraId="1EDD26BF" w14:textId="77777777" w:rsidR="003F22FC" w:rsidRPr="009A18B7" w:rsidRDefault="003F22FC" w:rsidP="005F57A1">
      <w:pPr>
        <w:spacing w:after="0"/>
      </w:pPr>
    </w:p>
    <w:p w14:paraId="201C6D6B" w14:textId="77777777" w:rsidR="009A18B7" w:rsidRPr="009A18B7" w:rsidRDefault="009A18B7" w:rsidP="005F57A1">
      <w:pPr>
        <w:spacing w:after="0"/>
        <w:rPr>
          <w:b/>
          <w:i/>
        </w:rPr>
      </w:pPr>
      <w:r w:rsidRPr="009A18B7">
        <w:rPr>
          <w:b/>
          <w:i/>
        </w:rPr>
        <w:t>Engaging the mitigation provisions of the Code</w:t>
      </w:r>
    </w:p>
    <w:p w14:paraId="7D9E6C6C" w14:textId="50A95D86" w:rsidR="009A18B7" w:rsidRPr="009A18B7" w:rsidRDefault="009A18B7" w:rsidP="005F57A1">
      <w:pPr>
        <w:spacing w:after="0"/>
      </w:pPr>
      <w:r w:rsidRPr="00854C94">
        <w:t>Article 10.5</w:t>
      </w:r>
      <w:r w:rsidRPr="009A18B7">
        <w:t xml:space="preserve"> of the </w:t>
      </w:r>
      <w:r w:rsidR="00DE71EE">
        <w:t>WADC 2009</w:t>
      </w:r>
      <w:r w:rsidRPr="009A18B7">
        <w:t xml:space="preserve"> allows for the mitigation of sanctions in “exceptional circumstances”.</w:t>
      </w:r>
      <w:r w:rsidRPr="009A18B7">
        <w:rPr>
          <w:rStyle w:val="FootnoteReference"/>
        </w:rPr>
        <w:footnoteReference w:id="46"/>
      </w:r>
      <w:r w:rsidRPr="009A18B7">
        <w:t xml:space="preserve"> For Contador to qualify for a reduction in sanction under this </w:t>
      </w:r>
      <w:r w:rsidRPr="00854C94">
        <w:t>article</w:t>
      </w:r>
      <w:r w:rsidRPr="009A18B7">
        <w:t xml:space="preserve"> he </w:t>
      </w:r>
      <w:r w:rsidR="003B57CE">
        <w:t xml:space="preserve">therefore </w:t>
      </w:r>
      <w:r w:rsidRPr="009A18B7">
        <w:t xml:space="preserve">needed to first demonstrate how the substance entered his system and subsequently demonstrate a lack of fault or negligence. </w:t>
      </w:r>
    </w:p>
    <w:p w14:paraId="41B2612C" w14:textId="77777777" w:rsidR="009A18B7" w:rsidRPr="009A18B7" w:rsidRDefault="009A18B7" w:rsidP="005F57A1">
      <w:pPr>
        <w:spacing w:after="0"/>
      </w:pPr>
    </w:p>
    <w:p w14:paraId="7346AB39" w14:textId="29F0C4BF" w:rsidR="00854C94" w:rsidRDefault="009A18B7" w:rsidP="005F57A1">
      <w:pPr>
        <w:spacing w:after="0"/>
      </w:pPr>
      <w:r w:rsidRPr="009A18B7">
        <w:t>However Contador’s failure to clear the first of these hurdles debarred him from attempting the second, despite appearing to bear limited fault or negligence. Thus, even in what might genuinely be considered exceptional circumstances – and therefore deserving of the application of Article 10.5</w:t>
      </w:r>
      <w:r w:rsidR="00854C94">
        <w:t xml:space="preserve"> </w:t>
      </w:r>
      <w:r w:rsidRPr="009A18B7">
        <w:t xml:space="preserve">– the </w:t>
      </w:r>
      <w:r w:rsidR="00DE71EE">
        <w:t>WADC 2009</w:t>
      </w:r>
      <w:r w:rsidRPr="009A18B7">
        <w:t xml:space="preserve"> drafting did not permit any mitigation of the sanction.</w:t>
      </w:r>
      <w:r w:rsidRPr="009A18B7">
        <w:rPr>
          <w:rStyle w:val="FootnoteReference"/>
        </w:rPr>
        <w:footnoteReference w:id="47"/>
      </w:r>
      <w:r w:rsidRPr="009A18B7">
        <w:t xml:space="preserve"> Clearly there is a difficult balance </w:t>
      </w:r>
      <w:r w:rsidR="004B4B67">
        <w:t xml:space="preserve">to strike </w:t>
      </w:r>
      <w:r w:rsidRPr="009A18B7">
        <w:t xml:space="preserve">between maintaining strict liability and ensuring fairness, however </w:t>
      </w:r>
      <w:r w:rsidRPr="00A33938">
        <w:t>Article 10.5</w:t>
      </w:r>
      <w:r w:rsidRPr="009A18B7">
        <w:t xml:space="preserve"> appears designed to ensure that the range of “exceptional circumstances” in which it might apply is </w:t>
      </w:r>
      <w:proofErr w:type="gramStart"/>
      <w:r w:rsidRPr="009A18B7">
        <w:t>so</w:t>
      </w:r>
      <w:proofErr w:type="gramEnd"/>
      <w:r w:rsidRPr="009A18B7">
        <w:t xml:space="preserve"> small as to be</w:t>
      </w:r>
      <w:r w:rsidR="004B4B67">
        <w:t xml:space="preserve"> virtually non-existent. Indeed</w:t>
      </w:r>
      <w:r w:rsidR="00D41E2E">
        <w:t xml:space="preserve"> this difficult</w:t>
      </w:r>
      <w:r w:rsidRPr="009A18B7">
        <w:t xml:space="preserve">y was hinted at in the CAS Panel’s judgement which </w:t>
      </w:r>
      <w:r w:rsidR="00005A8E">
        <w:t>suggested</w:t>
      </w:r>
      <w:r w:rsidRPr="009A18B7">
        <w:t xml:space="preserve"> </w:t>
      </w:r>
      <w:r w:rsidR="00854C94">
        <w:t>it</w:t>
      </w:r>
      <w:r w:rsidRPr="009A18B7">
        <w:t xml:space="preserve"> </w:t>
      </w:r>
      <w:r w:rsidR="00D41E2E">
        <w:t>might</w:t>
      </w:r>
      <w:r w:rsidRPr="009A18B7">
        <w:t xml:space="preserve"> have been willing to consider </w:t>
      </w:r>
      <w:r w:rsidR="00D41E2E">
        <w:t xml:space="preserve">the extent of </w:t>
      </w:r>
      <w:r w:rsidRPr="009A18B7">
        <w:t xml:space="preserve">Contador’s fault or negligence had it been argued explicitly even though </w:t>
      </w:r>
      <w:r w:rsidRPr="00A33938">
        <w:t>Article 10.5</w:t>
      </w:r>
      <w:r w:rsidR="004B4B67">
        <w:t>, strictly applied,</w:t>
      </w:r>
      <w:r w:rsidRPr="009A18B7">
        <w:t xml:space="preserve"> ought to have disallowed it.</w:t>
      </w:r>
      <w:r w:rsidRPr="009A18B7">
        <w:rPr>
          <w:rStyle w:val="FootnoteReference"/>
        </w:rPr>
        <w:footnoteReference w:id="48"/>
      </w:r>
    </w:p>
    <w:p w14:paraId="7923AC87" w14:textId="77777777" w:rsidR="00854C94" w:rsidRDefault="00854C94" w:rsidP="005F57A1">
      <w:pPr>
        <w:spacing w:after="0"/>
      </w:pPr>
    </w:p>
    <w:p w14:paraId="689EBCF0" w14:textId="631DAC59" w:rsidR="009A18B7" w:rsidRPr="009A18B7" w:rsidRDefault="009A18B7" w:rsidP="005F57A1">
      <w:pPr>
        <w:spacing w:after="0"/>
        <w:rPr>
          <w:highlight w:val="yellow"/>
        </w:rPr>
      </w:pPr>
      <w:r w:rsidRPr="009A18B7">
        <w:t xml:space="preserve">Importantly, </w:t>
      </w:r>
      <w:r w:rsidRPr="0095436A">
        <w:rPr>
          <w:i/>
        </w:rPr>
        <w:t>Contador</w:t>
      </w:r>
      <w:r w:rsidRPr="009A18B7">
        <w:t xml:space="preserve"> is not an outlier. Other cases involving contaminated supplements also demonstrate the difficulties of</w:t>
      </w:r>
      <w:r w:rsidR="00DE71EE">
        <w:t xml:space="preserve"> engaging the </w:t>
      </w:r>
      <w:r w:rsidR="00437495">
        <w:t>mitigation</w:t>
      </w:r>
      <w:r w:rsidR="00DE71EE">
        <w:t xml:space="preserve"> provisions </w:t>
      </w:r>
      <w:r w:rsidR="00437495">
        <w:t xml:space="preserve">for </w:t>
      </w:r>
      <w:r w:rsidRPr="009A18B7">
        <w:t xml:space="preserve">exceptional circumstances. In a very similar case to </w:t>
      </w:r>
      <w:r w:rsidRPr="009A18B7">
        <w:rPr>
          <w:i/>
        </w:rPr>
        <w:t>Contador</w:t>
      </w:r>
      <w:r w:rsidR="00DE71EE">
        <w:t>,</w:t>
      </w:r>
      <w:r w:rsidRPr="009A18B7">
        <w:rPr>
          <w:i/>
        </w:rPr>
        <w:t xml:space="preserve"> </w:t>
      </w:r>
      <w:r w:rsidRPr="009A18B7">
        <w:t>the US swimmer Jessica Hardy received a one-year ban after testing positive for clenbuterol as a resu</w:t>
      </w:r>
      <w:r w:rsidR="00DE71EE">
        <w:t xml:space="preserve">lt of </w:t>
      </w:r>
      <w:r w:rsidR="005C2941">
        <w:t xml:space="preserve">consuming </w:t>
      </w:r>
      <w:r w:rsidR="00DE71EE">
        <w:t>a contaminated supplement</w:t>
      </w:r>
      <w:r w:rsidRPr="009A18B7">
        <w:t xml:space="preserve"> despite taking numerous steps to address precisely such a risk. In its appeal against the ban, WADA suggested Hardy’s case was not in fact “exceptional” and that she had demonstrated significant negligence such that Article </w:t>
      </w:r>
      <w:r w:rsidRPr="00A33938">
        <w:t>10.5.2</w:t>
      </w:r>
      <w:r w:rsidRPr="00824680">
        <w:rPr>
          <w:i/>
        </w:rPr>
        <w:t xml:space="preserve"> </w:t>
      </w:r>
      <w:r w:rsidRPr="009A18B7">
        <w:t>could not be engaged.</w:t>
      </w:r>
      <w:r w:rsidRPr="009A18B7">
        <w:rPr>
          <w:rStyle w:val="FootnoteReference"/>
        </w:rPr>
        <w:footnoteReference w:id="49"/>
      </w:r>
    </w:p>
    <w:p w14:paraId="2CC333CE" w14:textId="77777777" w:rsidR="009A18B7" w:rsidRDefault="009A18B7" w:rsidP="005F57A1">
      <w:pPr>
        <w:spacing w:after="0"/>
      </w:pPr>
    </w:p>
    <w:p w14:paraId="37D332CD" w14:textId="77777777" w:rsidR="005235E2" w:rsidRDefault="005235E2" w:rsidP="005F57A1">
      <w:pPr>
        <w:spacing w:after="0"/>
      </w:pPr>
    </w:p>
    <w:p w14:paraId="464B4122" w14:textId="6EFA3D15" w:rsidR="009A18B7" w:rsidRPr="003F22FC" w:rsidRDefault="003F22FC" w:rsidP="005C2941">
      <w:pPr>
        <w:spacing w:after="120"/>
        <w:rPr>
          <w:b/>
          <w:sz w:val="24"/>
        </w:rPr>
      </w:pPr>
      <w:r w:rsidRPr="003F22FC">
        <w:rPr>
          <w:b/>
          <w:sz w:val="24"/>
        </w:rPr>
        <w:t>THE WADC 2015: A NEW APPROACH OR MORE OF THE SAME?</w:t>
      </w:r>
    </w:p>
    <w:p w14:paraId="500E8261" w14:textId="6663559E" w:rsidR="009A18B7" w:rsidRPr="009A18B7" w:rsidRDefault="009A18B7" w:rsidP="005C2941">
      <w:pPr>
        <w:spacing w:after="120"/>
      </w:pPr>
      <w:r w:rsidRPr="009A18B7">
        <w:t xml:space="preserve">In light of the preceding </w:t>
      </w:r>
      <w:r w:rsidR="005235E2">
        <w:t>discussion</w:t>
      </w:r>
      <w:r w:rsidR="00437495">
        <w:t>,</w:t>
      </w:r>
      <w:r w:rsidRPr="009A18B7">
        <w:t xml:space="preserve"> a key question is to what extent </w:t>
      </w:r>
      <w:r w:rsidR="000C4C5B">
        <w:t xml:space="preserve">have </w:t>
      </w:r>
      <w:r w:rsidRPr="009A18B7">
        <w:t xml:space="preserve">the issues raised by </w:t>
      </w:r>
      <w:r w:rsidRPr="009A18B7">
        <w:rPr>
          <w:i/>
        </w:rPr>
        <w:t>Contador</w:t>
      </w:r>
      <w:r w:rsidR="00437495">
        <w:rPr>
          <w:i/>
        </w:rPr>
        <w:t xml:space="preserve"> </w:t>
      </w:r>
      <w:r w:rsidR="00437495">
        <w:t xml:space="preserve">been addressed </w:t>
      </w:r>
      <w:r w:rsidR="005C2941">
        <w:t>in</w:t>
      </w:r>
      <w:r w:rsidR="00437495">
        <w:t xml:space="preserve"> </w:t>
      </w:r>
      <w:r w:rsidR="00437495" w:rsidRPr="009A18B7">
        <w:t xml:space="preserve">the </w:t>
      </w:r>
      <w:r w:rsidR="00437495">
        <w:t>revised</w:t>
      </w:r>
      <w:r w:rsidR="00437495" w:rsidRPr="009A18B7">
        <w:t xml:space="preserve"> WADC 2015</w:t>
      </w:r>
      <w:r w:rsidRPr="009A18B7">
        <w:t>? To answer this</w:t>
      </w:r>
      <w:r w:rsidR="00437495">
        <w:t xml:space="preserve"> question</w:t>
      </w:r>
      <w:r w:rsidRPr="009A18B7">
        <w:t xml:space="preserve">, the following </w:t>
      </w:r>
      <w:r w:rsidR="005235E2">
        <w:t>analysis</w:t>
      </w:r>
      <w:r w:rsidRPr="009A18B7">
        <w:t xml:space="preserve"> applies the WADC 2015 to the facts of </w:t>
      </w:r>
      <w:r w:rsidRPr="009A18B7">
        <w:rPr>
          <w:i/>
        </w:rPr>
        <w:t xml:space="preserve">Contador </w:t>
      </w:r>
      <w:r w:rsidRPr="009A18B7">
        <w:t xml:space="preserve">to </w:t>
      </w:r>
      <w:r w:rsidR="00353F79">
        <w:t>assess</w:t>
      </w:r>
      <w:r w:rsidRPr="009A18B7">
        <w:t xml:space="preserve"> whether </w:t>
      </w:r>
      <w:r w:rsidR="00353F79">
        <w:t>or not any</w:t>
      </w:r>
      <w:r w:rsidRPr="009A18B7">
        <w:t xml:space="preserve"> sanction might differ from the original two-year ban handed down under the </w:t>
      </w:r>
      <w:r w:rsidR="00353F79">
        <w:t xml:space="preserve">WADC </w:t>
      </w:r>
      <w:r w:rsidR="004B4B67">
        <w:t>2009</w:t>
      </w:r>
      <w:r w:rsidRPr="009A18B7">
        <w:t>.</w:t>
      </w:r>
    </w:p>
    <w:p w14:paraId="57AC9296" w14:textId="77777777" w:rsidR="009A18B7" w:rsidRDefault="009A18B7" w:rsidP="005F57A1">
      <w:pPr>
        <w:spacing w:after="0"/>
        <w:rPr>
          <w:b/>
          <w:i/>
        </w:rPr>
      </w:pPr>
    </w:p>
    <w:p w14:paraId="12806C0C" w14:textId="77777777" w:rsidR="009A18B7" w:rsidRPr="009A18B7" w:rsidRDefault="009A18B7" w:rsidP="005F57A1">
      <w:pPr>
        <w:spacing w:after="0"/>
        <w:rPr>
          <w:b/>
          <w:i/>
        </w:rPr>
      </w:pPr>
      <w:r w:rsidRPr="009A18B7">
        <w:rPr>
          <w:b/>
          <w:i/>
        </w:rPr>
        <w:t>Revisions to the Code</w:t>
      </w:r>
    </w:p>
    <w:p w14:paraId="63BDBCE2" w14:textId="77777777" w:rsidR="009A18B7" w:rsidRPr="009A18B7" w:rsidRDefault="009A18B7" w:rsidP="00824680">
      <w:pPr>
        <w:spacing w:after="120"/>
      </w:pPr>
      <w:r w:rsidRPr="009A18B7">
        <w:t>No substantive changes have been</w:t>
      </w:r>
      <w:r w:rsidR="004B4B67">
        <w:t xml:space="preserve"> made to Articles 2.1 and 3.1 in</w:t>
      </w:r>
      <w:r w:rsidRPr="009A18B7">
        <w:t xml:space="preserve"> the </w:t>
      </w:r>
      <w:r w:rsidR="004B4B67">
        <w:t>WADC 2015</w:t>
      </w:r>
      <w:r w:rsidRPr="009A18B7">
        <w:t>.</w:t>
      </w:r>
      <w:r w:rsidR="00A81C15" w:rsidRPr="009A18B7">
        <w:rPr>
          <w:rStyle w:val="FootnoteReference"/>
        </w:rPr>
        <w:footnoteReference w:id="50"/>
      </w:r>
      <w:r w:rsidRPr="009A18B7">
        <w:t xml:space="preserve"> However the WADC 2015 contains an important recasting of the articles on sanctioning. The most relevant changes can be summarised as follows: </w:t>
      </w:r>
    </w:p>
    <w:p w14:paraId="0104109C" w14:textId="77777777" w:rsidR="00621C2A" w:rsidRPr="008762B5" w:rsidRDefault="009A18B7" w:rsidP="003F22FC">
      <w:pPr>
        <w:pStyle w:val="FootnoteText"/>
        <w:numPr>
          <w:ilvl w:val="0"/>
          <w:numId w:val="15"/>
        </w:numPr>
        <w:spacing w:after="120" w:line="276" w:lineRule="auto"/>
        <w:ind w:left="714" w:hanging="357"/>
        <w:rPr>
          <w:szCs w:val="18"/>
        </w:rPr>
      </w:pPr>
      <w:r w:rsidRPr="008762B5">
        <w:rPr>
          <w:i/>
          <w:sz w:val="22"/>
        </w:rPr>
        <w:t>Article 10.2</w:t>
      </w:r>
      <w:r w:rsidR="004B4B67" w:rsidRPr="008762B5">
        <w:rPr>
          <w:sz w:val="22"/>
        </w:rPr>
        <w:t>: The base</w:t>
      </w:r>
      <w:r w:rsidRPr="008762B5">
        <w:rPr>
          <w:sz w:val="22"/>
        </w:rPr>
        <w:t xml:space="preserve"> sanction for a first violation of Article 2.1 is four years’ ineligibility “unless the Athlete...can establish the anti-doping violation was not intentional.”</w:t>
      </w:r>
      <w:r w:rsidRPr="008762B5">
        <w:rPr>
          <w:rStyle w:val="FootnoteReference"/>
          <w:sz w:val="22"/>
        </w:rPr>
        <w:footnoteReference w:id="51"/>
      </w:r>
      <w:r w:rsidR="00AA7B6D" w:rsidRPr="008762B5">
        <w:rPr>
          <w:sz w:val="22"/>
        </w:rPr>
        <w:t xml:space="preserve"> For the purposes of this article, “intentional” is defined as </w:t>
      </w:r>
      <w:r w:rsidR="00AA7B6D" w:rsidRPr="008762B5">
        <w:rPr>
          <w:sz w:val="24"/>
        </w:rPr>
        <w:t>“</w:t>
      </w:r>
      <w:r w:rsidR="002E6A33" w:rsidRPr="008762B5">
        <w:rPr>
          <w:sz w:val="22"/>
          <w:szCs w:val="18"/>
        </w:rPr>
        <w:t>conduct which [the athlete] knew constituted an anti-doping rule violation or knew that there was a significant risk that the conduct might constitute an anti-doping rule violation and man</w:t>
      </w:r>
      <w:r w:rsidR="00C26985" w:rsidRPr="008762B5">
        <w:rPr>
          <w:sz w:val="22"/>
          <w:szCs w:val="18"/>
        </w:rPr>
        <w:t>ifestly disregarded that risk.”</w:t>
      </w:r>
      <w:r w:rsidR="00C26985" w:rsidRPr="008762B5">
        <w:rPr>
          <w:rStyle w:val="FootnoteReference"/>
          <w:sz w:val="22"/>
          <w:szCs w:val="18"/>
        </w:rPr>
        <w:footnoteReference w:id="52"/>
      </w:r>
    </w:p>
    <w:p w14:paraId="0B2F79A0" w14:textId="1D830E9C" w:rsidR="009A18B7" w:rsidRPr="008762B5" w:rsidRDefault="00621C2A" w:rsidP="00621C2A">
      <w:pPr>
        <w:pStyle w:val="ListParagraph"/>
        <w:numPr>
          <w:ilvl w:val="0"/>
          <w:numId w:val="9"/>
        </w:numPr>
        <w:spacing w:after="120"/>
        <w:contextualSpacing w:val="0"/>
      </w:pPr>
      <w:r w:rsidRPr="008762B5">
        <w:rPr>
          <w:i/>
        </w:rPr>
        <w:t>Article 10.4</w:t>
      </w:r>
      <w:r w:rsidR="00AA7B6D" w:rsidRPr="008762B5">
        <w:t>:</w:t>
      </w:r>
      <w:r w:rsidRPr="008762B5">
        <w:t xml:space="preserve"> </w:t>
      </w:r>
      <w:r w:rsidR="00AA7B6D" w:rsidRPr="008762B5">
        <w:rPr>
          <w:rFonts w:cs="DINOT-Light"/>
        </w:rPr>
        <w:t>If</w:t>
      </w:r>
      <w:r w:rsidRPr="008762B5">
        <w:rPr>
          <w:rFonts w:cs="DINOT-Light"/>
        </w:rPr>
        <w:t xml:space="preserve"> an </w:t>
      </w:r>
      <w:r w:rsidRPr="008762B5">
        <w:rPr>
          <w:rFonts w:cs="DINOT-LightItalic"/>
          <w:iCs/>
        </w:rPr>
        <w:t>athlete</w:t>
      </w:r>
      <w:r w:rsidRPr="008762B5">
        <w:rPr>
          <w:rFonts w:cs="DINOT-LightItalic"/>
          <w:i/>
          <w:iCs/>
        </w:rPr>
        <w:t xml:space="preserve"> </w:t>
      </w:r>
      <w:r w:rsidRPr="008762B5">
        <w:rPr>
          <w:rFonts w:cs="DINOT-Light"/>
        </w:rPr>
        <w:t xml:space="preserve">can demonstrate that “he or she bears </w:t>
      </w:r>
      <w:r w:rsidRPr="008762B5">
        <w:rPr>
          <w:rFonts w:cs="DINOT-LightItalic"/>
          <w:iCs/>
        </w:rPr>
        <w:t>no fault or negligence</w:t>
      </w:r>
      <w:r w:rsidRPr="008762B5">
        <w:rPr>
          <w:rFonts w:cs="DINOT-Light"/>
        </w:rPr>
        <w:t xml:space="preserve">, then the otherwise applicable period of </w:t>
      </w:r>
      <w:r w:rsidRPr="008762B5">
        <w:rPr>
          <w:rFonts w:cs="DINOT-LightItalic"/>
          <w:iCs/>
        </w:rPr>
        <w:t>ineligibility</w:t>
      </w:r>
      <w:r w:rsidRPr="008762B5">
        <w:rPr>
          <w:rFonts w:cs="DINOT-LightItalic"/>
          <w:i/>
          <w:iCs/>
        </w:rPr>
        <w:t xml:space="preserve"> </w:t>
      </w:r>
      <w:r w:rsidRPr="008762B5">
        <w:rPr>
          <w:rFonts w:cs="DINOT-Light"/>
        </w:rPr>
        <w:t>shall be eliminated.</w:t>
      </w:r>
      <w:r w:rsidR="009A18B7" w:rsidRPr="008762B5">
        <w:t>”</w:t>
      </w:r>
      <w:r w:rsidR="009A18B7" w:rsidRPr="008762B5">
        <w:rPr>
          <w:rStyle w:val="FootnoteReference"/>
        </w:rPr>
        <w:footnoteReference w:id="53"/>
      </w:r>
      <w:r w:rsidR="00AA7B6D" w:rsidRPr="008762B5">
        <w:t xml:space="preserve"> Importantly this article does not apply in the case of </w:t>
      </w:r>
      <w:r w:rsidR="0079372B" w:rsidRPr="008762B5">
        <w:t xml:space="preserve">mislabelled or </w:t>
      </w:r>
      <w:r w:rsidR="00AA7B6D" w:rsidRPr="008762B5">
        <w:t>contaminated supplements.</w:t>
      </w:r>
      <w:r w:rsidR="005C2941">
        <w:rPr>
          <w:rStyle w:val="FootnoteReference"/>
        </w:rPr>
        <w:footnoteReference w:id="54"/>
      </w:r>
    </w:p>
    <w:p w14:paraId="37599514" w14:textId="77777777" w:rsidR="009A18B7" w:rsidRPr="008762B5" w:rsidRDefault="009A18B7" w:rsidP="00824680">
      <w:pPr>
        <w:pStyle w:val="ListParagraph"/>
        <w:numPr>
          <w:ilvl w:val="0"/>
          <w:numId w:val="9"/>
        </w:numPr>
        <w:spacing w:after="120"/>
        <w:contextualSpacing w:val="0"/>
      </w:pPr>
      <w:r w:rsidRPr="008762B5">
        <w:rPr>
          <w:i/>
        </w:rPr>
        <w:t>Article 10.5.1.2</w:t>
      </w:r>
      <w:r w:rsidRPr="008762B5">
        <w:t>: Where a positive test for a prohibited substance can be shown to have arisen from a “contaminated product” and the athlete can demonstrate no significant fault or neg</w:t>
      </w:r>
      <w:r w:rsidR="00AA7B6D" w:rsidRPr="008762B5">
        <w:t>ligence</w:t>
      </w:r>
      <w:r w:rsidR="00A81C15" w:rsidRPr="008762B5">
        <w:t>,</w:t>
      </w:r>
      <w:r w:rsidR="00AA7B6D" w:rsidRPr="008762B5">
        <w:t xml:space="preserve"> the sanction applied may range</w:t>
      </w:r>
      <w:r w:rsidRPr="008762B5">
        <w:t xml:space="preserve"> from a reprimand</w:t>
      </w:r>
      <w:r w:rsidR="00A81C15" w:rsidRPr="008762B5">
        <w:t xml:space="preserve"> up to two years’ ineligibility.</w:t>
      </w:r>
      <w:r w:rsidRPr="008762B5">
        <w:rPr>
          <w:rStyle w:val="FootnoteReference"/>
        </w:rPr>
        <w:footnoteReference w:id="55"/>
      </w:r>
    </w:p>
    <w:p w14:paraId="02B8E6F7" w14:textId="77777777" w:rsidR="009A18B7" w:rsidRPr="008762B5" w:rsidRDefault="009A18B7" w:rsidP="00824680">
      <w:pPr>
        <w:pStyle w:val="ListParagraph"/>
        <w:numPr>
          <w:ilvl w:val="0"/>
          <w:numId w:val="9"/>
        </w:numPr>
        <w:spacing w:after="120"/>
        <w:contextualSpacing w:val="0"/>
      </w:pPr>
      <w:r w:rsidRPr="008762B5">
        <w:rPr>
          <w:i/>
        </w:rPr>
        <w:t>Article 10.5.2</w:t>
      </w:r>
      <w:r w:rsidRPr="008762B5">
        <w:t>: Where Article 10.5.1.2 does not apply (i.e. the prohibited substance cannot be shown to have come from a “contaminated product”) but the athlete can demonstrate no significant fault or negligence</w:t>
      </w:r>
      <w:r w:rsidR="00A81C15" w:rsidRPr="008762B5">
        <w:t>,</w:t>
      </w:r>
      <w:r w:rsidRPr="008762B5">
        <w:t xml:space="preserve"> there m</w:t>
      </w:r>
      <w:r w:rsidR="00AA7B6D" w:rsidRPr="008762B5">
        <w:t xml:space="preserve">ay be discretion to reduce the </w:t>
      </w:r>
      <w:r w:rsidRPr="008762B5">
        <w:t>base sanction</w:t>
      </w:r>
      <w:r w:rsidR="00AA7B6D" w:rsidRPr="008762B5">
        <w:t xml:space="preserve"> by up to a half i.e. two years’</w:t>
      </w:r>
      <w:r w:rsidRPr="008762B5">
        <w:t xml:space="preserve"> ineligibility.</w:t>
      </w:r>
      <w:r w:rsidRPr="008762B5">
        <w:rPr>
          <w:rStyle w:val="FootnoteReference"/>
        </w:rPr>
        <w:footnoteReference w:id="56"/>
      </w:r>
    </w:p>
    <w:p w14:paraId="0A81407D" w14:textId="77777777" w:rsidR="009A18B7" w:rsidRPr="009A18B7" w:rsidRDefault="009A18B7" w:rsidP="005F57A1">
      <w:pPr>
        <w:spacing w:after="0"/>
      </w:pPr>
    </w:p>
    <w:p w14:paraId="71F7BDEB" w14:textId="77777777" w:rsidR="00A07A8F" w:rsidRDefault="009A18B7" w:rsidP="00A07A8F">
      <w:pPr>
        <w:spacing w:after="0"/>
        <w:rPr>
          <w:b/>
          <w:i/>
        </w:rPr>
      </w:pPr>
      <w:r w:rsidRPr="009A18B7">
        <w:t xml:space="preserve">At first glance this would suggest the revisions </w:t>
      </w:r>
      <w:r w:rsidR="004B4B67">
        <w:t xml:space="preserve">included in the WADC 2015 </w:t>
      </w:r>
      <w:r w:rsidRPr="009A18B7">
        <w:t xml:space="preserve">have taken account of the </w:t>
      </w:r>
      <w:r w:rsidRPr="009A18B7">
        <w:rPr>
          <w:i/>
        </w:rPr>
        <w:t>Contador</w:t>
      </w:r>
      <w:r w:rsidR="00A81C15">
        <w:t xml:space="preserve"> case;</w:t>
      </w:r>
      <w:r w:rsidRPr="009A18B7">
        <w:t xml:space="preserve"> </w:t>
      </w:r>
      <w:r w:rsidR="004B4B67">
        <w:t>while</w:t>
      </w:r>
      <w:r w:rsidR="00A81C15">
        <w:t xml:space="preserve"> the new Code </w:t>
      </w:r>
      <w:r w:rsidRPr="009A18B7">
        <w:t xml:space="preserve">provides a stiffer sanction for first-time offences, there is a greater flexibility </w:t>
      </w:r>
      <w:r w:rsidR="00DC2C65">
        <w:t>to cover</w:t>
      </w:r>
      <w:r w:rsidRPr="009A18B7">
        <w:t xml:space="preserve"> case</w:t>
      </w:r>
      <w:r w:rsidR="00DC2C65">
        <w:t>s involving</w:t>
      </w:r>
      <w:r w:rsidRPr="009A18B7">
        <w:t xml:space="preserve"> “contaminated products” or where no significant fault or negligence can be shown. So far so good, but what is the effect in practice?</w:t>
      </w:r>
      <w:r w:rsidR="00973C78" w:rsidRPr="00973C78">
        <w:rPr>
          <w:b/>
          <w:i/>
        </w:rPr>
        <w:t xml:space="preserve"> </w:t>
      </w:r>
    </w:p>
    <w:p w14:paraId="061187AB" w14:textId="77777777" w:rsidR="00A07A8F" w:rsidRDefault="00A07A8F" w:rsidP="00A07A8F">
      <w:pPr>
        <w:spacing w:after="0"/>
        <w:rPr>
          <w:b/>
          <w:i/>
        </w:rPr>
      </w:pPr>
    </w:p>
    <w:p w14:paraId="3726E74B" w14:textId="483DCDEB" w:rsidR="00973C78" w:rsidRPr="009A18B7" w:rsidRDefault="00973C78" w:rsidP="00A07A8F">
      <w:pPr>
        <w:spacing w:after="0"/>
        <w:rPr>
          <w:b/>
          <w:i/>
        </w:rPr>
      </w:pPr>
      <w:r w:rsidRPr="009A18B7">
        <w:rPr>
          <w:b/>
          <w:i/>
        </w:rPr>
        <w:t xml:space="preserve">Applying the </w:t>
      </w:r>
      <w:r>
        <w:rPr>
          <w:b/>
          <w:i/>
        </w:rPr>
        <w:t>WADC 2015</w:t>
      </w:r>
      <w:r w:rsidRPr="009A18B7">
        <w:rPr>
          <w:b/>
          <w:i/>
        </w:rPr>
        <w:t xml:space="preserve"> to Contador</w:t>
      </w:r>
    </w:p>
    <w:p w14:paraId="65A50662" w14:textId="77777777" w:rsidR="0099165D" w:rsidRDefault="00973C78" w:rsidP="00A07A8F">
      <w:pPr>
        <w:spacing w:after="0"/>
        <w:sectPr w:rsidR="0099165D" w:rsidSect="00060B7E">
          <w:headerReference w:type="even" r:id="rId10"/>
          <w:headerReference w:type="default" r:id="rId11"/>
          <w:footerReference w:type="even" r:id="rId12"/>
          <w:footerReference w:type="default" r:id="rId13"/>
          <w:headerReference w:type="first" r:id="rId14"/>
          <w:footerReference w:type="first" r:id="rId15"/>
          <w:pgSz w:w="11906" w:h="16838"/>
          <w:pgMar w:top="1440" w:right="1077" w:bottom="851" w:left="1077" w:header="425" w:footer="709" w:gutter="0"/>
          <w:cols w:space="720"/>
          <w:titlePg/>
          <w:docGrid w:linePitch="360"/>
        </w:sectPr>
      </w:pPr>
      <w:r w:rsidRPr="009A18B7">
        <w:t>Fig. 1 illustrates an indicative – and highly simplified – schematic of the possible sanctioning outcomes arising from an application of the new WADC 2015 to the facts of the Contador case:</w:t>
      </w:r>
      <w:r>
        <w:t xml:space="preserve"> </w:t>
      </w:r>
    </w:p>
    <w:p w14:paraId="34229E2A" w14:textId="5EF997DF" w:rsidR="00973C78" w:rsidRPr="009A18B7" w:rsidRDefault="007340E0" w:rsidP="0099165D">
      <w:pPr>
        <w:spacing w:after="60"/>
      </w:pPr>
      <w:r>
        <w:rPr>
          <w:noProof/>
          <w:color w:val="C00000"/>
          <w:lang w:eastAsia="en-GB"/>
        </w:rPr>
        <mc:AlternateContent>
          <mc:Choice Requires="wps">
            <w:drawing>
              <wp:anchor distT="0" distB="0" distL="114300" distR="114300" simplePos="0" relativeHeight="251660288" behindDoc="0" locked="0" layoutInCell="1" allowOverlap="1" wp14:anchorId="5554F211" wp14:editId="3C4C8791">
                <wp:simplePos x="0" y="0"/>
                <wp:positionH relativeFrom="column">
                  <wp:posOffset>3090545</wp:posOffset>
                </wp:positionH>
                <wp:positionV relativeFrom="paragraph">
                  <wp:posOffset>2591435</wp:posOffset>
                </wp:positionV>
                <wp:extent cx="122555" cy="273050"/>
                <wp:effectExtent l="4445" t="1905" r="6350" b="12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273050"/>
                        </a:xfrm>
                        <a:prstGeom prst="downArrow">
                          <a:avLst>
                            <a:gd name="adj1" fmla="val 50000"/>
                            <a:gd name="adj2" fmla="val 55699"/>
                          </a:avLst>
                        </a:prstGeom>
                        <a:solidFill>
                          <a:schemeClr val="accent1">
                            <a:lumMod val="100000"/>
                            <a:lumOff val="0"/>
                          </a:schemeClr>
                        </a:solidFill>
                        <a:ln>
                          <a:noFill/>
                        </a:ln>
                        <a:effectLst/>
                        <a:extLst>
                          <a:ext uri="{91240B29-F687-4F45-9708-019B960494DF}">
                            <a14:hiddenLine xmlns:a14="http://schemas.microsoft.com/office/drawing/2010/main" w="9525">
                              <a:solidFill>
                                <a:schemeClr val="lt1">
                                  <a:lumMod val="95000"/>
                                  <a:lumOff val="0"/>
                                </a:schemeClr>
                              </a:solidFill>
                              <a:miter lim="800000"/>
                              <a:headEnd/>
                              <a:tailEnd/>
                            </a14:hiddenLine>
                          </a:ext>
                          <a:ext uri="{AF507438-7753-43E0-B8FC-AC1667EBCBE1}">
                            <a14:hiddenEffects xmlns:a14="http://schemas.microsoft.com/office/drawing/2010/main">
                              <a:effectLst>
                                <a:outerShdw dist="17961" dir="13500000" algn="ctr" rotWithShape="0">
                                  <a:schemeClr val="accent1">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DA6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243.35pt;margin-top:204.05pt;width:9.6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" fillcolor="#4f81bd [3204]" stroked="f" strokecolor="#f2f2f2 [3041]">
                <v:shadow color="#243f60 [1604]" opacity=".5" offset="-1pt,-1pt"/>
                <v:textbox style="layout-flow:vertical-ideographic"/>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5AD1753" wp14:editId="0D3A9079">
                <wp:simplePos x="0" y="0"/>
                <wp:positionH relativeFrom="column">
                  <wp:posOffset>-209550</wp:posOffset>
                </wp:positionH>
                <wp:positionV relativeFrom="paragraph">
                  <wp:posOffset>-163195</wp:posOffset>
                </wp:positionV>
                <wp:extent cx="9467850" cy="52387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7850" cy="5238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F576A" id="Rectangle 8" o:spid="_x0000_s1026" style="position:absolute;margin-left:-16.5pt;margin-top:-12.85pt;width:745.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" filled="f" strokecolor="black [3213]" strokeweight="1.5pt">
                <v:path arrowok="t"/>
              </v:rect>
            </w:pict>
          </mc:Fallback>
        </mc:AlternateContent>
      </w:r>
      <w:r w:rsidR="00973C78">
        <w:rPr>
          <w:noProof/>
          <w:color w:val="C00000"/>
          <w:lang w:eastAsia="en-GB"/>
        </w:rPr>
        <w:drawing>
          <wp:inline distT="0" distB="0" distL="0" distR="0" wp14:anchorId="0027B3E8" wp14:editId="66E1B122">
            <wp:extent cx="9229725" cy="479107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F1A7B10" w14:textId="13F692A9" w:rsidR="00973C78" w:rsidRDefault="00973C78" w:rsidP="00973C78">
      <w:pPr>
        <w:jc w:val="right"/>
        <w:rPr>
          <w:b/>
        </w:rPr>
      </w:pPr>
    </w:p>
    <w:p w14:paraId="26F47A40" w14:textId="77777777" w:rsidR="0099165D" w:rsidRDefault="00973C78" w:rsidP="0099165D">
      <w:pPr>
        <w:spacing w:after="0"/>
        <w:jc w:val="right"/>
        <w:rPr>
          <w:b/>
          <w:i/>
        </w:rPr>
        <w:sectPr w:rsidR="0099165D" w:rsidSect="0099165D">
          <w:pgSz w:w="16838" w:h="11906" w:orient="landscape" w:code="9"/>
          <w:pgMar w:top="1077" w:right="851" w:bottom="1077" w:left="1440" w:header="425" w:footer="709" w:gutter="0"/>
          <w:cols w:space="720"/>
          <w:docGrid w:linePitch="360"/>
        </w:sectPr>
      </w:pPr>
      <w:r w:rsidRPr="001D510B">
        <w:rPr>
          <w:b/>
        </w:rPr>
        <w:t>Fig. 1</w:t>
      </w:r>
      <w:r>
        <w:rPr>
          <w:b/>
        </w:rPr>
        <w:t>:</w:t>
      </w:r>
      <w:r w:rsidRPr="001D510B">
        <w:rPr>
          <w:b/>
        </w:rPr>
        <w:t xml:space="preserve"> Applying the WADC 2015 to </w:t>
      </w:r>
      <w:r w:rsidRPr="001D510B">
        <w:rPr>
          <w:b/>
          <w:i/>
        </w:rPr>
        <w:t>Contador</w:t>
      </w:r>
      <w:r w:rsidR="00060B7E">
        <w:rPr>
          <w:b/>
          <w:i/>
        </w:rPr>
        <w:t xml:space="preserve"> </w:t>
      </w:r>
    </w:p>
    <w:p w14:paraId="111A5189" w14:textId="4A227513" w:rsidR="00555263" w:rsidRDefault="00D22DD3" w:rsidP="00060B7E">
      <w:pPr>
        <w:spacing w:after="0"/>
        <w:rPr>
          <w:color w:val="C00000"/>
        </w:rPr>
      </w:pPr>
      <w:r w:rsidRPr="008762B5">
        <w:t>Fig. 1</w:t>
      </w:r>
      <w:r w:rsidR="00F941AF" w:rsidRPr="008762B5">
        <w:t xml:space="preserve"> indicates that u</w:t>
      </w:r>
      <w:r w:rsidR="00C8565F" w:rsidRPr="008762B5">
        <w:t>nder</w:t>
      </w:r>
      <w:r w:rsidR="000E4A50" w:rsidRPr="008762B5">
        <w:t xml:space="preserve"> the new Code</w:t>
      </w:r>
      <w:r w:rsidR="00C8565F" w:rsidRPr="008762B5">
        <w:t xml:space="preserve"> –</w:t>
      </w:r>
      <w:r w:rsidR="005F123F" w:rsidRPr="008762B5">
        <w:t xml:space="preserve"> </w:t>
      </w:r>
      <w:r w:rsidR="00C8565F" w:rsidRPr="008762B5">
        <w:t xml:space="preserve">in particular the new provisions </w:t>
      </w:r>
      <w:r w:rsidR="00591824" w:rsidRPr="008762B5">
        <w:t xml:space="preserve">on </w:t>
      </w:r>
      <w:r w:rsidR="000C4C5B">
        <w:t>“</w:t>
      </w:r>
      <w:r w:rsidR="00591824" w:rsidRPr="008762B5">
        <w:t xml:space="preserve">contaminated </w:t>
      </w:r>
      <w:r w:rsidR="000C4C5B">
        <w:t>products”</w:t>
      </w:r>
      <w:r w:rsidR="00591824" w:rsidRPr="008762B5">
        <w:t xml:space="preserve"> </w:t>
      </w:r>
      <w:r w:rsidR="00C8565F" w:rsidRPr="008762B5">
        <w:t>contained within Article 10.5.1</w:t>
      </w:r>
      <w:r w:rsidR="005F123F" w:rsidRPr="008762B5">
        <w:t>.2</w:t>
      </w:r>
      <w:r w:rsidR="00C8565F" w:rsidRPr="008762B5">
        <w:t xml:space="preserve"> –</w:t>
      </w:r>
      <w:r w:rsidR="00F941AF" w:rsidRPr="008762B5">
        <w:t xml:space="preserve"> </w:t>
      </w:r>
      <w:r w:rsidR="000E4A50" w:rsidRPr="008762B5">
        <w:t xml:space="preserve">Contador would </w:t>
      </w:r>
      <w:r w:rsidR="00F941AF" w:rsidRPr="008762B5">
        <w:t xml:space="preserve">likely </w:t>
      </w:r>
      <w:r w:rsidR="000E4A50" w:rsidRPr="008762B5">
        <w:t>have received a sanction ranging from a reprimand up to a ma</w:t>
      </w:r>
      <w:r w:rsidR="00500566" w:rsidRPr="008762B5">
        <w:t>ximum of two</w:t>
      </w:r>
      <w:r w:rsidR="00C8565F" w:rsidRPr="008762B5">
        <w:t xml:space="preserve"> years’ ineligibility</w:t>
      </w:r>
      <w:r w:rsidR="00591824" w:rsidRPr="008762B5">
        <w:t>,</w:t>
      </w:r>
      <w:r w:rsidR="00C8565F" w:rsidRPr="008762B5">
        <w:t xml:space="preserve"> depending on the degree of fault </w:t>
      </w:r>
      <w:r w:rsidR="00591824" w:rsidRPr="008762B5">
        <w:t xml:space="preserve">found by </w:t>
      </w:r>
      <w:r w:rsidR="00C8565F" w:rsidRPr="008762B5">
        <w:t>the Panel</w:t>
      </w:r>
      <w:r w:rsidR="005F123F" w:rsidRPr="008762B5">
        <w:t xml:space="preserve"> (highlighted in green in Fig. 1). </w:t>
      </w:r>
      <w:r w:rsidR="00555263" w:rsidRPr="008762B5">
        <w:t xml:space="preserve">This outcome would also </w:t>
      </w:r>
      <w:r w:rsidR="00524837" w:rsidRPr="008762B5">
        <w:t>appear</w:t>
      </w:r>
      <w:r w:rsidR="00500566" w:rsidRPr="008762B5">
        <w:t xml:space="preserve"> to </w:t>
      </w:r>
      <w:r w:rsidR="00555263" w:rsidRPr="008762B5">
        <w:t xml:space="preserve">fit with the sanctioning example contained within the WADC 2015 </w:t>
      </w:r>
      <w:r w:rsidR="00F941AF" w:rsidRPr="008762B5">
        <w:t xml:space="preserve">and </w:t>
      </w:r>
      <w:r w:rsidR="00555263" w:rsidRPr="008762B5">
        <w:t xml:space="preserve">which resembles closely the </w:t>
      </w:r>
      <w:r w:rsidR="00555263" w:rsidRPr="008762B5">
        <w:rPr>
          <w:i/>
        </w:rPr>
        <w:t xml:space="preserve">Contador </w:t>
      </w:r>
      <w:r w:rsidR="00555263" w:rsidRPr="008762B5">
        <w:t>scenario.</w:t>
      </w:r>
      <w:r w:rsidR="00500566" w:rsidRPr="008762B5">
        <w:rPr>
          <w:rStyle w:val="FootnoteReference"/>
        </w:rPr>
        <w:footnoteReference w:id="57"/>
      </w:r>
      <w:r w:rsidR="005F4355">
        <w:t xml:space="preserve"> The Code</w:t>
      </w:r>
      <w:r w:rsidR="00555263" w:rsidRPr="008762B5">
        <w:t xml:space="preserve"> example suggests </w:t>
      </w:r>
      <w:r w:rsidR="00500566" w:rsidRPr="008762B5">
        <w:t xml:space="preserve">that </w:t>
      </w:r>
      <w:r w:rsidR="00555263" w:rsidRPr="008762B5">
        <w:t>a</w:t>
      </w:r>
      <w:r w:rsidR="00500566" w:rsidRPr="008762B5">
        <w:t>pplying the WADC 2015 to a</w:t>
      </w:r>
      <w:r w:rsidR="00555263" w:rsidRPr="008762B5">
        <w:t xml:space="preserve"> similar set of circumstances </w:t>
      </w:r>
      <w:r w:rsidR="007A60DA" w:rsidRPr="008762B5">
        <w:t>might</w:t>
      </w:r>
      <w:r w:rsidR="00500566" w:rsidRPr="008762B5">
        <w:t xml:space="preserve"> </w:t>
      </w:r>
      <w:r w:rsidR="00555263" w:rsidRPr="008762B5">
        <w:t>result in a</w:t>
      </w:r>
      <w:r w:rsidR="00500566" w:rsidRPr="008762B5">
        <w:t>n athlete receiving</w:t>
      </w:r>
      <w:r w:rsidR="00555263" w:rsidRPr="008762B5">
        <w:t xml:space="preserve"> </w:t>
      </w:r>
      <w:r w:rsidR="00500566" w:rsidRPr="008762B5">
        <w:t>a</w:t>
      </w:r>
      <w:r w:rsidR="00353C0C" w:rsidRPr="008762B5">
        <w:t xml:space="preserve"> notional</w:t>
      </w:r>
      <w:r w:rsidR="00500566" w:rsidRPr="008762B5">
        <w:t xml:space="preserve"> </w:t>
      </w:r>
      <w:r w:rsidR="00555263" w:rsidRPr="008762B5">
        <w:t>4-month period of ineligibility</w:t>
      </w:r>
      <w:r w:rsidR="00500566" w:rsidRPr="008762B5">
        <w:t xml:space="preserve"> under Article 10.5.1</w:t>
      </w:r>
      <w:r w:rsidR="00524837" w:rsidRPr="008762B5">
        <w:t>.</w:t>
      </w:r>
      <w:r w:rsidR="00500566" w:rsidRPr="008762B5">
        <w:t>2</w:t>
      </w:r>
      <w:r w:rsidR="00555263" w:rsidRPr="008762B5">
        <w:t>.</w:t>
      </w:r>
      <w:r w:rsidR="00500566" w:rsidRPr="008762B5">
        <w:rPr>
          <w:rStyle w:val="FootnoteReference"/>
          <w:color w:val="C00000"/>
        </w:rPr>
        <w:t xml:space="preserve"> </w:t>
      </w:r>
      <w:r w:rsidR="00500566" w:rsidRPr="008762B5">
        <w:rPr>
          <w:rStyle w:val="FootnoteReference"/>
        </w:rPr>
        <w:footnoteReference w:id="58"/>
      </w:r>
    </w:p>
    <w:p w14:paraId="555C1F1D" w14:textId="77777777" w:rsidR="005E4F19" w:rsidRPr="008762B5" w:rsidRDefault="005E4F19" w:rsidP="00060B7E">
      <w:pPr>
        <w:spacing w:after="0"/>
      </w:pPr>
    </w:p>
    <w:p w14:paraId="39B6C099" w14:textId="0466DE0E" w:rsidR="000E4A50" w:rsidRDefault="00591824" w:rsidP="005E4F19">
      <w:pPr>
        <w:spacing w:after="0"/>
      </w:pPr>
      <w:r w:rsidRPr="008762B5">
        <w:t>Seen i</w:t>
      </w:r>
      <w:r w:rsidR="00C8565F" w:rsidRPr="008762B5">
        <w:t>n this light</w:t>
      </w:r>
      <w:r w:rsidR="004D1B3B" w:rsidRPr="008762B5">
        <w:t>,</w:t>
      </w:r>
      <w:r w:rsidR="00C8565F" w:rsidRPr="008762B5">
        <w:t xml:space="preserve"> the </w:t>
      </w:r>
      <w:r w:rsidR="004D1B3B" w:rsidRPr="008762B5">
        <w:t>WADC 2015</w:t>
      </w:r>
      <w:r w:rsidR="000E4A50" w:rsidRPr="008762B5">
        <w:t xml:space="preserve"> undoubtedly provides much greater </w:t>
      </w:r>
      <w:r w:rsidR="004D1B3B" w:rsidRPr="008762B5">
        <w:t>flexibility and</w:t>
      </w:r>
      <w:r w:rsidR="000E4A50" w:rsidRPr="008762B5">
        <w:t xml:space="preserve"> </w:t>
      </w:r>
      <w:r w:rsidR="004D1B3B" w:rsidRPr="008762B5">
        <w:t>addresses</w:t>
      </w:r>
      <w:r w:rsidR="000E4A50" w:rsidRPr="008762B5">
        <w:t xml:space="preserve"> a number of the issues highlighted in the application of the WADC 2009</w:t>
      </w:r>
      <w:r w:rsidR="004D1B3B" w:rsidRPr="008762B5">
        <w:t xml:space="preserve"> to </w:t>
      </w:r>
      <w:r w:rsidR="004D1B3B" w:rsidRPr="008762B5">
        <w:rPr>
          <w:i/>
        </w:rPr>
        <w:t>Contador</w:t>
      </w:r>
      <w:r w:rsidR="00C8565F" w:rsidRPr="008762B5">
        <w:t>,</w:t>
      </w:r>
      <w:r w:rsidR="000E4A50" w:rsidRPr="008762B5">
        <w:t xml:space="preserve"> notably the difficulty in engaging provisions designed to mitigate sanctions </w:t>
      </w:r>
      <w:r w:rsidR="00500566" w:rsidRPr="008762B5">
        <w:t>in cases of</w:t>
      </w:r>
      <w:r w:rsidR="00C8565F" w:rsidRPr="008762B5">
        <w:t xml:space="preserve"> limited fault or negligence</w:t>
      </w:r>
      <w:r w:rsidR="000E4A50" w:rsidRPr="008762B5">
        <w:t>.</w:t>
      </w:r>
      <w:r w:rsidR="00DA386D" w:rsidRPr="008762B5">
        <w:t xml:space="preserve"> This is achieved principally by removing the explicit requirement for an athlete to prove how a </w:t>
      </w:r>
      <w:r w:rsidR="00F941AF" w:rsidRPr="008762B5">
        <w:t xml:space="preserve">prohibited </w:t>
      </w:r>
      <w:r w:rsidR="00DA386D" w:rsidRPr="008762B5">
        <w:t xml:space="preserve">substance was ingested </w:t>
      </w:r>
      <w:r w:rsidR="009C36EB" w:rsidRPr="008762B5">
        <w:t xml:space="preserve">(Article 10.5.2) </w:t>
      </w:r>
      <w:r w:rsidR="00DA386D" w:rsidRPr="008762B5">
        <w:t>in order to qualify for a fault-based reduction.</w:t>
      </w:r>
      <w:r w:rsidR="00DA386D" w:rsidRPr="008762B5">
        <w:rPr>
          <w:rStyle w:val="FootnoteReference"/>
        </w:rPr>
        <w:footnoteReference w:id="59"/>
      </w:r>
    </w:p>
    <w:p w14:paraId="5E0F4010" w14:textId="77777777" w:rsidR="005E4F19" w:rsidRPr="008762B5" w:rsidRDefault="005E4F19" w:rsidP="005E4F19">
      <w:pPr>
        <w:spacing w:after="0"/>
      </w:pPr>
    </w:p>
    <w:p w14:paraId="41DA97CE" w14:textId="146E01E7" w:rsidR="00714D28" w:rsidRDefault="00C8565F" w:rsidP="005E4F19">
      <w:pPr>
        <w:spacing w:after="0"/>
      </w:pPr>
      <w:r w:rsidRPr="008762B5">
        <w:t xml:space="preserve">In </w:t>
      </w:r>
      <w:r w:rsidR="00524837" w:rsidRPr="008762B5">
        <w:t>a</w:t>
      </w:r>
      <w:r w:rsidR="000E4A50" w:rsidRPr="008762B5">
        <w:t xml:space="preserve"> sense this should not be surprising. </w:t>
      </w:r>
      <w:r w:rsidR="00AE1891" w:rsidRPr="008762B5">
        <w:t xml:space="preserve"> </w:t>
      </w:r>
      <w:r w:rsidR="000E4A50" w:rsidRPr="008762B5">
        <w:t xml:space="preserve">Given the </w:t>
      </w:r>
      <w:r w:rsidR="00555263" w:rsidRPr="008762B5">
        <w:t>huge</w:t>
      </w:r>
      <w:r w:rsidR="000E4A50" w:rsidRPr="008762B5">
        <w:t xml:space="preserve"> media interest in the case</w:t>
      </w:r>
      <w:r w:rsidR="00555263" w:rsidRPr="008762B5">
        <w:t xml:space="preserve"> and its outcome</w:t>
      </w:r>
      <w:r w:rsidRPr="008762B5">
        <w:t>,</w:t>
      </w:r>
      <w:r w:rsidR="000E4A50" w:rsidRPr="008762B5">
        <w:t xml:space="preserve"> it is clear </w:t>
      </w:r>
      <w:r w:rsidR="000E4A50" w:rsidRPr="008762B5">
        <w:rPr>
          <w:i/>
        </w:rPr>
        <w:t>Contador</w:t>
      </w:r>
      <w:r w:rsidR="004D1B3B" w:rsidRPr="008762B5">
        <w:t xml:space="preserve"> has had</w:t>
      </w:r>
      <w:r w:rsidR="000E4A50" w:rsidRPr="008762B5">
        <w:t xml:space="preserve"> a profound influence on the recasting of the sanctioning</w:t>
      </w:r>
      <w:r w:rsidR="00EA025F" w:rsidRPr="008762B5">
        <w:t xml:space="preserve"> elements within the WADC 2015. </w:t>
      </w:r>
      <w:r w:rsidR="000F2208" w:rsidRPr="008762B5">
        <w:t xml:space="preserve">Nonetheless, while the revisions to </w:t>
      </w:r>
      <w:r w:rsidR="00353F79" w:rsidRPr="008762B5">
        <w:t xml:space="preserve">the </w:t>
      </w:r>
      <w:r w:rsidR="00555263" w:rsidRPr="008762B5">
        <w:t xml:space="preserve">WADC 2015 </w:t>
      </w:r>
      <w:r w:rsidR="00353F79" w:rsidRPr="008762B5">
        <w:t>go some way to</w:t>
      </w:r>
      <w:r w:rsidR="00A75F26" w:rsidRPr="008762B5">
        <w:t>wards</w:t>
      </w:r>
      <w:r w:rsidR="00353F79" w:rsidRPr="008762B5">
        <w:t xml:space="preserve"> addressing the </w:t>
      </w:r>
      <w:r w:rsidR="009C36EB" w:rsidRPr="008762B5">
        <w:t xml:space="preserve">problems arising from </w:t>
      </w:r>
      <w:r w:rsidR="009C36EB" w:rsidRPr="008762B5">
        <w:rPr>
          <w:i/>
        </w:rPr>
        <w:t>Contador</w:t>
      </w:r>
      <w:r w:rsidR="004D1B3B" w:rsidRPr="008762B5">
        <w:t xml:space="preserve">, </w:t>
      </w:r>
      <w:r w:rsidR="009C36EB" w:rsidRPr="008762B5">
        <w:t>they do not represent</w:t>
      </w:r>
      <w:r w:rsidR="004D1B3B" w:rsidRPr="008762B5">
        <w:t xml:space="preserve"> the end of the story. </w:t>
      </w:r>
      <w:r w:rsidR="004C1BE7" w:rsidRPr="008762B5">
        <w:t>On closer examination of</w:t>
      </w:r>
      <w:r w:rsidR="00714D28" w:rsidRPr="008762B5">
        <w:t xml:space="preserve"> </w:t>
      </w:r>
      <w:r w:rsidR="00374A4E" w:rsidRPr="008762B5">
        <w:t xml:space="preserve">the </w:t>
      </w:r>
      <w:r w:rsidR="00D20837" w:rsidRPr="008762B5">
        <w:t xml:space="preserve">specific </w:t>
      </w:r>
      <w:r w:rsidR="00374A4E" w:rsidRPr="008762B5">
        <w:t xml:space="preserve">arguments presented in </w:t>
      </w:r>
      <w:r w:rsidR="00714D28" w:rsidRPr="008762B5">
        <w:rPr>
          <w:i/>
        </w:rPr>
        <w:t>Contador</w:t>
      </w:r>
      <w:r w:rsidR="00714D28" w:rsidRPr="008762B5">
        <w:t xml:space="preserve">, </w:t>
      </w:r>
      <w:r w:rsidR="00374A4E" w:rsidRPr="008762B5">
        <w:t>two</w:t>
      </w:r>
      <w:r w:rsidR="000F2208" w:rsidRPr="008762B5">
        <w:t xml:space="preserve"> </w:t>
      </w:r>
      <w:r w:rsidR="009C36EB" w:rsidRPr="008762B5">
        <w:t>related</w:t>
      </w:r>
      <w:r w:rsidR="000F2208" w:rsidRPr="008762B5">
        <w:t xml:space="preserve"> problems remain.</w:t>
      </w:r>
      <w:r w:rsidR="00340242" w:rsidRPr="008762B5">
        <w:t xml:space="preserve"> Taken together these could result in a harsher sanction being applied </w:t>
      </w:r>
      <w:r w:rsidR="007519F2" w:rsidRPr="008762B5">
        <w:t xml:space="preserve">under the WADC 2015 </w:t>
      </w:r>
      <w:r w:rsidR="00340242" w:rsidRPr="008762B5">
        <w:t xml:space="preserve">to an athlete that finds themselves in </w:t>
      </w:r>
      <w:r w:rsidR="007519F2" w:rsidRPr="008762B5">
        <w:t>similar</w:t>
      </w:r>
      <w:r w:rsidR="00340242" w:rsidRPr="008762B5">
        <w:t xml:space="preserve"> circumstances.</w:t>
      </w:r>
    </w:p>
    <w:p w14:paraId="442DF975" w14:textId="77777777" w:rsidR="005E4F19" w:rsidRDefault="005E4F19" w:rsidP="005E4F19">
      <w:pPr>
        <w:spacing w:after="0"/>
      </w:pPr>
    </w:p>
    <w:p w14:paraId="6667BE94" w14:textId="77777777" w:rsidR="007F661B" w:rsidRDefault="00F941AF" w:rsidP="00374A4E">
      <w:pPr>
        <w:spacing w:after="0"/>
      </w:pPr>
      <w:r w:rsidRPr="008762B5">
        <w:t xml:space="preserve">First, </w:t>
      </w:r>
      <w:r w:rsidR="00714D28" w:rsidRPr="008762B5">
        <w:t xml:space="preserve">engaging article 10.5.1.2 </w:t>
      </w:r>
      <w:r w:rsidR="009C36EB" w:rsidRPr="008762B5">
        <w:t xml:space="preserve">still </w:t>
      </w:r>
      <w:r w:rsidR="00714D28" w:rsidRPr="008762B5">
        <w:t>requires that</w:t>
      </w:r>
      <w:r w:rsidR="007F661B">
        <w:t>:</w:t>
      </w:r>
    </w:p>
    <w:p w14:paraId="6639C8BE" w14:textId="77777777" w:rsidR="007F661B" w:rsidRDefault="00714D28" w:rsidP="007F661B">
      <w:pPr>
        <w:spacing w:before="120" w:after="0"/>
        <w:ind w:left="426"/>
      </w:pPr>
      <w:r w:rsidRPr="008762B5">
        <w:t>“</w:t>
      </w:r>
      <w:proofErr w:type="gramStart"/>
      <w:r w:rsidRPr="008762B5">
        <w:rPr>
          <w:i/>
        </w:rPr>
        <w:t>the</w:t>
      </w:r>
      <w:proofErr w:type="gramEnd"/>
      <w:r w:rsidRPr="008762B5">
        <w:rPr>
          <w:i/>
        </w:rPr>
        <w:t xml:space="preserve"> athlete </w:t>
      </w:r>
      <w:r w:rsidR="008E3425" w:rsidRPr="008762B5">
        <w:rPr>
          <w:i/>
        </w:rPr>
        <w:t xml:space="preserve">or other person </w:t>
      </w:r>
      <w:r w:rsidRPr="008762B5">
        <w:rPr>
          <w:i/>
        </w:rPr>
        <w:t>can establish</w:t>
      </w:r>
      <w:r w:rsidR="008E3425" w:rsidRPr="008762B5">
        <w:rPr>
          <w:i/>
        </w:rPr>
        <w:t xml:space="preserve"> </w:t>
      </w:r>
      <w:r w:rsidR="008E3425" w:rsidRPr="008762B5">
        <w:t xml:space="preserve">no significant fault or negligence </w:t>
      </w:r>
      <w:r w:rsidR="008E3425" w:rsidRPr="008762B5">
        <w:rPr>
          <w:i/>
        </w:rPr>
        <w:t xml:space="preserve">and </w:t>
      </w:r>
      <w:r w:rsidRPr="008762B5">
        <w:t>that</w:t>
      </w:r>
      <w:r w:rsidR="008E3425" w:rsidRPr="008762B5">
        <w:t xml:space="preserve"> the detected prohibited substance came from a contaminated p</w:t>
      </w:r>
      <w:r w:rsidRPr="008762B5">
        <w:t>roduct</w:t>
      </w:r>
      <w:r w:rsidR="00B4414C" w:rsidRPr="008762B5">
        <w:t>…</w:t>
      </w:r>
      <w:r w:rsidRPr="008762B5">
        <w:t>” (</w:t>
      </w:r>
      <w:proofErr w:type="gramStart"/>
      <w:r w:rsidRPr="008762B5">
        <w:t>emphasis</w:t>
      </w:r>
      <w:proofErr w:type="gramEnd"/>
      <w:r w:rsidRPr="008762B5">
        <w:t xml:space="preserve"> added)</w:t>
      </w:r>
      <w:r w:rsidR="00564554" w:rsidRPr="008762B5">
        <w:t>.</w:t>
      </w:r>
      <w:r w:rsidR="00353C0C" w:rsidRPr="008762B5">
        <w:rPr>
          <w:rStyle w:val="FootnoteReference"/>
        </w:rPr>
        <w:footnoteReference w:id="60"/>
      </w:r>
      <w:r w:rsidR="00564554" w:rsidRPr="008762B5">
        <w:t xml:space="preserve"> </w:t>
      </w:r>
    </w:p>
    <w:p w14:paraId="3FD5BCC9" w14:textId="77777777" w:rsidR="007F661B" w:rsidRDefault="007F661B" w:rsidP="00374A4E">
      <w:pPr>
        <w:spacing w:after="0"/>
      </w:pPr>
    </w:p>
    <w:p w14:paraId="2433879D" w14:textId="51D6FDDC" w:rsidR="009C36EB" w:rsidRPr="008762B5" w:rsidRDefault="008E3425" w:rsidP="00374A4E">
      <w:pPr>
        <w:spacing w:after="0"/>
      </w:pPr>
      <w:r w:rsidRPr="008762B5">
        <w:t>As such</w:t>
      </w:r>
      <w:r w:rsidR="00564554" w:rsidRPr="008762B5">
        <w:t xml:space="preserve">, </w:t>
      </w:r>
      <w:r w:rsidR="00B4414C" w:rsidRPr="008762B5">
        <w:t xml:space="preserve">a strict rendering of this article </w:t>
      </w:r>
      <w:r w:rsidR="00BF06D0" w:rsidRPr="008762B5">
        <w:t>indicates</w:t>
      </w:r>
      <w:r w:rsidR="00B4414C" w:rsidRPr="008762B5">
        <w:t xml:space="preserve"> its </w:t>
      </w:r>
      <w:r w:rsidR="00564554" w:rsidRPr="008762B5">
        <w:t xml:space="preserve">application </w:t>
      </w:r>
      <w:r w:rsidR="00B4414C" w:rsidRPr="008762B5">
        <w:t>is</w:t>
      </w:r>
      <w:r w:rsidR="009C36EB" w:rsidRPr="008762B5">
        <w:t xml:space="preserve"> contingent </w:t>
      </w:r>
      <w:r w:rsidR="007519F2" w:rsidRPr="008762B5">
        <w:t>up</w:t>
      </w:r>
      <w:r w:rsidR="009C36EB" w:rsidRPr="008762B5">
        <w:t>on an</w:t>
      </w:r>
      <w:r w:rsidR="00564554" w:rsidRPr="008762B5">
        <w:t xml:space="preserve"> athlete being able to demonstrate that a contamin</w:t>
      </w:r>
      <w:r w:rsidR="00B4414C" w:rsidRPr="008762B5">
        <w:t>at</w:t>
      </w:r>
      <w:r w:rsidR="00564554" w:rsidRPr="008762B5">
        <w:t>ed product was the source o</w:t>
      </w:r>
      <w:r w:rsidR="009C36EB" w:rsidRPr="008762B5">
        <w:t>f their</w:t>
      </w:r>
      <w:r w:rsidR="00564554" w:rsidRPr="008762B5">
        <w:t xml:space="preserve"> adverse finding. </w:t>
      </w:r>
      <w:r w:rsidR="00B4414C" w:rsidRPr="008762B5">
        <w:t xml:space="preserve">As discussed, </w:t>
      </w:r>
      <w:r w:rsidR="00564554" w:rsidRPr="008762B5">
        <w:t xml:space="preserve">Contador </w:t>
      </w:r>
      <w:r w:rsidR="00B4414C" w:rsidRPr="008762B5">
        <w:t xml:space="preserve">did not argue </w:t>
      </w:r>
      <w:r w:rsidR="000F2208" w:rsidRPr="008762B5">
        <w:t xml:space="preserve">that </w:t>
      </w:r>
      <w:r w:rsidR="00374A4E" w:rsidRPr="008762B5">
        <w:t xml:space="preserve">his adverse finding </w:t>
      </w:r>
      <w:r w:rsidR="000F2208" w:rsidRPr="008762B5">
        <w:t xml:space="preserve">was caused by </w:t>
      </w:r>
      <w:r w:rsidR="00374A4E" w:rsidRPr="008762B5">
        <w:t xml:space="preserve">a contaminated product and </w:t>
      </w:r>
      <w:r w:rsidR="00564554" w:rsidRPr="008762B5">
        <w:t xml:space="preserve">there </w:t>
      </w:r>
      <w:r w:rsidR="009C36EB" w:rsidRPr="008762B5">
        <w:t xml:space="preserve">existed </w:t>
      </w:r>
      <w:r w:rsidR="00564554" w:rsidRPr="008762B5">
        <w:t xml:space="preserve">no </w:t>
      </w:r>
      <w:r w:rsidR="00183431">
        <w:t xml:space="preserve">specific, </w:t>
      </w:r>
      <w:r w:rsidR="00B4414C" w:rsidRPr="008762B5">
        <w:t xml:space="preserve">direct </w:t>
      </w:r>
      <w:r w:rsidR="00564554" w:rsidRPr="008762B5">
        <w:t xml:space="preserve">evidence </w:t>
      </w:r>
      <w:r w:rsidR="00B4414C" w:rsidRPr="008762B5">
        <w:t>to</w:t>
      </w:r>
      <w:r w:rsidR="00564554" w:rsidRPr="008762B5">
        <w:t xml:space="preserve"> support </w:t>
      </w:r>
      <w:r w:rsidR="00B4414C" w:rsidRPr="008762B5">
        <w:t xml:space="preserve">product </w:t>
      </w:r>
      <w:r w:rsidR="00564554" w:rsidRPr="008762B5">
        <w:t>contamination</w:t>
      </w:r>
      <w:r w:rsidR="00B4414C" w:rsidRPr="008762B5">
        <w:t xml:space="preserve"> as the source</w:t>
      </w:r>
      <w:r w:rsidR="00564554" w:rsidRPr="008762B5">
        <w:t>.</w:t>
      </w:r>
      <w:r w:rsidR="00BF06D0" w:rsidRPr="008762B5">
        <w:rPr>
          <w:rStyle w:val="FootnoteReference"/>
        </w:rPr>
        <w:footnoteReference w:id="61"/>
      </w:r>
      <w:r w:rsidR="00564554" w:rsidRPr="008762B5">
        <w:t xml:space="preserve"> </w:t>
      </w:r>
      <w:r w:rsidR="00184B9F" w:rsidRPr="008762B5">
        <w:t xml:space="preserve">Instead </w:t>
      </w:r>
      <w:r w:rsidR="00EA025F" w:rsidRPr="008762B5">
        <w:t>the P</w:t>
      </w:r>
      <w:r w:rsidR="00184B9F" w:rsidRPr="008762B5">
        <w:t>anel concluded a contaminated supplement w</w:t>
      </w:r>
      <w:r w:rsidR="009C36EB" w:rsidRPr="008762B5">
        <w:t xml:space="preserve">as the most likely explanation and rejected the primary arguments put forward by both the athlete </w:t>
      </w:r>
      <w:r w:rsidR="007519F2" w:rsidRPr="008762B5">
        <w:t xml:space="preserve">himself </w:t>
      </w:r>
      <w:r w:rsidR="009C36EB" w:rsidRPr="008762B5">
        <w:t xml:space="preserve">and </w:t>
      </w:r>
      <w:r w:rsidR="00353C0C" w:rsidRPr="008762B5">
        <w:t>the UCI/WADA</w:t>
      </w:r>
      <w:r w:rsidR="009C36EB" w:rsidRPr="008762B5">
        <w:t>.</w:t>
      </w:r>
    </w:p>
    <w:p w14:paraId="098992CE" w14:textId="77777777" w:rsidR="009C36EB" w:rsidRPr="008762B5" w:rsidRDefault="009C36EB" w:rsidP="00374A4E">
      <w:pPr>
        <w:spacing w:after="0"/>
      </w:pPr>
    </w:p>
    <w:p w14:paraId="3F59BB62" w14:textId="1FD2AF11" w:rsidR="009A0AE4" w:rsidRPr="008762B5" w:rsidRDefault="009C36EB" w:rsidP="009A0AE4">
      <w:pPr>
        <w:spacing w:after="0"/>
      </w:pPr>
      <w:r w:rsidRPr="008762B5">
        <w:t>Second, the base sanction for a violation under Article 2.1 has been increased to four years’ ineligibility.</w:t>
      </w:r>
      <w:r w:rsidR="00017079" w:rsidRPr="008762B5">
        <w:rPr>
          <w:rStyle w:val="FootnoteReference"/>
        </w:rPr>
        <w:footnoteReference w:id="62"/>
      </w:r>
      <w:r w:rsidR="00ED037A" w:rsidRPr="008762B5">
        <w:t xml:space="preserve"> The </w:t>
      </w:r>
      <w:r w:rsidR="007519F2" w:rsidRPr="008762B5">
        <w:t xml:space="preserve">effect of this is </w:t>
      </w:r>
      <w:r w:rsidR="00274B1F" w:rsidRPr="008762B5">
        <w:t xml:space="preserve">to similarly </w:t>
      </w:r>
      <w:r w:rsidR="00ED037A" w:rsidRPr="008762B5">
        <w:t>raise</w:t>
      </w:r>
      <w:r w:rsidR="00274B1F" w:rsidRPr="008762B5">
        <w:t xml:space="preserve"> the </w:t>
      </w:r>
      <w:r w:rsidR="00353C0C" w:rsidRPr="008762B5">
        <w:t>‘</w:t>
      </w:r>
      <w:r w:rsidR="004C1BE7" w:rsidRPr="008762B5">
        <w:t>floor</w:t>
      </w:r>
      <w:r w:rsidR="00353C0C" w:rsidRPr="008762B5">
        <w:t>’ on the reduced</w:t>
      </w:r>
      <w:r w:rsidR="004C1BE7" w:rsidRPr="008762B5">
        <w:t xml:space="preserve"> </w:t>
      </w:r>
      <w:r w:rsidR="00274B1F" w:rsidRPr="008762B5">
        <w:t xml:space="preserve">sanction that </w:t>
      </w:r>
      <w:r w:rsidR="00A75F26" w:rsidRPr="008762B5">
        <w:t xml:space="preserve">may </w:t>
      </w:r>
      <w:r w:rsidR="00ED037A" w:rsidRPr="008762B5">
        <w:t>be applied under Article 10.5.2 to two years’</w:t>
      </w:r>
      <w:r w:rsidR="00A75F26" w:rsidRPr="008762B5">
        <w:t xml:space="preserve"> ineligibility</w:t>
      </w:r>
      <w:r w:rsidR="00ED037A" w:rsidRPr="008762B5">
        <w:t>.</w:t>
      </w:r>
      <w:r w:rsidR="00017079" w:rsidRPr="008762B5">
        <w:rPr>
          <w:rStyle w:val="FootnoteReference"/>
        </w:rPr>
        <w:footnoteReference w:id="63"/>
      </w:r>
      <w:r w:rsidR="00353C0C" w:rsidRPr="008762B5">
        <w:t xml:space="preserve"> In practice</w:t>
      </w:r>
      <w:r w:rsidR="007F661B">
        <w:t>,</w:t>
      </w:r>
      <w:r w:rsidR="00353C0C" w:rsidRPr="008762B5">
        <w:t xml:space="preserve"> this </w:t>
      </w:r>
      <w:r w:rsidR="00EA025F" w:rsidRPr="008762B5">
        <w:t xml:space="preserve">now </w:t>
      </w:r>
      <w:r w:rsidR="00353C0C" w:rsidRPr="008762B5">
        <w:t>means that</w:t>
      </w:r>
      <w:r w:rsidR="00017079" w:rsidRPr="008762B5">
        <w:t xml:space="preserve"> under the WADC 2015, an athlete demonstrating no significant fault or negligence faces a </w:t>
      </w:r>
      <w:r w:rsidR="00A75F26" w:rsidRPr="008762B5">
        <w:t xml:space="preserve">lengthier </w:t>
      </w:r>
      <w:r w:rsidR="00017079" w:rsidRPr="008762B5">
        <w:t xml:space="preserve">period of ineligibility </w:t>
      </w:r>
      <w:r w:rsidR="00A75F26" w:rsidRPr="008762B5">
        <w:t xml:space="preserve">than that </w:t>
      </w:r>
      <w:r w:rsidR="00EA025F" w:rsidRPr="008762B5">
        <w:t>which would have applied under</w:t>
      </w:r>
      <w:r w:rsidR="00A75F26" w:rsidRPr="008762B5">
        <w:t xml:space="preserve"> </w:t>
      </w:r>
      <w:r w:rsidR="005C7E09" w:rsidRPr="008762B5">
        <w:t xml:space="preserve">the </w:t>
      </w:r>
      <w:r w:rsidR="00A75F26" w:rsidRPr="008762B5">
        <w:t>WADC 2009. T</w:t>
      </w:r>
      <w:r w:rsidR="009A0AE4" w:rsidRPr="008762B5">
        <w:t>his</w:t>
      </w:r>
      <w:r w:rsidR="00EA025F" w:rsidRPr="008762B5">
        <w:t xml:space="preserve"> effect</w:t>
      </w:r>
      <w:r w:rsidR="009A0AE4" w:rsidRPr="008762B5">
        <w:t xml:space="preserve"> is compounde</w:t>
      </w:r>
      <w:r w:rsidR="00A75F26" w:rsidRPr="008762B5">
        <w:t xml:space="preserve">d by the fact that Article 10.4 – which allows for the elimination of a sanction </w:t>
      </w:r>
      <w:r w:rsidR="00D47527" w:rsidRPr="008762B5">
        <w:t>on the basis of</w:t>
      </w:r>
      <w:r w:rsidR="00A75F26" w:rsidRPr="008762B5">
        <w:t xml:space="preserve"> no fault or negligence – </w:t>
      </w:r>
      <w:r w:rsidR="009A0AE4" w:rsidRPr="008762B5">
        <w:t>re</w:t>
      </w:r>
      <w:r w:rsidR="00A75F26" w:rsidRPr="008762B5">
        <w:t>mains extremely narrow in scope. In</w:t>
      </w:r>
      <w:r w:rsidR="009A0AE4" w:rsidRPr="008762B5">
        <w:t xml:space="preserve"> a scenario in which the route of ingestion is unclear it would seem virtually impossible for an athlete to engage the provisions contained within it.</w:t>
      </w:r>
      <w:r w:rsidR="009A0AE4" w:rsidRPr="008762B5">
        <w:rPr>
          <w:rStyle w:val="FootnoteReference"/>
        </w:rPr>
        <w:footnoteReference w:id="64"/>
      </w:r>
    </w:p>
    <w:p w14:paraId="7DD1AEF7" w14:textId="77777777" w:rsidR="009C36EB" w:rsidRPr="008762B5" w:rsidRDefault="009C36EB" w:rsidP="00374A4E">
      <w:pPr>
        <w:spacing w:after="0"/>
      </w:pPr>
    </w:p>
    <w:p w14:paraId="0607CA14" w14:textId="6840E725" w:rsidR="00CF6AC2" w:rsidRPr="008762B5" w:rsidRDefault="00017079" w:rsidP="005632AD">
      <w:pPr>
        <w:spacing w:after="0"/>
      </w:pPr>
      <w:r w:rsidRPr="008762B5">
        <w:t>Combining</w:t>
      </w:r>
      <w:r w:rsidR="009C36EB" w:rsidRPr="008762B5">
        <w:t xml:space="preserve"> these two </w:t>
      </w:r>
      <w:r w:rsidR="007519F2" w:rsidRPr="008762B5">
        <w:t>elements</w:t>
      </w:r>
      <w:r w:rsidR="009C36EB" w:rsidRPr="008762B5">
        <w:t xml:space="preserve"> </w:t>
      </w:r>
      <w:r w:rsidR="00860A35">
        <w:t>suggests</w:t>
      </w:r>
      <w:r w:rsidR="009C36EB" w:rsidRPr="008762B5">
        <w:t xml:space="preserve"> that</w:t>
      </w:r>
      <w:r w:rsidR="00BF06D0" w:rsidRPr="008762B5">
        <w:t xml:space="preserve"> </w:t>
      </w:r>
      <w:r w:rsidR="00651FB4" w:rsidRPr="008762B5">
        <w:t>a strict application of</w:t>
      </w:r>
      <w:r w:rsidR="007A48F3" w:rsidRPr="008762B5">
        <w:t xml:space="preserve"> </w:t>
      </w:r>
      <w:r w:rsidR="00184B9F" w:rsidRPr="008762B5">
        <w:t>the WADC 2015</w:t>
      </w:r>
      <w:r w:rsidR="00FD071E" w:rsidRPr="008762B5">
        <w:t xml:space="preserve"> sanctioning</w:t>
      </w:r>
      <w:r w:rsidR="00184B9F" w:rsidRPr="008762B5">
        <w:t xml:space="preserve"> provisions </w:t>
      </w:r>
      <w:r w:rsidR="00252EF2" w:rsidRPr="008762B5">
        <w:t xml:space="preserve">to the </w:t>
      </w:r>
      <w:r w:rsidR="00651FB4" w:rsidRPr="008762B5">
        <w:rPr>
          <w:i/>
        </w:rPr>
        <w:t xml:space="preserve">Contador </w:t>
      </w:r>
      <w:r w:rsidR="00651FB4" w:rsidRPr="008762B5">
        <w:t xml:space="preserve">case </w:t>
      </w:r>
      <w:r w:rsidR="00184B9F" w:rsidRPr="008762B5">
        <w:t>might</w:t>
      </w:r>
      <w:r w:rsidR="00651FB4" w:rsidRPr="008762B5">
        <w:t>,</w:t>
      </w:r>
      <w:r w:rsidR="00184B9F" w:rsidRPr="008762B5">
        <w:t xml:space="preserve"> </w:t>
      </w:r>
      <w:r w:rsidR="00FD071E" w:rsidRPr="008762B5">
        <w:t>in fact</w:t>
      </w:r>
      <w:r w:rsidR="00651FB4" w:rsidRPr="008762B5">
        <w:t>,</w:t>
      </w:r>
      <w:r w:rsidR="00184B9F" w:rsidRPr="008762B5">
        <w:t xml:space="preserve"> </w:t>
      </w:r>
      <w:r w:rsidR="00651FB4" w:rsidRPr="008762B5">
        <w:t>result in</w:t>
      </w:r>
      <w:r w:rsidR="000F2208" w:rsidRPr="008762B5">
        <w:t xml:space="preserve"> a sanction of</w:t>
      </w:r>
      <w:r w:rsidR="009A0AE4" w:rsidRPr="008762B5">
        <w:t xml:space="preserve"> between two and</w:t>
      </w:r>
      <w:r w:rsidR="000F2208" w:rsidRPr="008762B5">
        <w:t xml:space="preserve"> four year</w:t>
      </w:r>
      <w:r w:rsidR="00184B9F" w:rsidRPr="008762B5">
        <w:t>s</w:t>
      </w:r>
      <w:r w:rsidR="000F2208" w:rsidRPr="008762B5">
        <w:t>’</w:t>
      </w:r>
      <w:r w:rsidR="00184B9F" w:rsidRPr="008762B5">
        <w:t xml:space="preserve"> ineligibility</w:t>
      </w:r>
      <w:r w:rsidR="00651FB4" w:rsidRPr="008762B5">
        <w:t xml:space="preserve"> under Article 10.5.2</w:t>
      </w:r>
      <w:r w:rsidR="00374A4E" w:rsidRPr="008762B5">
        <w:t xml:space="preserve"> (highlighted in </w:t>
      </w:r>
      <w:r w:rsidR="007A48F3" w:rsidRPr="008762B5">
        <w:t>red</w:t>
      </w:r>
      <w:r w:rsidR="00374A4E" w:rsidRPr="008762B5">
        <w:t xml:space="preserve"> in Fig.1)</w:t>
      </w:r>
      <w:r w:rsidR="000F2208" w:rsidRPr="008762B5">
        <w:t xml:space="preserve">. </w:t>
      </w:r>
      <w:r w:rsidR="00252EF2" w:rsidRPr="008762B5">
        <w:t xml:space="preserve">Any period </w:t>
      </w:r>
      <w:r w:rsidR="009A0AE4" w:rsidRPr="008762B5">
        <w:t>longer</w:t>
      </w:r>
      <w:r w:rsidR="00252EF2" w:rsidRPr="008762B5">
        <w:t xml:space="preserve"> than two years wo</w:t>
      </w:r>
      <w:r w:rsidR="000F2208" w:rsidRPr="008762B5">
        <w:t xml:space="preserve">uld </w:t>
      </w:r>
      <w:r w:rsidR="00252EF2" w:rsidRPr="008762B5">
        <w:t>represent</w:t>
      </w:r>
      <w:r w:rsidR="00FD071E" w:rsidRPr="008762B5">
        <w:t xml:space="preserve"> </w:t>
      </w:r>
      <w:r w:rsidR="00184B9F" w:rsidRPr="008762B5">
        <w:t xml:space="preserve">a harsher sanction than the ban Contador </w:t>
      </w:r>
      <w:r w:rsidR="00374A4E" w:rsidRPr="008762B5">
        <w:t xml:space="preserve">actually </w:t>
      </w:r>
      <w:r w:rsidR="00184B9F" w:rsidRPr="008762B5">
        <w:t xml:space="preserve">received under </w:t>
      </w:r>
      <w:r w:rsidR="009A0AE4" w:rsidRPr="008762B5">
        <w:t>the WADC 2009.</w:t>
      </w:r>
      <w:r w:rsidR="007F661B">
        <w:t xml:space="preserve"> </w:t>
      </w:r>
      <w:r w:rsidR="00FF76B7" w:rsidRPr="008762B5">
        <w:t xml:space="preserve">The </w:t>
      </w:r>
      <w:r w:rsidR="00880598" w:rsidRPr="008762B5">
        <w:t>potential for</w:t>
      </w:r>
      <w:r w:rsidR="00FF76B7" w:rsidRPr="008762B5">
        <w:t xml:space="preserve"> </w:t>
      </w:r>
      <w:r w:rsidR="00880598" w:rsidRPr="008762B5">
        <w:t xml:space="preserve">this </w:t>
      </w:r>
      <w:r w:rsidR="00EA025F" w:rsidRPr="008762B5">
        <w:t xml:space="preserve">sort of </w:t>
      </w:r>
      <w:r w:rsidR="00FF76B7" w:rsidRPr="008762B5">
        <w:t xml:space="preserve">outcome </w:t>
      </w:r>
      <w:r w:rsidR="00880598" w:rsidRPr="008762B5">
        <w:t xml:space="preserve">to occur </w:t>
      </w:r>
      <w:r w:rsidR="00340242" w:rsidRPr="008762B5">
        <w:t xml:space="preserve">is not </w:t>
      </w:r>
      <w:r w:rsidR="00EA025F" w:rsidRPr="008762B5">
        <w:t>merely</w:t>
      </w:r>
      <w:r w:rsidR="00651FB4" w:rsidRPr="008762B5">
        <w:t xml:space="preserve"> </w:t>
      </w:r>
      <w:r w:rsidR="00340242" w:rsidRPr="008762B5">
        <w:t>a hypotheti</w:t>
      </w:r>
      <w:r w:rsidR="007519F2" w:rsidRPr="008762B5">
        <w:t xml:space="preserve">cal </w:t>
      </w:r>
      <w:r w:rsidR="00274B1F" w:rsidRPr="008762B5">
        <w:t>concern</w:t>
      </w:r>
      <w:r w:rsidR="007519F2" w:rsidRPr="008762B5">
        <w:t xml:space="preserve">. </w:t>
      </w:r>
      <w:r w:rsidR="005B6729" w:rsidRPr="008762B5">
        <w:t>While also brought under the WADC 2009, a</w:t>
      </w:r>
      <w:r w:rsidR="00FF76B7" w:rsidRPr="008762B5">
        <w:t xml:space="preserve"> </w:t>
      </w:r>
      <w:r w:rsidR="007519F2" w:rsidRPr="008762B5">
        <w:t xml:space="preserve">recent </w:t>
      </w:r>
      <w:r w:rsidR="002E1574" w:rsidRPr="008762B5">
        <w:t xml:space="preserve">similar </w:t>
      </w:r>
      <w:r w:rsidR="007519F2" w:rsidRPr="008762B5">
        <w:t>case involving the Jamaican athlete Veronica Campbell-Brown</w:t>
      </w:r>
      <w:r w:rsidR="005632AD" w:rsidRPr="008762B5">
        <w:t xml:space="preserve"> </w:t>
      </w:r>
      <w:r w:rsidR="00126A27" w:rsidRPr="008762B5">
        <w:t>offers</w:t>
      </w:r>
      <w:r w:rsidR="005632AD" w:rsidRPr="008762B5">
        <w:t xml:space="preserve"> a </w:t>
      </w:r>
      <w:r w:rsidR="00EA025F" w:rsidRPr="008762B5">
        <w:t>vivid</w:t>
      </w:r>
      <w:r w:rsidR="005632AD" w:rsidRPr="008762B5">
        <w:t xml:space="preserve"> </w:t>
      </w:r>
      <w:r w:rsidR="00A7437B" w:rsidRPr="008762B5">
        <w:t xml:space="preserve">reminder that such </w:t>
      </w:r>
      <w:r w:rsidR="00126A27" w:rsidRPr="008762B5">
        <w:t>a scenario could indeed</w:t>
      </w:r>
      <w:r w:rsidR="005632AD" w:rsidRPr="008762B5">
        <w:t xml:space="preserve"> arise</w:t>
      </w:r>
      <w:r w:rsidR="00126A27" w:rsidRPr="008762B5">
        <w:t xml:space="preserve"> under the WADC 2015</w:t>
      </w:r>
      <w:r w:rsidR="005632AD" w:rsidRPr="008762B5">
        <w:t>.</w:t>
      </w:r>
      <w:r w:rsidR="00D72014" w:rsidRPr="008762B5">
        <w:rPr>
          <w:rStyle w:val="FootnoteReference"/>
        </w:rPr>
        <w:footnoteReference w:id="65"/>
      </w:r>
      <w:r w:rsidR="005632AD" w:rsidRPr="008762B5">
        <w:t xml:space="preserve"> </w:t>
      </w:r>
      <w:r w:rsidR="00880598" w:rsidRPr="008762B5">
        <w:t>In May 2013</w:t>
      </w:r>
      <w:r w:rsidR="007F661B">
        <w:t>,</w:t>
      </w:r>
      <w:r w:rsidR="00880598" w:rsidRPr="008762B5">
        <w:t xml:space="preserve"> Campbell-Brown returned</w:t>
      </w:r>
      <w:r w:rsidR="00651FB4" w:rsidRPr="008762B5">
        <w:t xml:space="preserve"> </w:t>
      </w:r>
      <w:r w:rsidR="00CF47AC" w:rsidRPr="008762B5">
        <w:t>an adverse analytical finding</w:t>
      </w:r>
      <w:r w:rsidR="00651FB4" w:rsidRPr="008762B5">
        <w:t xml:space="preserve"> </w:t>
      </w:r>
      <w:r w:rsidR="00880598" w:rsidRPr="008762B5">
        <w:t>for</w:t>
      </w:r>
      <w:r w:rsidR="00651FB4" w:rsidRPr="008762B5">
        <w:t xml:space="preserve"> the </w:t>
      </w:r>
      <w:r w:rsidR="00D72014" w:rsidRPr="008762B5">
        <w:t xml:space="preserve">presence of </w:t>
      </w:r>
      <w:r w:rsidR="00D72014" w:rsidRPr="008762B5">
        <w:rPr>
          <w:rFonts w:cs="Times-Roman"/>
        </w:rPr>
        <w:t>Hydrochlorothiazide (HCT), a</w:t>
      </w:r>
      <w:r w:rsidR="00252EF2" w:rsidRPr="008762B5">
        <w:rPr>
          <w:rFonts w:cs="Times-Roman"/>
        </w:rPr>
        <w:t>t the time a</w:t>
      </w:r>
      <w:r w:rsidR="00D72014" w:rsidRPr="008762B5">
        <w:rPr>
          <w:rFonts w:cs="Times-Roman"/>
        </w:rPr>
        <w:t xml:space="preserve"> prohibited </w:t>
      </w:r>
      <w:r w:rsidR="00CF6AC2" w:rsidRPr="008762B5">
        <w:rPr>
          <w:rFonts w:cs="Times-Roman"/>
        </w:rPr>
        <w:t xml:space="preserve">(specified) </w:t>
      </w:r>
      <w:r w:rsidR="00FF76B7" w:rsidRPr="008762B5">
        <w:rPr>
          <w:rFonts w:cs="Times-Roman"/>
        </w:rPr>
        <w:t>substance.</w:t>
      </w:r>
      <w:r w:rsidR="007A4861" w:rsidRPr="008762B5">
        <w:rPr>
          <w:rStyle w:val="FootnoteReference"/>
          <w:rFonts w:cs="Times-Roman"/>
        </w:rPr>
        <w:footnoteReference w:id="66"/>
      </w:r>
      <w:r w:rsidR="00FF76B7" w:rsidRPr="008762B5">
        <w:rPr>
          <w:rFonts w:cs="Times-Roman"/>
        </w:rPr>
        <w:t xml:space="preserve"> </w:t>
      </w:r>
      <w:r w:rsidR="00282906" w:rsidRPr="008762B5">
        <w:rPr>
          <w:rFonts w:cs="Times-Roman"/>
        </w:rPr>
        <w:t xml:space="preserve">As </w:t>
      </w:r>
      <w:r w:rsidR="00126A27" w:rsidRPr="008762B5">
        <w:rPr>
          <w:rFonts w:cs="Times-Roman"/>
        </w:rPr>
        <w:t>the athlete</w:t>
      </w:r>
      <w:r w:rsidR="00FE72B8" w:rsidRPr="008762B5">
        <w:rPr>
          <w:rFonts w:cs="Times-Roman"/>
        </w:rPr>
        <w:t xml:space="preserve"> was unable to </w:t>
      </w:r>
      <w:r w:rsidR="00282906" w:rsidRPr="008762B5">
        <w:rPr>
          <w:rFonts w:cs="Times-Roman"/>
        </w:rPr>
        <w:t>produce</w:t>
      </w:r>
      <w:r w:rsidR="00FE72B8" w:rsidRPr="008762B5">
        <w:rPr>
          <w:rFonts w:cs="Times-Roman"/>
        </w:rPr>
        <w:t xml:space="preserve"> evidence</w:t>
      </w:r>
      <w:r w:rsidR="00282906" w:rsidRPr="008762B5">
        <w:rPr>
          <w:rFonts w:cs="Times-Roman"/>
        </w:rPr>
        <w:t xml:space="preserve"> demonstrating</w:t>
      </w:r>
      <w:r w:rsidR="00FE72B8" w:rsidRPr="008762B5">
        <w:rPr>
          <w:rFonts w:cs="Times-Roman"/>
        </w:rPr>
        <w:t xml:space="preserve"> how the substance came to be in her sample </w:t>
      </w:r>
      <w:r w:rsidR="00126A27" w:rsidRPr="008762B5">
        <w:rPr>
          <w:rFonts w:cs="Times-Roman"/>
        </w:rPr>
        <w:t xml:space="preserve">– </w:t>
      </w:r>
      <w:r w:rsidR="00074E91" w:rsidRPr="008762B5">
        <w:rPr>
          <w:rFonts w:cs="Times-Roman"/>
        </w:rPr>
        <w:t>notably</w:t>
      </w:r>
      <w:r w:rsidR="00126A27" w:rsidRPr="008762B5">
        <w:rPr>
          <w:rFonts w:cs="Times-Roman"/>
        </w:rPr>
        <w:t xml:space="preserve"> all her supplements were found to be free from contamination – </w:t>
      </w:r>
      <w:r w:rsidR="00880598" w:rsidRPr="008762B5">
        <w:rPr>
          <w:rFonts w:cs="Times-Roman"/>
        </w:rPr>
        <w:t>t</w:t>
      </w:r>
      <w:r w:rsidR="00FF76B7" w:rsidRPr="008762B5">
        <w:rPr>
          <w:rFonts w:cs="Times-Roman"/>
        </w:rPr>
        <w:t xml:space="preserve">he </w:t>
      </w:r>
      <w:r w:rsidR="005B6729" w:rsidRPr="008762B5">
        <w:rPr>
          <w:rFonts w:cs="Times-Roman"/>
        </w:rPr>
        <w:t xml:space="preserve">Jamaica Athletics Administrative Association (JAAA) </w:t>
      </w:r>
      <w:r w:rsidR="00126A27" w:rsidRPr="008762B5">
        <w:rPr>
          <w:rFonts w:cs="Times-Roman"/>
        </w:rPr>
        <w:t xml:space="preserve">initially </w:t>
      </w:r>
      <w:r w:rsidR="005B6729" w:rsidRPr="008762B5">
        <w:rPr>
          <w:rFonts w:cs="Times-Roman"/>
        </w:rPr>
        <w:t>handed down a</w:t>
      </w:r>
      <w:r w:rsidR="00282906" w:rsidRPr="008762B5">
        <w:rPr>
          <w:rFonts w:cs="Times-Roman"/>
        </w:rPr>
        <w:t xml:space="preserve"> two-year ban.</w:t>
      </w:r>
      <w:r w:rsidR="00282906" w:rsidRPr="008762B5">
        <w:rPr>
          <w:rStyle w:val="FootnoteReference"/>
          <w:rFonts w:cs="Times-Roman"/>
        </w:rPr>
        <w:footnoteReference w:id="67"/>
      </w:r>
      <w:r w:rsidR="00282906" w:rsidRPr="008762B5">
        <w:rPr>
          <w:rFonts w:cs="Times-Roman"/>
        </w:rPr>
        <w:t xml:space="preserve"> </w:t>
      </w:r>
      <w:r w:rsidR="00FE72B8" w:rsidRPr="008762B5">
        <w:rPr>
          <w:rFonts w:cs="Times-Roman"/>
        </w:rPr>
        <w:t>However, o</w:t>
      </w:r>
      <w:r w:rsidR="00CF6AC2" w:rsidRPr="008762B5">
        <w:rPr>
          <w:rFonts w:cs="Times-Roman"/>
        </w:rPr>
        <w:t xml:space="preserve">n appeal to CAS, </w:t>
      </w:r>
      <w:r w:rsidR="00274B1F" w:rsidRPr="008762B5">
        <w:t>Campbell</w:t>
      </w:r>
      <w:r w:rsidR="00FE72B8" w:rsidRPr="008762B5">
        <w:t xml:space="preserve">-Brown was exonerated </w:t>
      </w:r>
      <w:r w:rsidR="00274B1F" w:rsidRPr="008762B5">
        <w:t xml:space="preserve">due to systemic failures in doping control procedures </w:t>
      </w:r>
      <w:r w:rsidR="007A48F3" w:rsidRPr="008762B5">
        <w:t xml:space="preserve">by the Jamaica Anti-Doping Commission (JADCO) and </w:t>
      </w:r>
      <w:r w:rsidR="00274B1F" w:rsidRPr="008762B5">
        <w:t xml:space="preserve">which </w:t>
      </w:r>
      <w:r w:rsidR="00CF6AC2" w:rsidRPr="008762B5">
        <w:t xml:space="preserve">the </w:t>
      </w:r>
      <w:r w:rsidR="00D47527" w:rsidRPr="008762B5">
        <w:t>P</w:t>
      </w:r>
      <w:r w:rsidR="00CF6AC2" w:rsidRPr="008762B5">
        <w:t>anel</w:t>
      </w:r>
      <w:r w:rsidR="00274B1F" w:rsidRPr="008762B5">
        <w:t xml:space="preserve"> </w:t>
      </w:r>
      <w:r w:rsidR="007A48F3" w:rsidRPr="008762B5">
        <w:t>held could</w:t>
      </w:r>
      <w:r w:rsidR="00274B1F" w:rsidRPr="008762B5">
        <w:t xml:space="preserve"> </w:t>
      </w:r>
      <w:r w:rsidR="007A48F3" w:rsidRPr="008762B5">
        <w:t>reasonably have</w:t>
      </w:r>
      <w:r w:rsidR="00582AFC" w:rsidRPr="008762B5">
        <w:t xml:space="preserve"> caused</w:t>
      </w:r>
      <w:r w:rsidR="00274B1F" w:rsidRPr="008762B5">
        <w:t xml:space="preserve"> contamination of </w:t>
      </w:r>
      <w:r w:rsidR="005B6729" w:rsidRPr="008762B5">
        <w:t>her sample with HCT.</w:t>
      </w:r>
      <w:r w:rsidR="00252EF2" w:rsidRPr="008762B5">
        <w:rPr>
          <w:rStyle w:val="FootnoteReference"/>
        </w:rPr>
        <w:footnoteReference w:id="68"/>
      </w:r>
    </w:p>
    <w:p w14:paraId="745807E9" w14:textId="77777777" w:rsidR="00CF6AC2" w:rsidRPr="008762B5" w:rsidRDefault="00CF6AC2" w:rsidP="005632AD">
      <w:pPr>
        <w:spacing w:after="0"/>
      </w:pPr>
    </w:p>
    <w:p w14:paraId="64B67856" w14:textId="123E10D4" w:rsidR="006E69A4" w:rsidRPr="008762B5" w:rsidRDefault="00880598" w:rsidP="007A4861">
      <w:pPr>
        <w:spacing w:after="0"/>
        <w:rPr>
          <w:color w:val="C00000"/>
        </w:rPr>
      </w:pPr>
      <w:r w:rsidRPr="008762B5">
        <w:t xml:space="preserve">While Campbell-Brown was </w:t>
      </w:r>
      <w:r w:rsidR="002E1574" w:rsidRPr="008762B5">
        <w:t xml:space="preserve">ultimately </w:t>
      </w:r>
      <w:r w:rsidRPr="008762B5">
        <w:t xml:space="preserve">cleared due to these </w:t>
      </w:r>
      <w:r w:rsidR="00EA025F" w:rsidRPr="008762B5">
        <w:t xml:space="preserve">serious </w:t>
      </w:r>
      <w:r w:rsidRPr="008762B5">
        <w:t xml:space="preserve">procedural irregularities, </w:t>
      </w:r>
      <w:r w:rsidR="00074E91" w:rsidRPr="008762B5">
        <w:t xml:space="preserve">her case nonetheless highlights the risks that arise where an athlete is unable to produce evidence as to how a </w:t>
      </w:r>
      <w:r w:rsidR="002E1574" w:rsidRPr="008762B5">
        <w:t xml:space="preserve">particular </w:t>
      </w:r>
      <w:r w:rsidR="00074E91" w:rsidRPr="008762B5">
        <w:t>substance has been ingested</w:t>
      </w:r>
      <w:r w:rsidR="002E1574" w:rsidRPr="008762B5">
        <w:t xml:space="preserve"> yet where little or no fault can be ascribed to their actions</w:t>
      </w:r>
      <w:r w:rsidR="00074E91" w:rsidRPr="008762B5">
        <w:t xml:space="preserve">. These risks </w:t>
      </w:r>
      <w:r w:rsidR="002A469D" w:rsidRPr="008762B5">
        <w:t>have become</w:t>
      </w:r>
      <w:r w:rsidR="00074E91" w:rsidRPr="008762B5">
        <w:t xml:space="preserve"> magnified under the WADC 2015</w:t>
      </w:r>
      <w:r w:rsidR="002E1574" w:rsidRPr="008762B5">
        <w:t xml:space="preserve">, in particular where prohibited substances are concerned, due to the stiffer </w:t>
      </w:r>
      <w:r w:rsidR="00476FE0" w:rsidRPr="008762B5">
        <w:t xml:space="preserve">base sanctions </w:t>
      </w:r>
      <w:r w:rsidR="00EA025F" w:rsidRPr="008762B5">
        <w:t xml:space="preserve">that are </w:t>
      </w:r>
      <w:r w:rsidR="00476FE0" w:rsidRPr="008762B5">
        <w:t xml:space="preserve">now </w:t>
      </w:r>
      <w:r w:rsidR="00EA025F" w:rsidRPr="008762B5">
        <w:t>levied</w:t>
      </w:r>
      <w:r w:rsidR="002E1574" w:rsidRPr="008762B5">
        <w:t xml:space="preserve">. </w:t>
      </w:r>
    </w:p>
    <w:p w14:paraId="473379F2" w14:textId="77777777" w:rsidR="005F57A1" w:rsidRDefault="005F57A1" w:rsidP="005F57A1">
      <w:pPr>
        <w:spacing w:after="0"/>
        <w:rPr>
          <w:b/>
        </w:rPr>
      </w:pPr>
    </w:p>
    <w:p w14:paraId="3B706DF9" w14:textId="5DA56D0F" w:rsidR="005E4F19" w:rsidRDefault="005E4F19" w:rsidP="005F57A1">
      <w:pPr>
        <w:spacing w:after="0"/>
        <w:rPr>
          <w:b/>
        </w:rPr>
      </w:pPr>
    </w:p>
    <w:p w14:paraId="54D72B50" w14:textId="77777777" w:rsidR="005E4F19" w:rsidRPr="008762B5" w:rsidRDefault="005E4F19" w:rsidP="005F57A1">
      <w:pPr>
        <w:spacing w:after="0"/>
        <w:rPr>
          <w:b/>
        </w:rPr>
      </w:pPr>
    </w:p>
    <w:p w14:paraId="1CDA18AD" w14:textId="400129C3" w:rsidR="009A18B7" w:rsidRPr="005E4F19" w:rsidRDefault="005E4F19" w:rsidP="00AC23B9">
      <w:pPr>
        <w:spacing w:after="120"/>
        <w:rPr>
          <w:b/>
          <w:sz w:val="24"/>
        </w:rPr>
      </w:pPr>
      <w:r w:rsidRPr="005E4F19">
        <w:rPr>
          <w:b/>
          <w:sz w:val="24"/>
        </w:rPr>
        <w:t>CONCLUSION: TIME FOR A ‘NOT PROVEN’ CLAUSE?</w:t>
      </w:r>
    </w:p>
    <w:p w14:paraId="75F15D91" w14:textId="0588D440" w:rsidR="009A18B7" w:rsidRPr="008762B5" w:rsidRDefault="009A18B7" w:rsidP="00AC23B9">
      <w:pPr>
        <w:spacing w:after="120"/>
      </w:pPr>
      <w:r w:rsidRPr="008762B5">
        <w:t xml:space="preserve">This </w:t>
      </w:r>
      <w:r w:rsidR="00AC3E58">
        <w:t>paper</w:t>
      </w:r>
      <w:r w:rsidRPr="008762B5">
        <w:t xml:space="preserve"> has considered a very specific aspect of the Contador case – the interplay between the burden and standard of proof and the sanctioning provisions in the WADC 2009</w:t>
      </w:r>
      <w:r w:rsidR="0047557B" w:rsidRPr="008762B5">
        <w:t xml:space="preserve"> and </w:t>
      </w:r>
      <w:r w:rsidR="00E55D9F">
        <w:t xml:space="preserve">the extent to which the issues arising have been addressed in the </w:t>
      </w:r>
      <w:r w:rsidR="0047557B" w:rsidRPr="008762B5">
        <w:t>WADC 2015</w:t>
      </w:r>
      <w:r w:rsidRPr="008762B5">
        <w:t xml:space="preserve">. While </w:t>
      </w:r>
      <w:r w:rsidRPr="008762B5">
        <w:rPr>
          <w:i/>
        </w:rPr>
        <w:t>Contador</w:t>
      </w:r>
      <w:r w:rsidRPr="008762B5">
        <w:t xml:space="preserve"> and other similar cases have </w:t>
      </w:r>
      <w:r w:rsidR="00C871AB">
        <w:t xml:space="preserve">undoubtedly </w:t>
      </w:r>
      <w:r w:rsidRPr="008762B5">
        <w:t xml:space="preserve">influenced the drafting of the WADC 2015, </w:t>
      </w:r>
      <w:r w:rsidR="00C871AB">
        <w:t xml:space="preserve">it would appear that </w:t>
      </w:r>
      <w:r w:rsidRPr="008762B5">
        <w:t xml:space="preserve">perhaps not all of the </w:t>
      </w:r>
      <w:r w:rsidR="00C871AB">
        <w:t>difficulties</w:t>
      </w:r>
      <w:r w:rsidRPr="008762B5">
        <w:t xml:space="preserve"> </w:t>
      </w:r>
      <w:r w:rsidR="00C871AB">
        <w:t>identified</w:t>
      </w:r>
      <w:r w:rsidRPr="008762B5">
        <w:t xml:space="preserve"> have been addressed fully, particularly those that arise where an athlete cannot definitively establish how a substance w</w:t>
      </w:r>
      <w:r w:rsidR="0047557B" w:rsidRPr="008762B5">
        <w:t xml:space="preserve">as ingested but where they may </w:t>
      </w:r>
      <w:r w:rsidR="001A1F3C" w:rsidRPr="008762B5">
        <w:t xml:space="preserve">ostensibly </w:t>
      </w:r>
      <w:r w:rsidRPr="008762B5">
        <w:t>bear</w:t>
      </w:r>
      <w:r w:rsidR="00196042" w:rsidRPr="008762B5">
        <w:t xml:space="preserve"> little or no</w:t>
      </w:r>
      <w:r w:rsidRPr="008762B5">
        <w:t xml:space="preserve"> fault.</w:t>
      </w:r>
    </w:p>
    <w:p w14:paraId="479F70C5" w14:textId="77777777" w:rsidR="009A18B7" w:rsidRPr="008762B5" w:rsidRDefault="009A18B7" w:rsidP="005F57A1">
      <w:pPr>
        <w:spacing w:after="0"/>
      </w:pPr>
    </w:p>
    <w:p w14:paraId="482BBB6A" w14:textId="5BDE9699" w:rsidR="00902C1A" w:rsidRPr="008762B5" w:rsidRDefault="001A1F3C" w:rsidP="005F57A1">
      <w:pPr>
        <w:spacing w:after="0"/>
        <w:rPr>
          <w:color w:val="C00000"/>
        </w:rPr>
      </w:pPr>
      <w:r w:rsidRPr="008762B5">
        <w:t>In light of the preceding discussion</w:t>
      </w:r>
      <w:r w:rsidR="00272D54" w:rsidRPr="008762B5">
        <w:t>,</w:t>
      </w:r>
      <w:r w:rsidRPr="008762B5">
        <w:t xml:space="preserve"> one</w:t>
      </w:r>
      <w:r w:rsidR="009A18B7" w:rsidRPr="008762B5">
        <w:t xml:space="preserve"> option </w:t>
      </w:r>
      <w:r w:rsidR="00272D54" w:rsidRPr="008762B5">
        <w:t>might</w:t>
      </w:r>
      <w:r w:rsidRPr="008762B5">
        <w:t xml:space="preserve"> be for WADA to</w:t>
      </w:r>
      <w:r w:rsidR="00272D54" w:rsidRPr="008762B5">
        <w:t xml:space="preserve"> consider introducing</w:t>
      </w:r>
      <w:r w:rsidRPr="008762B5">
        <w:t xml:space="preserve"> into the </w:t>
      </w:r>
      <w:r w:rsidR="009A18B7" w:rsidRPr="008762B5">
        <w:t>Code the con</w:t>
      </w:r>
      <w:r w:rsidRPr="008762B5">
        <w:t>cept of a ‘not proven’</w:t>
      </w:r>
      <w:r w:rsidR="00446F19" w:rsidRPr="008762B5">
        <w:t xml:space="preserve"> clause </w:t>
      </w:r>
      <w:r w:rsidRPr="008762B5">
        <w:t>–</w:t>
      </w:r>
      <w:r w:rsidR="009A18B7" w:rsidRPr="008762B5">
        <w:t xml:space="preserve"> similar to that used in Scottish criminal law – to be applied in very limited circumstances where genuine doubt exists as to how a substance </w:t>
      </w:r>
      <w:r w:rsidRPr="008762B5">
        <w:t>has been</w:t>
      </w:r>
      <w:r w:rsidR="009A18B7" w:rsidRPr="008762B5">
        <w:t xml:space="preserve"> ingested.</w:t>
      </w:r>
      <w:r w:rsidR="009A18B7" w:rsidRPr="008762B5">
        <w:rPr>
          <w:rStyle w:val="FootnoteReference"/>
        </w:rPr>
        <w:t xml:space="preserve"> </w:t>
      </w:r>
      <w:r w:rsidR="009A18B7" w:rsidRPr="008762B5">
        <w:rPr>
          <w:rStyle w:val="FootnoteReference"/>
        </w:rPr>
        <w:footnoteReference w:id="69"/>
      </w:r>
      <w:r w:rsidR="009A18B7" w:rsidRPr="008762B5">
        <w:t xml:space="preserve"> The application of this sort of concept could be one way to enable </w:t>
      </w:r>
      <w:r w:rsidR="00DE2898" w:rsidRPr="008762B5">
        <w:t xml:space="preserve">due </w:t>
      </w:r>
      <w:r w:rsidR="009A18B7" w:rsidRPr="008762B5">
        <w:t>consideration of an athlete’s fault or negligence in such cases where strict application of the Code might result in an otherwise unduly harsh sanction.</w:t>
      </w:r>
    </w:p>
    <w:p w14:paraId="4F009088" w14:textId="77777777" w:rsidR="00DE2898" w:rsidRPr="008762B5" w:rsidRDefault="00DE2898" w:rsidP="005F57A1">
      <w:pPr>
        <w:spacing w:after="0"/>
        <w:rPr>
          <w:color w:val="C00000"/>
        </w:rPr>
      </w:pPr>
    </w:p>
    <w:p w14:paraId="7B5FF729" w14:textId="50F0E88D" w:rsidR="002638CD" w:rsidRPr="008762B5" w:rsidRDefault="00DE2898" w:rsidP="005F57A1">
      <w:pPr>
        <w:spacing w:after="0"/>
      </w:pPr>
      <w:r w:rsidRPr="008762B5">
        <w:t xml:space="preserve">Indeed, a ‘not proven’ </w:t>
      </w:r>
      <w:r w:rsidR="001011F5" w:rsidRPr="008762B5">
        <w:t>provision</w:t>
      </w:r>
      <w:r w:rsidR="00272D54" w:rsidRPr="008762B5">
        <w:t xml:space="preserve"> of this nature</w:t>
      </w:r>
      <w:r w:rsidRPr="008762B5">
        <w:t xml:space="preserve"> could also potentially be extended to non-analytical doping violations. </w:t>
      </w:r>
      <w:r w:rsidR="002638CD" w:rsidRPr="008762B5">
        <w:t>Such an option</w:t>
      </w:r>
      <w:r w:rsidRPr="008762B5">
        <w:t xml:space="preserve"> might apply where it is difficult, due to the nature of the evidence, to establish </w:t>
      </w:r>
      <w:r w:rsidR="00272D54" w:rsidRPr="008762B5">
        <w:t>to a sufficient degree of certainty</w:t>
      </w:r>
      <w:r w:rsidRPr="008762B5">
        <w:t xml:space="preserve"> the use or attempted use of a pr</w:t>
      </w:r>
      <w:r w:rsidR="00272D54" w:rsidRPr="008762B5">
        <w:t>ohibited substance or method</w:t>
      </w:r>
      <w:r w:rsidR="002638CD" w:rsidRPr="008762B5">
        <w:t xml:space="preserve"> and where there may be limited fault on the part of the athlete</w:t>
      </w:r>
      <w:r w:rsidR="00272D54" w:rsidRPr="008762B5">
        <w:t>.</w:t>
      </w:r>
      <w:r w:rsidR="007F661B">
        <w:t xml:space="preserve"> </w:t>
      </w:r>
      <w:r w:rsidR="00272D54" w:rsidRPr="008762B5">
        <w:t xml:space="preserve">An </w:t>
      </w:r>
      <w:r w:rsidRPr="008762B5">
        <w:t xml:space="preserve">example of </w:t>
      </w:r>
      <w:r w:rsidR="00476FE0" w:rsidRPr="008762B5">
        <w:t>such a scenario</w:t>
      </w:r>
      <w:r w:rsidRPr="008762B5">
        <w:t xml:space="preserve"> can be found in the </w:t>
      </w:r>
      <w:r w:rsidR="00FE6C41" w:rsidRPr="008762B5">
        <w:t>recent, ongoing</w:t>
      </w:r>
      <w:r w:rsidRPr="008762B5">
        <w:t xml:space="preserve"> case involving </w:t>
      </w:r>
      <w:r w:rsidR="00FE6C41" w:rsidRPr="008762B5">
        <w:t xml:space="preserve">the alleged administration of prohibited </w:t>
      </w:r>
      <w:r w:rsidR="009B76BE" w:rsidRPr="008762B5">
        <w:t>substances</w:t>
      </w:r>
      <w:r w:rsidR="00FE6C41" w:rsidRPr="008762B5">
        <w:t xml:space="preserve"> to </w:t>
      </w:r>
      <w:r w:rsidR="004B7F97" w:rsidRPr="008762B5">
        <w:t xml:space="preserve">34 </w:t>
      </w:r>
      <w:r w:rsidR="00736E1C" w:rsidRPr="008762B5">
        <w:t xml:space="preserve">players at </w:t>
      </w:r>
      <w:proofErr w:type="spellStart"/>
      <w:r w:rsidR="007F306F" w:rsidRPr="008762B5">
        <w:t>Essendon</w:t>
      </w:r>
      <w:proofErr w:type="spellEnd"/>
      <w:r w:rsidR="007F306F" w:rsidRPr="008762B5">
        <w:t xml:space="preserve"> </w:t>
      </w:r>
      <w:r w:rsidR="00FE6C41" w:rsidRPr="008762B5">
        <w:t xml:space="preserve">Bombers </w:t>
      </w:r>
      <w:r w:rsidR="00736E1C" w:rsidRPr="008762B5">
        <w:t>FC in</w:t>
      </w:r>
      <w:r w:rsidRPr="008762B5">
        <w:t xml:space="preserve"> the Australian Football League (AFL)</w:t>
      </w:r>
      <w:r w:rsidR="003963E2" w:rsidRPr="008762B5">
        <w:t xml:space="preserve"> during the 2012 season</w:t>
      </w:r>
      <w:r w:rsidR="00FE6C41" w:rsidRPr="008762B5">
        <w:t>.</w:t>
      </w:r>
      <w:r w:rsidR="009B76BE" w:rsidRPr="008762B5">
        <w:rPr>
          <w:rStyle w:val="FootnoteReference"/>
        </w:rPr>
        <w:footnoteReference w:id="70"/>
      </w:r>
      <w:r w:rsidR="00A30217" w:rsidRPr="008762B5">
        <w:t xml:space="preserve"> </w:t>
      </w:r>
      <w:r w:rsidR="00A1709A" w:rsidRPr="008762B5">
        <w:t>No player tested positive for a prohibited substance</w:t>
      </w:r>
      <w:r w:rsidR="00F409BF">
        <w:t xml:space="preserve"> at the time</w:t>
      </w:r>
      <w:r w:rsidR="00A1709A" w:rsidRPr="008762B5">
        <w:t>; instead the case hinges on circumstantial evidence which indicates</w:t>
      </w:r>
      <w:r w:rsidR="007F661B">
        <w:t xml:space="preserve"> that</w:t>
      </w:r>
      <w:r w:rsidR="00A1709A" w:rsidRPr="008762B5">
        <w:t xml:space="preserve"> players were subject to a regime of injections within “</w:t>
      </w:r>
      <w:r w:rsidR="00A1709A" w:rsidRPr="008762B5">
        <w:rPr>
          <w:rFonts w:cs="Arial"/>
        </w:rPr>
        <w:t>a pharmacologically experimental environment [that was] never adequately controlled or challenged or documented...”</w:t>
      </w:r>
      <w:r w:rsidR="00A1709A" w:rsidRPr="008762B5">
        <w:rPr>
          <w:rStyle w:val="FootnoteReference"/>
          <w:rFonts w:cs="Arial"/>
        </w:rPr>
        <w:t xml:space="preserve"> </w:t>
      </w:r>
      <w:r w:rsidR="00A1709A" w:rsidRPr="008762B5">
        <w:rPr>
          <w:rStyle w:val="FootnoteReference"/>
          <w:rFonts w:cs="Arial"/>
        </w:rPr>
        <w:footnoteReference w:id="71"/>
      </w:r>
      <w:r w:rsidR="00A1709A" w:rsidRPr="008762B5">
        <w:rPr>
          <w:rFonts w:cs="Arial"/>
        </w:rPr>
        <w:t xml:space="preserve"> It is alleged that these injections included the </w:t>
      </w:r>
      <w:r w:rsidR="004B7F97" w:rsidRPr="008762B5">
        <w:rPr>
          <w:rFonts w:cs="Arial"/>
        </w:rPr>
        <w:t xml:space="preserve">banned peptide </w:t>
      </w:r>
      <w:proofErr w:type="spellStart"/>
      <w:r w:rsidR="004B7F97" w:rsidRPr="008762B5">
        <w:rPr>
          <w:rFonts w:cs="Arial"/>
        </w:rPr>
        <w:t>Thymosin</w:t>
      </w:r>
      <w:proofErr w:type="spellEnd"/>
      <w:r w:rsidR="004B7F97" w:rsidRPr="008762B5">
        <w:rPr>
          <w:rFonts w:cs="Arial"/>
        </w:rPr>
        <w:t xml:space="preserve"> beta-</w:t>
      </w:r>
      <w:r w:rsidR="00A1709A" w:rsidRPr="008762B5">
        <w:rPr>
          <w:rFonts w:cs="Arial"/>
        </w:rPr>
        <w:t>4.</w:t>
      </w:r>
      <w:r w:rsidR="004B7F97" w:rsidRPr="008762B5">
        <w:rPr>
          <w:rStyle w:val="FootnoteReference"/>
          <w:rFonts w:cs="Arial"/>
        </w:rPr>
        <w:footnoteReference w:id="72"/>
      </w:r>
    </w:p>
    <w:p w14:paraId="49762DFC" w14:textId="77777777" w:rsidR="002638CD" w:rsidRPr="008762B5" w:rsidRDefault="002638CD" w:rsidP="005F57A1">
      <w:pPr>
        <w:spacing w:after="0"/>
      </w:pPr>
    </w:p>
    <w:p w14:paraId="63B5A2B2" w14:textId="369F6CEC" w:rsidR="00DE2898" w:rsidRPr="008762B5" w:rsidRDefault="00476FE0" w:rsidP="005F57A1">
      <w:pPr>
        <w:spacing w:after="0"/>
      </w:pPr>
      <w:r w:rsidRPr="008762B5">
        <w:t xml:space="preserve">After a lengthy investigation and various legal challenges, </w:t>
      </w:r>
      <w:r w:rsidR="00BF3E13" w:rsidRPr="008762B5">
        <w:t xml:space="preserve">in March 2015 </w:t>
      </w:r>
      <w:r w:rsidRPr="008762B5">
        <w:t>an</w:t>
      </w:r>
      <w:r w:rsidR="00FE6C41" w:rsidRPr="008762B5">
        <w:t xml:space="preserve"> A</w:t>
      </w:r>
      <w:r w:rsidR="009B76BE" w:rsidRPr="008762B5">
        <w:t>FL Anti-Doping Appeal Tribunal</w:t>
      </w:r>
      <w:r w:rsidR="00FE6C41" w:rsidRPr="008762B5">
        <w:t xml:space="preserve"> found the charges against </w:t>
      </w:r>
      <w:r w:rsidR="00272D54" w:rsidRPr="008762B5">
        <w:t>the players</w:t>
      </w:r>
      <w:r w:rsidR="00FE6C41" w:rsidRPr="008762B5">
        <w:t xml:space="preserve"> </w:t>
      </w:r>
      <w:r w:rsidR="0047344C" w:rsidRPr="008762B5">
        <w:t>involved could not be proven to a</w:t>
      </w:r>
      <w:r w:rsidR="00FE6C41" w:rsidRPr="008762B5">
        <w:t xml:space="preserve"> comfort</w:t>
      </w:r>
      <w:r w:rsidR="00FB3773" w:rsidRPr="008762B5">
        <w:t>able satisfaction.</w:t>
      </w:r>
      <w:r w:rsidR="00994CB9" w:rsidRPr="008762B5">
        <w:rPr>
          <w:rStyle w:val="FootnoteReference"/>
        </w:rPr>
        <w:footnoteReference w:id="73"/>
      </w:r>
      <w:r w:rsidR="00E6432D" w:rsidRPr="008762B5">
        <w:t xml:space="preserve"> </w:t>
      </w:r>
      <w:r w:rsidR="00736E1C" w:rsidRPr="008762B5">
        <w:t>It appears</w:t>
      </w:r>
      <w:r w:rsidR="004356AC" w:rsidRPr="008762B5">
        <w:t xml:space="preserve"> a</w:t>
      </w:r>
      <w:r w:rsidR="00E6432D" w:rsidRPr="008762B5">
        <w:t xml:space="preserve"> key reason for the </w:t>
      </w:r>
      <w:r w:rsidR="00272D54" w:rsidRPr="008762B5">
        <w:t xml:space="preserve">Appeal Tribunal </w:t>
      </w:r>
      <w:r w:rsidR="00E6432D" w:rsidRPr="008762B5">
        <w:t xml:space="preserve">verdict was the difficulty </w:t>
      </w:r>
      <w:r w:rsidR="007F661B">
        <w:t xml:space="preserve">that </w:t>
      </w:r>
      <w:r w:rsidR="00994CB9" w:rsidRPr="008762B5">
        <w:t>the panel</w:t>
      </w:r>
      <w:r w:rsidR="00BC3187" w:rsidRPr="008762B5">
        <w:t xml:space="preserve"> faced</w:t>
      </w:r>
      <w:r w:rsidR="00E6432D" w:rsidRPr="008762B5">
        <w:t xml:space="preserve"> in establishing definitively, based on the</w:t>
      </w:r>
      <w:r w:rsidR="00BC3187" w:rsidRPr="008762B5">
        <w:t xml:space="preserve"> available</w:t>
      </w:r>
      <w:r w:rsidR="00E6432D" w:rsidRPr="008762B5">
        <w:t xml:space="preserve"> evidence, </w:t>
      </w:r>
      <w:r w:rsidR="00BC3187" w:rsidRPr="008762B5">
        <w:t xml:space="preserve">that the </w:t>
      </w:r>
      <w:r w:rsidR="002158C7" w:rsidRPr="008762B5">
        <w:t>players had in fact used prohibited substances</w:t>
      </w:r>
      <w:r w:rsidR="00E6432D" w:rsidRPr="008762B5">
        <w:t>.</w:t>
      </w:r>
      <w:r w:rsidR="00736E1C" w:rsidRPr="008762B5">
        <w:rPr>
          <w:rStyle w:val="FootnoteReference"/>
        </w:rPr>
        <w:footnoteReference w:id="74"/>
      </w:r>
      <w:r w:rsidR="004356AC" w:rsidRPr="008762B5">
        <w:t xml:space="preserve"> </w:t>
      </w:r>
      <w:r w:rsidR="000C2AE0" w:rsidRPr="008762B5">
        <w:t xml:space="preserve">WADA subsequently appealed the Tribunal verdict to the CAS in May 2015 and </w:t>
      </w:r>
      <w:r w:rsidR="002638CD" w:rsidRPr="008762B5">
        <w:t>as such</w:t>
      </w:r>
      <w:r w:rsidR="000C2AE0" w:rsidRPr="008762B5">
        <w:t xml:space="preserve"> it </w:t>
      </w:r>
      <w:r w:rsidR="006F0802" w:rsidRPr="008762B5">
        <w:t xml:space="preserve">is </w:t>
      </w:r>
      <w:r w:rsidR="000C2AE0" w:rsidRPr="008762B5">
        <w:t xml:space="preserve">possible that the players </w:t>
      </w:r>
      <w:r w:rsidR="004B7F97" w:rsidRPr="008762B5">
        <w:t xml:space="preserve">involved </w:t>
      </w:r>
      <w:r w:rsidR="000C2AE0" w:rsidRPr="008762B5">
        <w:t xml:space="preserve">could </w:t>
      </w:r>
      <w:r w:rsidR="006F0802" w:rsidRPr="008762B5">
        <w:t xml:space="preserve">still </w:t>
      </w:r>
      <w:r w:rsidR="000C2AE0" w:rsidRPr="008762B5">
        <w:t>be banned.</w:t>
      </w:r>
      <w:r w:rsidR="009A6804" w:rsidRPr="008762B5">
        <w:rPr>
          <w:rStyle w:val="FootnoteReference"/>
        </w:rPr>
        <w:footnoteReference w:id="75"/>
      </w:r>
      <w:r w:rsidR="000C2AE0" w:rsidRPr="008762B5">
        <w:t xml:space="preserve"> </w:t>
      </w:r>
      <w:r w:rsidR="002638CD" w:rsidRPr="008762B5">
        <w:t xml:space="preserve">However, from the point of view of fault, </w:t>
      </w:r>
      <w:r w:rsidR="004B7F97" w:rsidRPr="008762B5">
        <w:t xml:space="preserve">there remains significant doubt as to whether </w:t>
      </w:r>
      <w:r w:rsidR="00070D15" w:rsidRPr="008762B5">
        <w:rPr>
          <w:rFonts w:cs="Arial"/>
        </w:rPr>
        <w:t xml:space="preserve">the players had </w:t>
      </w:r>
      <w:r w:rsidR="004B7F97" w:rsidRPr="008762B5">
        <w:rPr>
          <w:rFonts w:cs="Arial"/>
        </w:rPr>
        <w:t xml:space="preserve">sufficient </w:t>
      </w:r>
      <w:r w:rsidR="00070D15" w:rsidRPr="008762B5">
        <w:rPr>
          <w:rFonts w:cs="Arial"/>
        </w:rPr>
        <w:t>knowledge of the substa</w:t>
      </w:r>
      <w:r w:rsidR="004B7F97" w:rsidRPr="008762B5">
        <w:rPr>
          <w:rFonts w:cs="Arial"/>
        </w:rPr>
        <w:t xml:space="preserve">nces </w:t>
      </w:r>
      <w:r w:rsidR="006F0802" w:rsidRPr="008762B5">
        <w:rPr>
          <w:rFonts w:cs="Arial"/>
        </w:rPr>
        <w:t xml:space="preserve">in question or indeed even </w:t>
      </w:r>
      <w:r w:rsidR="003B2DB4" w:rsidRPr="008762B5">
        <w:rPr>
          <w:rFonts w:cs="Arial"/>
        </w:rPr>
        <w:t>consented to their administration</w:t>
      </w:r>
      <w:r w:rsidR="004B7F97" w:rsidRPr="008762B5">
        <w:rPr>
          <w:rFonts w:cs="Arial"/>
        </w:rPr>
        <w:t>.</w:t>
      </w:r>
      <w:r w:rsidR="009A6804" w:rsidRPr="008762B5">
        <w:rPr>
          <w:rStyle w:val="FootnoteReference"/>
          <w:rFonts w:cs="Arial"/>
        </w:rPr>
        <w:footnoteReference w:id="76"/>
      </w:r>
    </w:p>
    <w:p w14:paraId="5E7F1BEB" w14:textId="77777777" w:rsidR="00A30217" w:rsidRPr="008762B5" w:rsidRDefault="00A30217" w:rsidP="005F57A1">
      <w:pPr>
        <w:spacing w:after="0"/>
      </w:pPr>
    </w:p>
    <w:p w14:paraId="6D314DE2" w14:textId="5ECE9704" w:rsidR="00E6432D" w:rsidRDefault="0049472E" w:rsidP="005F57A1">
      <w:pPr>
        <w:spacing w:after="0"/>
      </w:pPr>
      <w:r w:rsidRPr="008762B5">
        <w:t xml:space="preserve">Clearly, </w:t>
      </w:r>
      <w:r w:rsidR="002D7D69" w:rsidRPr="008762B5">
        <w:t xml:space="preserve">introducing </w:t>
      </w:r>
      <w:r w:rsidRPr="008762B5">
        <w:t>a ‘not proven’ provision</w:t>
      </w:r>
      <w:r w:rsidR="006F0802" w:rsidRPr="008762B5">
        <w:t xml:space="preserve"> of the type proposed</w:t>
      </w:r>
      <w:r w:rsidRPr="008762B5">
        <w:t xml:space="preserve"> would take a great deal of c</w:t>
      </w:r>
      <w:r w:rsidR="006F0802" w:rsidRPr="008762B5">
        <w:t>areful c</w:t>
      </w:r>
      <w:r w:rsidRPr="008762B5">
        <w:t>onsideration</w:t>
      </w:r>
      <w:r w:rsidR="00446F19" w:rsidRPr="008762B5">
        <w:t xml:space="preserve"> to ensure it w</w:t>
      </w:r>
      <w:r w:rsidR="002D7D69" w:rsidRPr="008762B5">
        <w:t>ould be workable and not open to abuse</w:t>
      </w:r>
      <w:r w:rsidRPr="008762B5">
        <w:t>. However</w:t>
      </w:r>
      <w:r w:rsidR="005E56AB" w:rsidRPr="008762B5">
        <w:t xml:space="preserve">, given the </w:t>
      </w:r>
      <w:r w:rsidR="00446F19" w:rsidRPr="008762B5">
        <w:t xml:space="preserve">increasingly </w:t>
      </w:r>
      <w:r w:rsidR="005E56AB" w:rsidRPr="008762B5">
        <w:t xml:space="preserve">high stakes associated with anti-doping cases and the potential for genuine doubt as to how (or even if) a prohibited substance has entered an athlete’s body, </w:t>
      </w:r>
      <w:r w:rsidR="00BC3187" w:rsidRPr="008762B5">
        <w:t xml:space="preserve">the </w:t>
      </w:r>
      <w:r w:rsidR="00994CB9" w:rsidRPr="008762B5">
        <w:t>availability</w:t>
      </w:r>
      <w:r w:rsidR="00BC3187" w:rsidRPr="008762B5">
        <w:t xml:space="preserve"> of </w:t>
      </w:r>
      <w:r w:rsidR="005E56AB" w:rsidRPr="008762B5">
        <w:t xml:space="preserve">such a </w:t>
      </w:r>
      <w:r w:rsidR="00BC3187" w:rsidRPr="008762B5">
        <w:t xml:space="preserve">provision </w:t>
      </w:r>
      <w:r w:rsidR="00994CB9" w:rsidRPr="008762B5">
        <w:t xml:space="preserve">in the Code </w:t>
      </w:r>
      <w:r w:rsidR="00BC3187" w:rsidRPr="008762B5">
        <w:t>could provide useful additional flexibility.</w:t>
      </w:r>
      <w:r w:rsidR="002158C7" w:rsidRPr="008762B5">
        <w:t xml:space="preserve"> It w</w:t>
      </w:r>
      <w:r w:rsidR="00994CB9" w:rsidRPr="008762B5">
        <w:t xml:space="preserve">ould </w:t>
      </w:r>
      <w:r w:rsidR="002158C7" w:rsidRPr="008762B5">
        <w:t>certainly</w:t>
      </w:r>
      <w:r w:rsidR="00994CB9" w:rsidRPr="008762B5">
        <w:t xml:space="preserve"> </w:t>
      </w:r>
      <w:r w:rsidR="002158C7" w:rsidRPr="008762B5">
        <w:t xml:space="preserve">seem to </w:t>
      </w:r>
      <w:r w:rsidR="00994CB9" w:rsidRPr="008762B5">
        <w:t xml:space="preserve">be </w:t>
      </w:r>
      <w:r w:rsidR="002158C7" w:rsidRPr="008762B5">
        <w:t xml:space="preserve">of benefit in cases involving a positive test for a prohibited substance </w:t>
      </w:r>
      <w:r w:rsidR="00994CB9" w:rsidRPr="008762B5">
        <w:t>where the</w:t>
      </w:r>
      <w:r w:rsidR="002158C7" w:rsidRPr="008762B5">
        <w:t xml:space="preserve"> precise route of ingestion</w:t>
      </w:r>
      <w:r w:rsidR="00994CB9" w:rsidRPr="008762B5">
        <w:t xml:space="preserve"> </w:t>
      </w:r>
      <w:r w:rsidR="002158C7" w:rsidRPr="008762B5">
        <w:t xml:space="preserve">cannot be established but where there is a reasonable indication that the athlete has demonstrated little or no fault or negligence. </w:t>
      </w:r>
      <w:r w:rsidR="004120BA">
        <w:t xml:space="preserve"> </w:t>
      </w:r>
      <w:r w:rsidR="001E61CB">
        <w:t>While s</w:t>
      </w:r>
      <w:r w:rsidR="001E61CB" w:rsidRPr="001E61CB">
        <w:t xml:space="preserve">trict liability </w:t>
      </w:r>
      <w:r w:rsidR="000338D9">
        <w:t>remain</w:t>
      </w:r>
      <w:r w:rsidR="00FC07DE">
        <w:t>s</w:t>
      </w:r>
      <w:r w:rsidR="001E61CB" w:rsidRPr="001E61CB">
        <w:t xml:space="preserve"> </w:t>
      </w:r>
      <w:r w:rsidR="004120BA" w:rsidRPr="001E61CB">
        <w:t xml:space="preserve">a cornerstone of </w:t>
      </w:r>
      <w:r w:rsidR="001E61CB" w:rsidRPr="001E61CB">
        <w:t xml:space="preserve">the </w:t>
      </w:r>
      <w:r w:rsidR="004120BA" w:rsidRPr="001E61CB">
        <w:t xml:space="preserve">anti-doping </w:t>
      </w:r>
      <w:r w:rsidR="000338D9">
        <w:t>edifice</w:t>
      </w:r>
      <w:r w:rsidR="001E61CB" w:rsidRPr="001E61CB">
        <w:t>,</w:t>
      </w:r>
      <w:r w:rsidR="004120BA" w:rsidRPr="001E61CB">
        <w:t xml:space="preserve"> </w:t>
      </w:r>
      <w:r w:rsidR="000338D9">
        <w:t xml:space="preserve">it is perhaps time to </w:t>
      </w:r>
      <w:r w:rsidR="00DA66C4">
        <w:t>consider</w:t>
      </w:r>
      <w:r w:rsidR="000338D9">
        <w:t xml:space="preserve"> </w:t>
      </w:r>
      <w:r w:rsidR="004120BA" w:rsidRPr="001E61CB">
        <w:t>a</w:t>
      </w:r>
      <w:r w:rsidR="00DA66C4">
        <w:t>dopting</w:t>
      </w:r>
      <w:r w:rsidR="00117C67">
        <w:t xml:space="preserve"> a</w:t>
      </w:r>
      <w:r w:rsidR="004120BA" w:rsidRPr="001E61CB">
        <w:t xml:space="preserve"> more nu</w:t>
      </w:r>
      <w:r w:rsidR="001E61CB">
        <w:t>anced</w:t>
      </w:r>
      <w:r w:rsidR="004120BA" w:rsidRPr="001E61CB">
        <w:t xml:space="preserve"> approach that mitigates </w:t>
      </w:r>
      <w:r w:rsidR="000338D9">
        <w:t xml:space="preserve">some of the </w:t>
      </w:r>
      <w:r w:rsidR="004120BA" w:rsidRPr="001E61CB">
        <w:t>harshness</w:t>
      </w:r>
      <w:r w:rsidR="001E61CB" w:rsidRPr="001E61CB">
        <w:t xml:space="preserve"> </w:t>
      </w:r>
      <w:r w:rsidR="000338D9">
        <w:t xml:space="preserve">that arises from a mechanistic application </w:t>
      </w:r>
      <w:r w:rsidR="001E61CB">
        <w:t xml:space="preserve">of </w:t>
      </w:r>
      <w:r w:rsidR="004120BA" w:rsidRPr="001E61CB">
        <w:t xml:space="preserve">the </w:t>
      </w:r>
      <w:r w:rsidR="000338D9">
        <w:t>rules</w:t>
      </w:r>
      <w:r w:rsidR="004120BA" w:rsidRPr="001E61CB">
        <w:t>.</w:t>
      </w:r>
    </w:p>
    <w:p w14:paraId="4D5EECB9" w14:textId="77777777" w:rsidR="00A30217" w:rsidRPr="00DE2898" w:rsidRDefault="00A30217" w:rsidP="005F57A1">
      <w:pPr>
        <w:spacing w:after="0"/>
      </w:pPr>
    </w:p>
    <w:p w14:paraId="3207F94C" w14:textId="77777777" w:rsidR="009A18B7" w:rsidRPr="009A18B7" w:rsidRDefault="009A18B7" w:rsidP="005F57A1">
      <w:pPr>
        <w:spacing w:after="0"/>
        <w:rPr>
          <w:b/>
          <w:u w:val="single"/>
        </w:rPr>
      </w:pPr>
      <w:r w:rsidRPr="009A18B7">
        <w:br w:type="page"/>
      </w:r>
      <w:r w:rsidRPr="009A18B7">
        <w:rPr>
          <w:b/>
          <w:u w:val="single"/>
        </w:rPr>
        <w:t>Bibliography</w:t>
      </w:r>
    </w:p>
    <w:p w14:paraId="76F3A329" w14:textId="77777777" w:rsidR="009A18B7" w:rsidRPr="009A18B7" w:rsidRDefault="009A18B7" w:rsidP="005F57A1">
      <w:pPr>
        <w:spacing w:after="0"/>
        <w:outlineLvl w:val="0"/>
        <w:rPr>
          <w:rFonts w:eastAsia="Arial Unicode MS"/>
          <w:color w:val="000000"/>
          <w:u w:color="000000"/>
        </w:rPr>
      </w:pPr>
    </w:p>
    <w:p w14:paraId="7BC751D4" w14:textId="77777777" w:rsidR="009A18B7" w:rsidRPr="009A18B7" w:rsidRDefault="005F57A1" w:rsidP="001D510B">
      <w:pPr>
        <w:spacing w:after="40"/>
        <w:outlineLvl w:val="0"/>
        <w:rPr>
          <w:rFonts w:eastAsia="Arial Unicode MS"/>
          <w:b/>
          <w:color w:val="000000"/>
          <w:u w:color="000000"/>
        </w:rPr>
      </w:pPr>
      <w:r>
        <w:rPr>
          <w:rFonts w:eastAsia="Arial Unicode MS"/>
          <w:b/>
          <w:color w:val="000000"/>
          <w:u w:color="000000"/>
        </w:rPr>
        <w:t>Cases</w:t>
      </w:r>
    </w:p>
    <w:p w14:paraId="289B2EA0" w14:textId="4AAED10C" w:rsidR="009A18B7" w:rsidRPr="00B47500" w:rsidRDefault="009A18B7" w:rsidP="00B47500">
      <w:pPr>
        <w:pStyle w:val="ListParagraph"/>
        <w:numPr>
          <w:ilvl w:val="0"/>
          <w:numId w:val="11"/>
        </w:numPr>
        <w:spacing w:after="40"/>
        <w:ind w:left="714" w:hanging="357"/>
        <w:outlineLvl w:val="0"/>
        <w:rPr>
          <w:sz w:val="18"/>
          <w:szCs w:val="18"/>
        </w:rPr>
      </w:pPr>
      <w:r w:rsidRPr="00B47500">
        <w:rPr>
          <w:i/>
          <w:sz w:val="18"/>
          <w:szCs w:val="18"/>
        </w:rPr>
        <w:t xml:space="preserve">CAS 2011/A/2384 Union </w:t>
      </w:r>
      <w:proofErr w:type="spellStart"/>
      <w:r w:rsidRPr="00B47500">
        <w:rPr>
          <w:i/>
          <w:sz w:val="18"/>
          <w:szCs w:val="18"/>
        </w:rPr>
        <w:t>Cycliste</w:t>
      </w:r>
      <w:proofErr w:type="spellEnd"/>
      <w:r w:rsidRPr="00B47500">
        <w:rPr>
          <w:i/>
          <w:sz w:val="18"/>
          <w:szCs w:val="18"/>
        </w:rPr>
        <w:t xml:space="preserve"> International (UCI) v. Alberto Contador Velasco &amp; Real </w:t>
      </w:r>
      <w:proofErr w:type="spellStart"/>
      <w:r w:rsidRPr="00B47500">
        <w:rPr>
          <w:i/>
          <w:sz w:val="18"/>
          <w:szCs w:val="18"/>
        </w:rPr>
        <w:t>Federación</w:t>
      </w:r>
      <w:proofErr w:type="spellEnd"/>
      <w:r w:rsidRPr="00B47500">
        <w:rPr>
          <w:i/>
          <w:sz w:val="18"/>
          <w:szCs w:val="18"/>
        </w:rPr>
        <w:t xml:space="preserve"> </w:t>
      </w:r>
      <w:proofErr w:type="spellStart"/>
      <w:r w:rsidRPr="00B47500">
        <w:rPr>
          <w:i/>
          <w:sz w:val="18"/>
          <w:szCs w:val="18"/>
        </w:rPr>
        <w:t>Espanõla</w:t>
      </w:r>
      <w:proofErr w:type="spellEnd"/>
      <w:r w:rsidRPr="00B47500">
        <w:rPr>
          <w:i/>
          <w:sz w:val="18"/>
          <w:szCs w:val="18"/>
        </w:rPr>
        <w:t xml:space="preserve"> de </w:t>
      </w:r>
      <w:proofErr w:type="spellStart"/>
      <w:r w:rsidRPr="00B47500">
        <w:rPr>
          <w:i/>
          <w:sz w:val="18"/>
          <w:szCs w:val="18"/>
        </w:rPr>
        <w:t>Ciclismo</w:t>
      </w:r>
      <w:proofErr w:type="spellEnd"/>
      <w:r w:rsidRPr="00B47500">
        <w:rPr>
          <w:i/>
          <w:sz w:val="18"/>
          <w:szCs w:val="18"/>
        </w:rPr>
        <w:t xml:space="preserve"> (RFEC) &amp; CAS 2011/A/2386 World Anti-Doping Agency (WADA) v</w:t>
      </w:r>
      <w:r w:rsidR="007F661B" w:rsidRPr="00B47500">
        <w:rPr>
          <w:i/>
          <w:sz w:val="18"/>
          <w:szCs w:val="18"/>
        </w:rPr>
        <w:t>.</w:t>
      </w:r>
      <w:r w:rsidRPr="00B47500">
        <w:rPr>
          <w:i/>
          <w:sz w:val="18"/>
          <w:szCs w:val="18"/>
        </w:rPr>
        <w:t xml:space="preserve"> Alberto Contador Velasco &amp; RFEC</w:t>
      </w:r>
    </w:p>
    <w:p w14:paraId="6458664C" w14:textId="2B9CA778" w:rsidR="009A18B7" w:rsidRPr="00B47500" w:rsidRDefault="009A18B7" w:rsidP="00B47500">
      <w:pPr>
        <w:pStyle w:val="ListParagraph"/>
        <w:numPr>
          <w:ilvl w:val="0"/>
          <w:numId w:val="11"/>
        </w:numPr>
        <w:spacing w:after="40"/>
        <w:ind w:left="714" w:hanging="357"/>
        <w:outlineLvl w:val="0"/>
        <w:rPr>
          <w:sz w:val="18"/>
          <w:szCs w:val="18"/>
        </w:rPr>
      </w:pPr>
      <w:r w:rsidRPr="00B47500">
        <w:rPr>
          <w:i/>
          <w:sz w:val="18"/>
          <w:szCs w:val="18"/>
        </w:rPr>
        <w:t>CAS 2008/A/1515 WADA v</w:t>
      </w:r>
      <w:r w:rsidR="007F661B" w:rsidRPr="00B47500">
        <w:rPr>
          <w:i/>
          <w:sz w:val="18"/>
          <w:szCs w:val="18"/>
        </w:rPr>
        <w:t>.</w:t>
      </w:r>
      <w:r w:rsidRPr="00B47500">
        <w:rPr>
          <w:i/>
          <w:sz w:val="18"/>
          <w:szCs w:val="18"/>
        </w:rPr>
        <w:t xml:space="preserve"> Swiss Olympic Association &amp; Simon </w:t>
      </w:r>
      <w:proofErr w:type="spellStart"/>
      <w:r w:rsidRPr="00B47500">
        <w:rPr>
          <w:i/>
          <w:sz w:val="18"/>
          <w:szCs w:val="18"/>
        </w:rPr>
        <w:t>Daubney</w:t>
      </w:r>
      <w:proofErr w:type="spellEnd"/>
    </w:p>
    <w:p w14:paraId="2B6EA0C9" w14:textId="48A7D4B6" w:rsidR="00AC23B9" w:rsidRPr="00B47500" w:rsidRDefault="00AC23B9" w:rsidP="00B47500">
      <w:pPr>
        <w:pStyle w:val="ListParagraph"/>
        <w:numPr>
          <w:ilvl w:val="0"/>
          <w:numId w:val="11"/>
        </w:numPr>
        <w:spacing w:after="40"/>
        <w:ind w:left="714" w:hanging="357"/>
        <w:outlineLvl w:val="0"/>
        <w:rPr>
          <w:rFonts w:eastAsia="Arial Unicode MS"/>
          <w:color w:val="000000"/>
          <w:sz w:val="18"/>
          <w:szCs w:val="18"/>
          <w:u w:color="000000"/>
        </w:rPr>
      </w:pPr>
      <w:r w:rsidRPr="00B47500">
        <w:rPr>
          <w:i/>
          <w:sz w:val="18"/>
          <w:szCs w:val="18"/>
        </w:rPr>
        <w:t>CAS 2006/A/1130 WADA v</w:t>
      </w:r>
      <w:r w:rsidR="007F661B" w:rsidRPr="00B47500">
        <w:rPr>
          <w:i/>
          <w:sz w:val="18"/>
          <w:szCs w:val="18"/>
        </w:rPr>
        <w:t>.</w:t>
      </w:r>
      <w:r w:rsidRPr="00B47500">
        <w:rPr>
          <w:i/>
          <w:sz w:val="18"/>
          <w:szCs w:val="18"/>
        </w:rPr>
        <w:t xml:space="preserve"> </w:t>
      </w:r>
      <w:proofErr w:type="spellStart"/>
      <w:r w:rsidRPr="00B47500">
        <w:rPr>
          <w:i/>
          <w:sz w:val="18"/>
          <w:szCs w:val="18"/>
        </w:rPr>
        <w:t>Stanic</w:t>
      </w:r>
      <w:proofErr w:type="spellEnd"/>
      <w:r w:rsidRPr="00B47500">
        <w:rPr>
          <w:i/>
          <w:sz w:val="18"/>
          <w:szCs w:val="18"/>
        </w:rPr>
        <w:t xml:space="preserve"> and Swiss Olympic Association</w:t>
      </w:r>
    </w:p>
    <w:p w14:paraId="2E5957F6" w14:textId="77777777" w:rsidR="009A18B7" w:rsidRPr="00B47500" w:rsidRDefault="009A18B7" w:rsidP="00B47500">
      <w:pPr>
        <w:pStyle w:val="ListParagraph"/>
        <w:numPr>
          <w:ilvl w:val="0"/>
          <w:numId w:val="11"/>
        </w:numPr>
        <w:spacing w:after="40"/>
        <w:ind w:left="714" w:hanging="357"/>
        <w:outlineLvl w:val="0"/>
        <w:rPr>
          <w:sz w:val="18"/>
          <w:szCs w:val="18"/>
        </w:rPr>
      </w:pPr>
      <w:r w:rsidRPr="00B47500">
        <w:rPr>
          <w:i/>
          <w:sz w:val="18"/>
          <w:szCs w:val="18"/>
        </w:rPr>
        <w:t>CAS 2009/A/1870 W</w:t>
      </w:r>
      <w:r w:rsidR="00DE680A" w:rsidRPr="00B47500">
        <w:rPr>
          <w:i/>
          <w:sz w:val="18"/>
          <w:szCs w:val="18"/>
        </w:rPr>
        <w:t xml:space="preserve">ADA </w:t>
      </w:r>
      <w:r w:rsidRPr="00B47500">
        <w:rPr>
          <w:i/>
          <w:sz w:val="18"/>
          <w:szCs w:val="18"/>
        </w:rPr>
        <w:t>v. Jessica Hardy &amp; United States Anti-Doping Agency (USADA)</w:t>
      </w:r>
    </w:p>
    <w:p w14:paraId="1F82E6AC" w14:textId="50A5320E" w:rsidR="00736E1C" w:rsidRPr="00B47500" w:rsidRDefault="00736E1C" w:rsidP="00B47500">
      <w:pPr>
        <w:pStyle w:val="ListParagraph"/>
        <w:numPr>
          <w:ilvl w:val="0"/>
          <w:numId w:val="11"/>
        </w:numPr>
        <w:spacing w:after="40"/>
        <w:ind w:left="714" w:hanging="357"/>
        <w:outlineLvl w:val="0"/>
        <w:rPr>
          <w:rFonts w:eastAsia="Arial Unicode MS"/>
          <w:color w:val="000000"/>
          <w:sz w:val="18"/>
          <w:szCs w:val="18"/>
          <w:u w:color="000000"/>
        </w:rPr>
      </w:pPr>
      <w:r w:rsidRPr="00B47500">
        <w:rPr>
          <w:rFonts w:cs="Times-Bold"/>
          <w:bCs/>
          <w:i/>
          <w:sz w:val="18"/>
          <w:szCs w:val="18"/>
        </w:rPr>
        <w:t>CAS 2014/A/3487 Veronica Campbell-Brown v. the Jamaica Athletics Administrative Association (JAAA) &amp; the International Association of Athletics Federations (IAAF)</w:t>
      </w:r>
    </w:p>
    <w:p w14:paraId="2060C4E9" w14:textId="77777777" w:rsidR="001D510B" w:rsidRDefault="001D510B" w:rsidP="001D510B">
      <w:pPr>
        <w:spacing w:after="40"/>
        <w:outlineLvl w:val="0"/>
        <w:rPr>
          <w:rFonts w:eastAsia="Arial Unicode MS"/>
          <w:color w:val="000000"/>
          <w:u w:color="000000"/>
        </w:rPr>
      </w:pPr>
    </w:p>
    <w:p w14:paraId="3B6EDEB5" w14:textId="77777777" w:rsidR="001D510B" w:rsidRPr="001D510B" w:rsidRDefault="001D510B" w:rsidP="001D510B">
      <w:pPr>
        <w:spacing w:after="40"/>
        <w:outlineLvl w:val="0"/>
        <w:rPr>
          <w:rFonts w:eastAsia="Arial Unicode MS"/>
          <w:b/>
          <w:color w:val="000000"/>
          <w:u w:color="000000"/>
        </w:rPr>
      </w:pPr>
      <w:r w:rsidRPr="001D510B">
        <w:rPr>
          <w:rFonts w:eastAsia="Arial Unicode MS"/>
          <w:b/>
          <w:color w:val="000000"/>
          <w:u w:color="000000"/>
        </w:rPr>
        <w:t>Books</w:t>
      </w:r>
    </w:p>
    <w:p w14:paraId="2762AB35" w14:textId="77777777" w:rsidR="001D510B" w:rsidRPr="00B47500" w:rsidRDefault="001D510B" w:rsidP="00B47500">
      <w:pPr>
        <w:pStyle w:val="ListParagraph"/>
        <w:numPr>
          <w:ilvl w:val="0"/>
          <w:numId w:val="12"/>
        </w:numPr>
        <w:spacing w:after="40"/>
        <w:ind w:left="714" w:hanging="357"/>
        <w:outlineLvl w:val="0"/>
        <w:rPr>
          <w:sz w:val="18"/>
          <w:szCs w:val="18"/>
        </w:rPr>
      </w:pPr>
      <w:r w:rsidRPr="00B47500">
        <w:rPr>
          <w:rFonts w:eastAsia="Arial Unicode MS"/>
          <w:color w:val="000000"/>
          <w:sz w:val="18"/>
          <w:szCs w:val="18"/>
          <w:u w:color="000000"/>
        </w:rPr>
        <w:t xml:space="preserve">Cooper C, </w:t>
      </w:r>
      <w:r w:rsidRPr="00B47500">
        <w:rPr>
          <w:rFonts w:eastAsia="Arial Unicode MS"/>
          <w:i/>
          <w:color w:val="000000"/>
          <w:sz w:val="18"/>
          <w:szCs w:val="18"/>
          <w:u w:color="000000"/>
        </w:rPr>
        <w:t>Run, Swim, Throw, Cheat: The Science Behind Drugs in Sport</w:t>
      </w:r>
      <w:r w:rsidRPr="00B47500">
        <w:rPr>
          <w:rFonts w:eastAsia="Arial Unicode MS"/>
          <w:color w:val="000000"/>
          <w:sz w:val="18"/>
          <w:szCs w:val="18"/>
          <w:u w:color="000000"/>
        </w:rPr>
        <w:t xml:space="preserve"> (1</w:t>
      </w:r>
      <w:r w:rsidRPr="00B47500">
        <w:rPr>
          <w:rFonts w:eastAsia="Arial Unicode MS"/>
          <w:color w:val="000000"/>
          <w:sz w:val="18"/>
          <w:szCs w:val="18"/>
          <w:u w:color="000000"/>
          <w:vertAlign w:val="superscript"/>
        </w:rPr>
        <w:t>st</w:t>
      </w:r>
      <w:r w:rsidRPr="00B47500">
        <w:rPr>
          <w:rFonts w:eastAsia="Arial Unicode MS"/>
          <w:color w:val="000000"/>
          <w:sz w:val="18"/>
          <w:szCs w:val="18"/>
          <w:u w:color="000000"/>
        </w:rPr>
        <w:t xml:space="preserve"> </w:t>
      </w:r>
      <w:proofErr w:type="spellStart"/>
      <w:r w:rsidRPr="00B47500">
        <w:rPr>
          <w:rFonts w:eastAsia="Arial Unicode MS"/>
          <w:color w:val="000000"/>
          <w:sz w:val="18"/>
          <w:szCs w:val="18"/>
          <w:u w:color="000000"/>
        </w:rPr>
        <w:t>edn</w:t>
      </w:r>
      <w:proofErr w:type="spellEnd"/>
      <w:r w:rsidRPr="00B47500">
        <w:rPr>
          <w:rFonts w:eastAsia="Arial Unicode MS"/>
          <w:color w:val="000000"/>
          <w:sz w:val="18"/>
          <w:szCs w:val="18"/>
          <w:u w:color="000000"/>
        </w:rPr>
        <w:t>, Oxford University Press 2012)</w:t>
      </w:r>
      <w:r w:rsidRPr="00B47500">
        <w:rPr>
          <w:sz w:val="18"/>
          <w:szCs w:val="18"/>
        </w:rPr>
        <w:t xml:space="preserve"> </w:t>
      </w:r>
    </w:p>
    <w:p w14:paraId="0F4EE7D9" w14:textId="613B95FC" w:rsidR="001D510B" w:rsidRPr="00B47500" w:rsidRDefault="001D510B" w:rsidP="00B47500">
      <w:pPr>
        <w:pStyle w:val="ListParagraph"/>
        <w:numPr>
          <w:ilvl w:val="0"/>
          <w:numId w:val="12"/>
        </w:numPr>
        <w:spacing w:after="40"/>
        <w:ind w:left="714" w:hanging="357"/>
        <w:outlineLvl w:val="0"/>
        <w:rPr>
          <w:sz w:val="18"/>
          <w:szCs w:val="18"/>
        </w:rPr>
      </w:pPr>
      <w:r w:rsidRPr="00B47500">
        <w:rPr>
          <w:sz w:val="18"/>
          <w:szCs w:val="18"/>
        </w:rPr>
        <w:t xml:space="preserve">Gardiner S, James M, O’Leary J </w:t>
      </w:r>
      <w:r w:rsidR="007F661B" w:rsidRPr="00B47500">
        <w:rPr>
          <w:sz w:val="18"/>
          <w:szCs w:val="18"/>
        </w:rPr>
        <w:t>&amp;</w:t>
      </w:r>
      <w:r w:rsidRPr="00B47500">
        <w:rPr>
          <w:sz w:val="18"/>
          <w:szCs w:val="18"/>
        </w:rPr>
        <w:t xml:space="preserve"> Welch R</w:t>
      </w:r>
      <w:r w:rsidR="007F661B" w:rsidRPr="00B47500">
        <w:rPr>
          <w:sz w:val="18"/>
          <w:szCs w:val="18"/>
        </w:rPr>
        <w:t>,</w:t>
      </w:r>
      <w:r w:rsidRPr="00B47500">
        <w:rPr>
          <w:sz w:val="18"/>
          <w:szCs w:val="18"/>
        </w:rPr>
        <w:t xml:space="preserve"> with </w:t>
      </w:r>
      <w:proofErr w:type="spellStart"/>
      <w:r w:rsidRPr="00B47500">
        <w:rPr>
          <w:sz w:val="18"/>
          <w:szCs w:val="18"/>
        </w:rPr>
        <w:t>Blackshaw</w:t>
      </w:r>
      <w:proofErr w:type="spellEnd"/>
      <w:r w:rsidRPr="00B47500">
        <w:rPr>
          <w:sz w:val="18"/>
          <w:szCs w:val="18"/>
        </w:rPr>
        <w:t xml:space="preserve"> I, Boyes S </w:t>
      </w:r>
      <w:r w:rsidR="007F661B" w:rsidRPr="00B47500">
        <w:rPr>
          <w:sz w:val="18"/>
          <w:szCs w:val="18"/>
        </w:rPr>
        <w:t>&amp;</w:t>
      </w:r>
      <w:r w:rsidRPr="00B47500">
        <w:rPr>
          <w:sz w:val="18"/>
          <w:szCs w:val="18"/>
        </w:rPr>
        <w:t xml:space="preserve"> </w:t>
      </w:r>
      <w:proofErr w:type="spellStart"/>
      <w:r w:rsidRPr="00B47500">
        <w:rPr>
          <w:sz w:val="18"/>
          <w:szCs w:val="18"/>
        </w:rPr>
        <w:t>Caiger</w:t>
      </w:r>
      <w:proofErr w:type="spellEnd"/>
      <w:r w:rsidRPr="00B47500">
        <w:rPr>
          <w:sz w:val="18"/>
          <w:szCs w:val="18"/>
        </w:rPr>
        <w:t xml:space="preserve"> A, </w:t>
      </w:r>
      <w:r w:rsidRPr="00B47500">
        <w:rPr>
          <w:i/>
          <w:sz w:val="18"/>
          <w:szCs w:val="18"/>
        </w:rPr>
        <w:t>Sports Law</w:t>
      </w:r>
      <w:r w:rsidRPr="00B47500">
        <w:rPr>
          <w:sz w:val="18"/>
          <w:szCs w:val="18"/>
        </w:rPr>
        <w:t xml:space="preserve"> (3</w:t>
      </w:r>
      <w:r w:rsidRPr="00B47500">
        <w:rPr>
          <w:sz w:val="18"/>
          <w:szCs w:val="18"/>
          <w:vertAlign w:val="superscript"/>
        </w:rPr>
        <w:t>rd</w:t>
      </w:r>
      <w:r w:rsidRPr="00B47500">
        <w:rPr>
          <w:sz w:val="18"/>
          <w:szCs w:val="18"/>
        </w:rPr>
        <w:t xml:space="preserve"> </w:t>
      </w:r>
      <w:proofErr w:type="spellStart"/>
      <w:r w:rsidRPr="00B47500">
        <w:rPr>
          <w:sz w:val="18"/>
          <w:szCs w:val="18"/>
        </w:rPr>
        <w:t>edn</w:t>
      </w:r>
      <w:proofErr w:type="spellEnd"/>
      <w:r w:rsidRPr="00B47500">
        <w:rPr>
          <w:sz w:val="18"/>
          <w:szCs w:val="18"/>
        </w:rPr>
        <w:t>, Cavendish Publishing 2006)</w:t>
      </w:r>
    </w:p>
    <w:p w14:paraId="61213045" w14:textId="77777777" w:rsidR="001D510B" w:rsidRPr="00B47500" w:rsidRDefault="001D510B" w:rsidP="00B47500">
      <w:pPr>
        <w:pStyle w:val="ListParagraph"/>
        <w:numPr>
          <w:ilvl w:val="0"/>
          <w:numId w:val="12"/>
        </w:numPr>
        <w:spacing w:after="40"/>
        <w:ind w:left="714" w:hanging="357"/>
        <w:outlineLvl w:val="0"/>
        <w:rPr>
          <w:rFonts w:eastAsia="Arial Unicode MS"/>
          <w:color w:val="000000"/>
          <w:sz w:val="18"/>
          <w:szCs w:val="18"/>
          <w:u w:color="000000"/>
        </w:rPr>
      </w:pPr>
      <w:r w:rsidRPr="00B47500">
        <w:rPr>
          <w:rFonts w:eastAsia="Arial Unicode MS"/>
          <w:color w:val="000000"/>
          <w:sz w:val="18"/>
          <w:szCs w:val="18"/>
          <w:u w:color="000000"/>
        </w:rPr>
        <w:t xml:space="preserve">James M, </w:t>
      </w:r>
      <w:r w:rsidRPr="00B47500">
        <w:rPr>
          <w:rFonts w:eastAsia="Arial Unicode MS"/>
          <w:i/>
          <w:color w:val="000000"/>
          <w:sz w:val="18"/>
          <w:szCs w:val="18"/>
          <w:u w:color="000000"/>
        </w:rPr>
        <w:t xml:space="preserve">Sports Law </w:t>
      </w:r>
      <w:r w:rsidRPr="00B47500">
        <w:rPr>
          <w:rFonts w:eastAsia="Arial Unicode MS"/>
          <w:color w:val="000000"/>
          <w:sz w:val="18"/>
          <w:szCs w:val="18"/>
          <w:u w:color="000000"/>
        </w:rPr>
        <w:t>(Palgrave Macmillan 2010)</w:t>
      </w:r>
    </w:p>
    <w:p w14:paraId="5145A8FF" w14:textId="57A1280C" w:rsidR="001D510B" w:rsidRPr="00B47500" w:rsidRDefault="001D510B" w:rsidP="00B47500">
      <w:pPr>
        <w:pStyle w:val="ListParagraph"/>
        <w:numPr>
          <w:ilvl w:val="0"/>
          <w:numId w:val="12"/>
        </w:numPr>
        <w:spacing w:after="40"/>
        <w:ind w:left="714" w:hanging="357"/>
        <w:outlineLvl w:val="0"/>
        <w:rPr>
          <w:rFonts w:eastAsia="Arial Unicode MS"/>
          <w:color w:val="000000"/>
          <w:sz w:val="18"/>
          <w:szCs w:val="18"/>
          <w:u w:color="000000"/>
        </w:rPr>
      </w:pPr>
      <w:r w:rsidRPr="00B47500">
        <w:rPr>
          <w:rFonts w:eastAsia="Arial Unicode MS"/>
          <w:color w:val="000000"/>
          <w:sz w:val="18"/>
          <w:szCs w:val="18"/>
          <w:u w:color="000000"/>
        </w:rPr>
        <w:t xml:space="preserve">Lewis A </w:t>
      </w:r>
      <w:r w:rsidR="007F661B" w:rsidRPr="00B47500">
        <w:rPr>
          <w:rFonts w:eastAsia="Arial Unicode MS"/>
          <w:color w:val="000000"/>
          <w:sz w:val="18"/>
          <w:szCs w:val="18"/>
          <w:u w:color="000000"/>
        </w:rPr>
        <w:t>&amp;</w:t>
      </w:r>
      <w:r w:rsidRPr="00B47500">
        <w:rPr>
          <w:rFonts w:eastAsia="Arial Unicode MS"/>
          <w:color w:val="000000"/>
          <w:sz w:val="18"/>
          <w:szCs w:val="18"/>
          <w:u w:color="000000"/>
        </w:rPr>
        <w:t xml:space="preserve"> Taylor J, </w:t>
      </w:r>
      <w:r w:rsidRPr="00B47500">
        <w:rPr>
          <w:rFonts w:eastAsia="Arial Unicode MS"/>
          <w:i/>
          <w:color w:val="000000"/>
          <w:sz w:val="18"/>
          <w:szCs w:val="18"/>
          <w:u w:color="000000"/>
        </w:rPr>
        <w:t>Sport: Law and Practice</w:t>
      </w:r>
      <w:r w:rsidRPr="00B47500">
        <w:rPr>
          <w:rFonts w:eastAsia="Arial Unicode MS"/>
          <w:color w:val="000000"/>
          <w:sz w:val="18"/>
          <w:szCs w:val="18"/>
          <w:u w:color="000000"/>
        </w:rPr>
        <w:t xml:space="preserve"> (2</w:t>
      </w:r>
      <w:r w:rsidRPr="00B47500">
        <w:rPr>
          <w:rFonts w:eastAsia="Arial Unicode MS"/>
          <w:color w:val="000000"/>
          <w:sz w:val="18"/>
          <w:szCs w:val="18"/>
          <w:u w:color="000000"/>
          <w:vertAlign w:val="superscript"/>
        </w:rPr>
        <w:t>nd</w:t>
      </w:r>
      <w:r w:rsidRPr="00B47500">
        <w:rPr>
          <w:rFonts w:eastAsia="Arial Unicode MS"/>
          <w:color w:val="000000"/>
          <w:sz w:val="18"/>
          <w:szCs w:val="18"/>
          <w:u w:color="000000"/>
        </w:rPr>
        <w:t xml:space="preserve"> </w:t>
      </w:r>
      <w:proofErr w:type="spellStart"/>
      <w:r w:rsidRPr="00B47500">
        <w:rPr>
          <w:rFonts w:eastAsia="Arial Unicode MS"/>
          <w:color w:val="000000"/>
          <w:sz w:val="18"/>
          <w:szCs w:val="18"/>
          <w:u w:color="000000"/>
        </w:rPr>
        <w:t>edn</w:t>
      </w:r>
      <w:proofErr w:type="spellEnd"/>
      <w:r w:rsidRPr="00B47500">
        <w:rPr>
          <w:rFonts w:eastAsia="Arial Unicode MS"/>
          <w:color w:val="000000"/>
          <w:sz w:val="18"/>
          <w:szCs w:val="18"/>
          <w:u w:color="000000"/>
        </w:rPr>
        <w:t xml:space="preserve">, </w:t>
      </w:r>
      <w:proofErr w:type="spellStart"/>
      <w:r w:rsidRPr="00B47500">
        <w:rPr>
          <w:rFonts w:eastAsia="Arial Unicode MS"/>
          <w:color w:val="000000"/>
          <w:sz w:val="18"/>
          <w:szCs w:val="18"/>
          <w:u w:color="000000"/>
        </w:rPr>
        <w:t>Tottell</w:t>
      </w:r>
      <w:proofErr w:type="spellEnd"/>
      <w:r w:rsidRPr="00B47500">
        <w:rPr>
          <w:rFonts w:eastAsia="Arial Unicode MS"/>
          <w:color w:val="000000"/>
          <w:sz w:val="18"/>
          <w:szCs w:val="18"/>
          <w:u w:color="000000"/>
        </w:rPr>
        <w:t xml:space="preserve"> Press 2008)</w:t>
      </w:r>
    </w:p>
    <w:p w14:paraId="787127FC" w14:textId="5A29F157" w:rsidR="001D510B" w:rsidRPr="00B47500" w:rsidRDefault="007F661B" w:rsidP="00B47500">
      <w:pPr>
        <w:pStyle w:val="ListParagraph"/>
        <w:numPr>
          <w:ilvl w:val="0"/>
          <w:numId w:val="12"/>
        </w:numPr>
        <w:spacing w:after="40"/>
        <w:ind w:left="714" w:hanging="357"/>
        <w:outlineLvl w:val="0"/>
        <w:rPr>
          <w:sz w:val="18"/>
          <w:szCs w:val="18"/>
        </w:rPr>
      </w:pPr>
      <w:r w:rsidRPr="00B47500">
        <w:rPr>
          <w:rFonts w:eastAsia="Arial Unicode MS"/>
          <w:color w:val="000000"/>
          <w:sz w:val="18"/>
          <w:szCs w:val="18"/>
          <w:u w:color="000000"/>
        </w:rPr>
        <w:t>McNamee M &amp;</w:t>
      </w:r>
      <w:r w:rsidR="001D510B" w:rsidRPr="00B47500">
        <w:rPr>
          <w:rFonts w:eastAsia="Arial Unicode MS"/>
          <w:color w:val="000000"/>
          <w:sz w:val="18"/>
          <w:szCs w:val="18"/>
          <w:u w:color="000000"/>
        </w:rPr>
        <w:t xml:space="preserve"> Moller V (</w:t>
      </w:r>
      <w:proofErr w:type="spellStart"/>
      <w:r w:rsidR="001D510B" w:rsidRPr="00B47500">
        <w:rPr>
          <w:rFonts w:eastAsia="Arial Unicode MS"/>
          <w:color w:val="000000"/>
          <w:sz w:val="18"/>
          <w:szCs w:val="18"/>
          <w:u w:color="000000"/>
        </w:rPr>
        <w:t>eds</w:t>
      </w:r>
      <w:proofErr w:type="spellEnd"/>
      <w:r w:rsidR="001D510B" w:rsidRPr="00B47500">
        <w:rPr>
          <w:rFonts w:eastAsia="Arial Unicode MS"/>
          <w:color w:val="000000"/>
          <w:sz w:val="18"/>
          <w:szCs w:val="18"/>
          <w:u w:color="000000"/>
        </w:rPr>
        <w:t xml:space="preserve">), </w:t>
      </w:r>
      <w:r w:rsidR="001D510B" w:rsidRPr="00B47500">
        <w:rPr>
          <w:rFonts w:eastAsia="Arial Unicode MS"/>
          <w:i/>
          <w:color w:val="000000"/>
          <w:sz w:val="18"/>
          <w:szCs w:val="18"/>
          <w:u w:color="000000"/>
        </w:rPr>
        <w:t>Doping and Anti-Doping Policy in Sport: Ethical, Legal and Social Perspectives</w:t>
      </w:r>
      <w:r w:rsidR="001D510B" w:rsidRPr="00B47500">
        <w:rPr>
          <w:rFonts w:eastAsia="Arial Unicode MS"/>
          <w:color w:val="000000"/>
          <w:sz w:val="18"/>
          <w:szCs w:val="18"/>
          <w:u w:color="000000"/>
        </w:rPr>
        <w:t xml:space="preserve"> (Routledge 2011)</w:t>
      </w:r>
    </w:p>
    <w:p w14:paraId="2817D739" w14:textId="77777777" w:rsidR="001D510B" w:rsidRPr="00B47500" w:rsidRDefault="001D510B" w:rsidP="00B47500">
      <w:pPr>
        <w:pStyle w:val="ListParagraph"/>
        <w:numPr>
          <w:ilvl w:val="0"/>
          <w:numId w:val="12"/>
        </w:numPr>
        <w:spacing w:after="40"/>
        <w:ind w:left="714" w:hanging="357"/>
        <w:outlineLvl w:val="0"/>
        <w:rPr>
          <w:sz w:val="18"/>
          <w:szCs w:val="18"/>
        </w:rPr>
      </w:pPr>
      <w:r w:rsidRPr="00B47500">
        <w:rPr>
          <w:sz w:val="18"/>
          <w:szCs w:val="18"/>
        </w:rPr>
        <w:t>O’Leary J (</w:t>
      </w:r>
      <w:proofErr w:type="spellStart"/>
      <w:r w:rsidRPr="00B47500">
        <w:rPr>
          <w:sz w:val="18"/>
          <w:szCs w:val="18"/>
        </w:rPr>
        <w:t>ed</w:t>
      </w:r>
      <w:proofErr w:type="spellEnd"/>
      <w:r w:rsidRPr="00B47500">
        <w:rPr>
          <w:sz w:val="18"/>
          <w:szCs w:val="18"/>
        </w:rPr>
        <w:t xml:space="preserve">), </w:t>
      </w:r>
      <w:r w:rsidRPr="00B47500">
        <w:rPr>
          <w:i/>
          <w:sz w:val="18"/>
          <w:szCs w:val="18"/>
        </w:rPr>
        <w:t xml:space="preserve">Doping in Sport: Socio-legal Perspectives </w:t>
      </w:r>
      <w:r w:rsidRPr="00B47500">
        <w:rPr>
          <w:sz w:val="18"/>
          <w:szCs w:val="18"/>
        </w:rPr>
        <w:t>(Cavendish Publishing 2001)</w:t>
      </w:r>
    </w:p>
    <w:p w14:paraId="35A8761B" w14:textId="69ADA0A7" w:rsidR="001D510B" w:rsidRPr="00B47500" w:rsidRDefault="007F661B" w:rsidP="00B47500">
      <w:pPr>
        <w:pStyle w:val="ListParagraph"/>
        <w:numPr>
          <w:ilvl w:val="0"/>
          <w:numId w:val="12"/>
        </w:numPr>
        <w:spacing w:after="40"/>
        <w:ind w:left="714" w:hanging="357"/>
        <w:outlineLvl w:val="0"/>
        <w:rPr>
          <w:sz w:val="18"/>
          <w:szCs w:val="18"/>
        </w:rPr>
      </w:pPr>
      <w:r w:rsidRPr="00B47500">
        <w:rPr>
          <w:sz w:val="18"/>
          <w:szCs w:val="18"/>
        </w:rPr>
        <w:t>Waddington I &amp;</w:t>
      </w:r>
      <w:r w:rsidR="001D510B" w:rsidRPr="00B47500">
        <w:rPr>
          <w:sz w:val="18"/>
          <w:szCs w:val="18"/>
        </w:rPr>
        <w:t xml:space="preserve"> Smith A, </w:t>
      </w:r>
      <w:r w:rsidR="001D510B" w:rsidRPr="00B47500">
        <w:rPr>
          <w:i/>
          <w:sz w:val="18"/>
          <w:szCs w:val="18"/>
        </w:rPr>
        <w:t>An Introduction to Drugs in Sport: Addicted to Winning?</w:t>
      </w:r>
      <w:r w:rsidR="001D510B" w:rsidRPr="00B47500">
        <w:rPr>
          <w:sz w:val="18"/>
          <w:szCs w:val="18"/>
        </w:rPr>
        <w:t xml:space="preserve"> (1</w:t>
      </w:r>
      <w:r w:rsidR="001D510B" w:rsidRPr="00B47500">
        <w:rPr>
          <w:sz w:val="18"/>
          <w:szCs w:val="18"/>
          <w:vertAlign w:val="superscript"/>
        </w:rPr>
        <w:t>st</w:t>
      </w:r>
      <w:r w:rsidR="001D510B" w:rsidRPr="00B47500">
        <w:rPr>
          <w:sz w:val="18"/>
          <w:szCs w:val="18"/>
        </w:rPr>
        <w:t xml:space="preserve"> </w:t>
      </w:r>
      <w:proofErr w:type="spellStart"/>
      <w:r w:rsidR="001D510B" w:rsidRPr="00B47500">
        <w:rPr>
          <w:sz w:val="18"/>
          <w:szCs w:val="18"/>
        </w:rPr>
        <w:t>edn</w:t>
      </w:r>
      <w:proofErr w:type="spellEnd"/>
      <w:r w:rsidR="001D510B" w:rsidRPr="00B47500">
        <w:rPr>
          <w:sz w:val="18"/>
          <w:szCs w:val="18"/>
        </w:rPr>
        <w:t>, Routledge 2009)</w:t>
      </w:r>
    </w:p>
    <w:p w14:paraId="1AC7BFD4" w14:textId="77777777" w:rsidR="009A18B7" w:rsidRDefault="009A18B7" w:rsidP="001D510B">
      <w:pPr>
        <w:spacing w:after="40"/>
        <w:outlineLvl w:val="0"/>
        <w:rPr>
          <w:rFonts w:eastAsia="Arial Unicode MS"/>
          <w:color w:val="000000"/>
          <w:u w:color="000000"/>
        </w:rPr>
      </w:pPr>
    </w:p>
    <w:p w14:paraId="7C16EF92" w14:textId="77777777" w:rsidR="009A18B7" w:rsidRDefault="001D510B" w:rsidP="001D510B">
      <w:pPr>
        <w:spacing w:after="40"/>
        <w:outlineLvl w:val="0"/>
        <w:rPr>
          <w:rFonts w:eastAsia="Arial Unicode MS"/>
          <w:b/>
          <w:color w:val="000000"/>
          <w:u w:color="000000"/>
        </w:rPr>
      </w:pPr>
      <w:r>
        <w:rPr>
          <w:rFonts w:eastAsia="Arial Unicode MS"/>
          <w:b/>
          <w:color w:val="000000"/>
          <w:u w:color="000000"/>
        </w:rPr>
        <w:t>Journals</w:t>
      </w:r>
    </w:p>
    <w:p w14:paraId="16F19FCA" w14:textId="787DC7D5" w:rsidR="001D510B" w:rsidRPr="00B47500" w:rsidRDefault="001D510B" w:rsidP="00B47500">
      <w:pPr>
        <w:pStyle w:val="ListParagraph"/>
        <w:numPr>
          <w:ilvl w:val="0"/>
          <w:numId w:val="12"/>
        </w:numPr>
        <w:spacing w:after="40"/>
        <w:ind w:left="714" w:hanging="357"/>
        <w:outlineLvl w:val="0"/>
        <w:rPr>
          <w:sz w:val="18"/>
          <w:szCs w:val="18"/>
        </w:rPr>
      </w:pPr>
      <w:proofErr w:type="spellStart"/>
      <w:r w:rsidRPr="00B47500">
        <w:rPr>
          <w:sz w:val="18"/>
          <w:szCs w:val="18"/>
        </w:rPr>
        <w:t>Gentzsch</w:t>
      </w:r>
      <w:proofErr w:type="spellEnd"/>
      <w:r w:rsidRPr="00B47500">
        <w:rPr>
          <w:sz w:val="18"/>
          <w:szCs w:val="18"/>
        </w:rPr>
        <w:t xml:space="preserve"> R, ‘Doping: Current and Future Anti-Doping</w:t>
      </w:r>
      <w:r w:rsidR="007F661B" w:rsidRPr="00B47500">
        <w:rPr>
          <w:sz w:val="18"/>
          <w:szCs w:val="18"/>
        </w:rPr>
        <w:t xml:space="preserve"> Regulation in Spain’ (2012) 10(</w:t>
      </w:r>
      <w:r w:rsidRPr="00B47500">
        <w:rPr>
          <w:sz w:val="18"/>
          <w:szCs w:val="18"/>
        </w:rPr>
        <w:t>3</w:t>
      </w:r>
      <w:r w:rsidR="007F661B" w:rsidRPr="00B47500">
        <w:rPr>
          <w:sz w:val="18"/>
          <w:szCs w:val="18"/>
        </w:rPr>
        <w:t>)</w:t>
      </w:r>
      <w:r w:rsidRPr="00B47500">
        <w:rPr>
          <w:sz w:val="18"/>
          <w:szCs w:val="18"/>
        </w:rPr>
        <w:t xml:space="preserve"> World Sports Law Report</w:t>
      </w:r>
    </w:p>
    <w:p w14:paraId="4E8BC3A7" w14:textId="57B76A7B" w:rsidR="001D510B" w:rsidRPr="00B47500" w:rsidRDefault="001D510B" w:rsidP="00B47500">
      <w:pPr>
        <w:pStyle w:val="ListParagraph"/>
        <w:numPr>
          <w:ilvl w:val="0"/>
          <w:numId w:val="12"/>
        </w:numPr>
        <w:spacing w:after="40"/>
        <w:ind w:left="714" w:hanging="357"/>
        <w:outlineLvl w:val="0"/>
        <w:rPr>
          <w:rFonts w:eastAsia="Arial Unicode MS"/>
          <w:color w:val="000000"/>
          <w:sz w:val="18"/>
          <w:szCs w:val="18"/>
          <w:u w:color="000000"/>
        </w:rPr>
      </w:pPr>
      <w:proofErr w:type="spellStart"/>
      <w:r w:rsidRPr="00B47500">
        <w:rPr>
          <w:sz w:val="18"/>
          <w:szCs w:val="18"/>
        </w:rPr>
        <w:t>Ibarrola</w:t>
      </w:r>
      <w:proofErr w:type="spellEnd"/>
      <w:r w:rsidRPr="00B47500">
        <w:rPr>
          <w:sz w:val="18"/>
          <w:szCs w:val="18"/>
        </w:rPr>
        <w:t xml:space="preserve"> J, ‘Doping: Contador: Burden of Proof and Presum</w:t>
      </w:r>
      <w:r w:rsidR="007F661B" w:rsidRPr="00B47500">
        <w:rPr>
          <w:sz w:val="18"/>
          <w:szCs w:val="18"/>
        </w:rPr>
        <w:t>ption of Culpability’ (2012) 10(</w:t>
      </w:r>
      <w:r w:rsidRPr="00B47500">
        <w:rPr>
          <w:sz w:val="18"/>
          <w:szCs w:val="18"/>
        </w:rPr>
        <w:t>4</w:t>
      </w:r>
      <w:r w:rsidR="007F661B" w:rsidRPr="00B47500">
        <w:rPr>
          <w:sz w:val="18"/>
          <w:szCs w:val="18"/>
        </w:rPr>
        <w:t>)</w:t>
      </w:r>
      <w:r w:rsidRPr="00B47500">
        <w:rPr>
          <w:sz w:val="18"/>
          <w:szCs w:val="18"/>
        </w:rPr>
        <w:t xml:space="preserve"> World Sports Law Report</w:t>
      </w:r>
    </w:p>
    <w:p w14:paraId="62DDAB24" w14:textId="1279211B" w:rsidR="001D510B" w:rsidRPr="00B47500" w:rsidRDefault="001D510B" w:rsidP="00B47500">
      <w:pPr>
        <w:pStyle w:val="ListParagraph"/>
        <w:numPr>
          <w:ilvl w:val="0"/>
          <w:numId w:val="12"/>
        </w:numPr>
        <w:spacing w:after="40"/>
        <w:ind w:left="714" w:hanging="357"/>
        <w:outlineLvl w:val="0"/>
        <w:rPr>
          <w:rFonts w:eastAsia="Arial Unicode MS"/>
          <w:color w:val="000000"/>
          <w:sz w:val="18"/>
          <w:szCs w:val="18"/>
          <w:u w:color="000000"/>
        </w:rPr>
      </w:pPr>
      <w:proofErr w:type="spellStart"/>
      <w:r w:rsidRPr="00B47500">
        <w:rPr>
          <w:rFonts w:eastAsia="Arial Unicode MS"/>
          <w:color w:val="000000"/>
          <w:sz w:val="18"/>
          <w:szCs w:val="18"/>
          <w:u w:color="000000"/>
        </w:rPr>
        <w:t>Mavromati</w:t>
      </w:r>
      <w:proofErr w:type="spellEnd"/>
      <w:r w:rsidRPr="00B47500">
        <w:rPr>
          <w:rFonts w:eastAsia="Arial Unicode MS"/>
          <w:color w:val="000000"/>
          <w:sz w:val="18"/>
          <w:szCs w:val="18"/>
          <w:u w:color="000000"/>
        </w:rPr>
        <w:t xml:space="preserve"> D </w:t>
      </w:r>
      <w:r w:rsidR="007F661B" w:rsidRPr="00B47500">
        <w:rPr>
          <w:rFonts w:eastAsia="Arial Unicode MS"/>
          <w:color w:val="000000"/>
          <w:sz w:val="18"/>
          <w:szCs w:val="18"/>
          <w:u w:color="000000"/>
        </w:rPr>
        <w:t>&amp;</w:t>
      </w:r>
      <w:r w:rsidRPr="00B47500">
        <w:rPr>
          <w:rFonts w:eastAsia="Arial Unicode MS"/>
          <w:color w:val="000000"/>
          <w:sz w:val="18"/>
          <w:szCs w:val="18"/>
          <w:u w:color="000000"/>
        </w:rPr>
        <w:t xml:space="preserve"> </w:t>
      </w:r>
      <w:proofErr w:type="spellStart"/>
      <w:r w:rsidRPr="00B47500">
        <w:rPr>
          <w:rFonts w:eastAsia="Arial Unicode MS"/>
          <w:color w:val="000000"/>
          <w:sz w:val="18"/>
          <w:szCs w:val="18"/>
          <w:u w:color="000000"/>
        </w:rPr>
        <w:t>Pellaux</w:t>
      </w:r>
      <w:proofErr w:type="spellEnd"/>
      <w:r w:rsidRPr="00B47500">
        <w:rPr>
          <w:rFonts w:eastAsia="Arial Unicode MS"/>
          <w:color w:val="000000"/>
          <w:sz w:val="18"/>
          <w:szCs w:val="18"/>
          <w:u w:color="000000"/>
        </w:rPr>
        <w:t xml:space="preserve"> P, ‘Article R57 of the CAS Code: A Purely Procedural Provision?’ [2013] International Sports Law Review 36</w:t>
      </w:r>
    </w:p>
    <w:p w14:paraId="6CFB7D3C" w14:textId="77777777" w:rsidR="001D510B" w:rsidRPr="00B47500" w:rsidRDefault="001D510B" w:rsidP="00B47500">
      <w:pPr>
        <w:pStyle w:val="ListParagraph"/>
        <w:numPr>
          <w:ilvl w:val="0"/>
          <w:numId w:val="12"/>
        </w:numPr>
        <w:spacing w:after="40"/>
        <w:ind w:left="714" w:hanging="357"/>
        <w:outlineLvl w:val="0"/>
        <w:rPr>
          <w:rFonts w:eastAsia="Arial Unicode MS"/>
          <w:color w:val="000000"/>
          <w:sz w:val="18"/>
          <w:szCs w:val="18"/>
          <w:u w:color="000000"/>
        </w:rPr>
      </w:pPr>
      <w:r w:rsidRPr="00B47500">
        <w:rPr>
          <w:rFonts w:eastAsia="Arial Unicode MS"/>
          <w:color w:val="000000"/>
          <w:sz w:val="18"/>
          <w:szCs w:val="18"/>
          <w:u w:color="000000"/>
        </w:rPr>
        <w:t>McLaren RH, ‘Doping Sanctions: What Penalty?’ [2002] International Sports Law Review 23</w:t>
      </w:r>
    </w:p>
    <w:p w14:paraId="07005BFD" w14:textId="77777777" w:rsidR="001D510B" w:rsidRPr="00B47500" w:rsidRDefault="001D510B" w:rsidP="00B47500">
      <w:pPr>
        <w:pStyle w:val="ListParagraph"/>
        <w:numPr>
          <w:ilvl w:val="0"/>
          <w:numId w:val="12"/>
        </w:numPr>
        <w:spacing w:after="40"/>
        <w:ind w:left="714" w:hanging="357"/>
        <w:outlineLvl w:val="0"/>
        <w:rPr>
          <w:rFonts w:eastAsia="Arial Unicode MS"/>
          <w:color w:val="000000"/>
          <w:sz w:val="18"/>
          <w:szCs w:val="18"/>
          <w:u w:color="000000"/>
        </w:rPr>
      </w:pPr>
      <w:r w:rsidRPr="00B47500">
        <w:rPr>
          <w:rFonts w:eastAsia="Arial Unicode MS"/>
          <w:color w:val="000000"/>
          <w:sz w:val="18"/>
          <w:szCs w:val="18"/>
          <w:u w:color="000000"/>
        </w:rPr>
        <w:t>-- ‘Exceptional circumstances: Is it Strict?’ [2005] International Sports Law Review 32</w:t>
      </w:r>
    </w:p>
    <w:p w14:paraId="33D5AFAF" w14:textId="77777777" w:rsidR="001D510B" w:rsidRPr="00B47500" w:rsidRDefault="001D510B" w:rsidP="00B47500">
      <w:pPr>
        <w:pStyle w:val="ListParagraph"/>
        <w:numPr>
          <w:ilvl w:val="0"/>
          <w:numId w:val="12"/>
        </w:numPr>
        <w:spacing w:after="40"/>
        <w:ind w:left="714" w:hanging="357"/>
        <w:outlineLvl w:val="0"/>
        <w:rPr>
          <w:sz w:val="18"/>
          <w:szCs w:val="18"/>
        </w:rPr>
      </w:pPr>
      <w:proofErr w:type="spellStart"/>
      <w:r w:rsidRPr="00B47500">
        <w:rPr>
          <w:sz w:val="18"/>
          <w:szCs w:val="18"/>
        </w:rPr>
        <w:t>Rezel</w:t>
      </w:r>
      <w:proofErr w:type="spellEnd"/>
      <w:r w:rsidRPr="00B47500">
        <w:rPr>
          <w:sz w:val="18"/>
          <w:szCs w:val="18"/>
        </w:rPr>
        <w:t>, R ‘Guilty Until Proven Innocent, and then, Still Guilty: What the World Anti-Doping Agency can Learn from the National Football League about First-Time Anti-Doping Violations’ (2012) 29 Wisconsin International Law Journal 807</w:t>
      </w:r>
    </w:p>
    <w:p w14:paraId="27C19DF3" w14:textId="77777777" w:rsidR="001D510B" w:rsidRPr="00B47500" w:rsidRDefault="001D510B" w:rsidP="00B47500">
      <w:pPr>
        <w:pStyle w:val="ListParagraph"/>
        <w:numPr>
          <w:ilvl w:val="0"/>
          <w:numId w:val="12"/>
        </w:numPr>
        <w:spacing w:after="40"/>
        <w:ind w:left="714" w:hanging="357"/>
        <w:outlineLvl w:val="0"/>
        <w:rPr>
          <w:sz w:val="18"/>
          <w:szCs w:val="18"/>
        </w:rPr>
      </w:pPr>
      <w:proofErr w:type="spellStart"/>
      <w:r w:rsidRPr="00B47500">
        <w:rPr>
          <w:sz w:val="18"/>
          <w:szCs w:val="18"/>
        </w:rPr>
        <w:t>Samaratunga</w:t>
      </w:r>
      <w:proofErr w:type="spellEnd"/>
      <w:r w:rsidRPr="00B47500">
        <w:rPr>
          <w:sz w:val="18"/>
          <w:szCs w:val="18"/>
        </w:rPr>
        <w:t xml:space="preserve"> S, ‘Uphill Struggle’ (2011) 155 Solicitors Journal 14</w:t>
      </w:r>
    </w:p>
    <w:p w14:paraId="2EA51B18" w14:textId="6DEA037F" w:rsidR="00A268AC" w:rsidRPr="00B47500" w:rsidRDefault="007F661B" w:rsidP="00B47500">
      <w:pPr>
        <w:pStyle w:val="ListParagraph"/>
        <w:numPr>
          <w:ilvl w:val="0"/>
          <w:numId w:val="12"/>
        </w:numPr>
        <w:spacing w:after="40"/>
        <w:ind w:left="714" w:hanging="357"/>
        <w:outlineLvl w:val="0"/>
        <w:rPr>
          <w:sz w:val="18"/>
          <w:szCs w:val="18"/>
        </w:rPr>
      </w:pPr>
      <w:r w:rsidRPr="00B47500">
        <w:rPr>
          <w:sz w:val="18"/>
          <w:szCs w:val="18"/>
        </w:rPr>
        <w:t>Taylor J &amp;</w:t>
      </w:r>
      <w:r w:rsidR="001D510B" w:rsidRPr="00B47500">
        <w:rPr>
          <w:sz w:val="18"/>
          <w:szCs w:val="18"/>
        </w:rPr>
        <w:t xml:space="preserve"> Delgado A, ‘Comments on the </w:t>
      </w:r>
      <w:r w:rsidR="001D510B" w:rsidRPr="00B47500">
        <w:rPr>
          <w:i/>
          <w:sz w:val="18"/>
          <w:szCs w:val="18"/>
        </w:rPr>
        <w:t>Contador</w:t>
      </w:r>
      <w:r w:rsidR="001D510B" w:rsidRPr="00B47500">
        <w:rPr>
          <w:sz w:val="18"/>
          <w:szCs w:val="18"/>
        </w:rPr>
        <w:t xml:space="preserve"> case: Should the Improbable be </w:t>
      </w:r>
      <w:proofErr w:type="gramStart"/>
      <w:r w:rsidR="001D510B" w:rsidRPr="00B47500">
        <w:rPr>
          <w:sz w:val="18"/>
          <w:szCs w:val="18"/>
        </w:rPr>
        <w:t>Accepted</w:t>
      </w:r>
      <w:proofErr w:type="gramEnd"/>
      <w:r w:rsidR="001D510B" w:rsidRPr="00B47500">
        <w:rPr>
          <w:sz w:val="18"/>
          <w:szCs w:val="18"/>
        </w:rPr>
        <w:t xml:space="preserve"> as Truth?’ (2013) 16 Spain Arbitration Review 115</w:t>
      </w:r>
    </w:p>
    <w:p w14:paraId="222B4628" w14:textId="1BE19A7E" w:rsidR="00A268AC" w:rsidRPr="00B47500" w:rsidRDefault="00A268AC" w:rsidP="00B47500">
      <w:pPr>
        <w:pStyle w:val="ListParagraph"/>
        <w:numPr>
          <w:ilvl w:val="0"/>
          <w:numId w:val="12"/>
        </w:numPr>
        <w:spacing w:after="40"/>
        <w:ind w:left="714" w:hanging="357"/>
        <w:outlineLvl w:val="0"/>
        <w:rPr>
          <w:rFonts w:cs="AdvTTb357327d.B"/>
          <w:sz w:val="18"/>
          <w:szCs w:val="18"/>
        </w:rPr>
      </w:pPr>
      <w:proofErr w:type="spellStart"/>
      <w:r w:rsidRPr="00B47500">
        <w:rPr>
          <w:rFonts w:cs="AdvTTb4a90e5b.B"/>
          <w:sz w:val="18"/>
          <w:szCs w:val="18"/>
        </w:rPr>
        <w:t>Thevis</w:t>
      </w:r>
      <w:proofErr w:type="spellEnd"/>
      <w:r w:rsidRPr="00B47500">
        <w:rPr>
          <w:rFonts w:cs="AdvTTb4a90e5b.B"/>
          <w:sz w:val="18"/>
          <w:szCs w:val="18"/>
        </w:rPr>
        <w:t xml:space="preserve"> M, Thomas</w:t>
      </w:r>
      <w:r w:rsidR="007F661B" w:rsidRPr="00B47500">
        <w:rPr>
          <w:rFonts w:cs="AdvTTb4a90e5b.B"/>
          <w:sz w:val="18"/>
          <w:szCs w:val="18"/>
        </w:rPr>
        <w:t xml:space="preserve"> A, </w:t>
      </w:r>
      <w:proofErr w:type="spellStart"/>
      <w:r w:rsidR="007F661B" w:rsidRPr="00B47500">
        <w:rPr>
          <w:rFonts w:cs="AdvTTb4a90e5b.B"/>
          <w:sz w:val="18"/>
          <w:szCs w:val="18"/>
        </w:rPr>
        <w:t>Beuck</w:t>
      </w:r>
      <w:proofErr w:type="spellEnd"/>
      <w:r w:rsidR="007F661B" w:rsidRPr="00B47500">
        <w:rPr>
          <w:rFonts w:cs="AdvTTb4a90e5b.B"/>
          <w:sz w:val="18"/>
          <w:szCs w:val="18"/>
        </w:rPr>
        <w:t xml:space="preserve"> S, Butch A, Dvorak J &amp;</w:t>
      </w:r>
      <w:r w:rsidRPr="00B47500">
        <w:rPr>
          <w:rFonts w:cs="AdvTTb4a90e5b.B"/>
          <w:sz w:val="18"/>
          <w:szCs w:val="18"/>
        </w:rPr>
        <w:t xml:space="preserve"> </w:t>
      </w:r>
      <w:proofErr w:type="spellStart"/>
      <w:r w:rsidRPr="00B47500">
        <w:rPr>
          <w:rFonts w:cs="AdvTTb4a90e5b.B"/>
          <w:sz w:val="18"/>
          <w:szCs w:val="18"/>
        </w:rPr>
        <w:t>Schänzer</w:t>
      </w:r>
      <w:proofErr w:type="spellEnd"/>
      <w:r w:rsidRPr="00B47500">
        <w:rPr>
          <w:rFonts w:cs="AdvTTb4a90e5b.B"/>
          <w:sz w:val="18"/>
          <w:szCs w:val="18"/>
        </w:rPr>
        <w:t xml:space="preserve"> W, ‘</w:t>
      </w:r>
      <w:r w:rsidRPr="00B47500">
        <w:rPr>
          <w:rFonts w:cs="AdvTTb357327d.B"/>
          <w:sz w:val="18"/>
          <w:szCs w:val="18"/>
        </w:rPr>
        <w:t xml:space="preserve">Does the analysis of the </w:t>
      </w:r>
      <w:proofErr w:type="spellStart"/>
      <w:r w:rsidRPr="00B47500">
        <w:rPr>
          <w:rFonts w:cs="AdvTTb357327d.B"/>
          <w:sz w:val="18"/>
          <w:szCs w:val="18"/>
        </w:rPr>
        <w:t>enantiomeric</w:t>
      </w:r>
      <w:proofErr w:type="spellEnd"/>
      <w:r w:rsidRPr="00B47500">
        <w:rPr>
          <w:rFonts w:cs="AdvTTb357327d.B"/>
          <w:sz w:val="18"/>
          <w:szCs w:val="18"/>
        </w:rPr>
        <w:t xml:space="preserve"> composition of clenbuterol in human urine enable the differentiation of illicit clenbuterol administration from food contamination in sports drug testing?’ (2013) 57 Rapid Communications in Mass Spectrometry 507-512</w:t>
      </w:r>
    </w:p>
    <w:p w14:paraId="12BDBA75" w14:textId="77777777" w:rsidR="001D510B" w:rsidRPr="009A18B7" w:rsidRDefault="001D510B" w:rsidP="001D510B">
      <w:pPr>
        <w:pStyle w:val="ListParagraph"/>
        <w:spacing w:after="40"/>
        <w:contextualSpacing w:val="0"/>
        <w:outlineLvl w:val="0"/>
      </w:pPr>
    </w:p>
    <w:p w14:paraId="13A6E4C3" w14:textId="77777777" w:rsidR="001D510B" w:rsidRDefault="001D510B" w:rsidP="001D510B">
      <w:pPr>
        <w:spacing w:after="40"/>
        <w:outlineLvl w:val="0"/>
        <w:rPr>
          <w:rFonts w:eastAsia="Arial Unicode MS"/>
          <w:b/>
          <w:color w:val="000000"/>
          <w:u w:color="000000"/>
        </w:rPr>
      </w:pPr>
      <w:r>
        <w:rPr>
          <w:rFonts w:eastAsia="Arial Unicode MS"/>
          <w:b/>
          <w:color w:val="000000"/>
          <w:u w:color="000000"/>
        </w:rPr>
        <w:t>Other Material</w:t>
      </w:r>
    </w:p>
    <w:p w14:paraId="6C791DF4" w14:textId="022CDBFC" w:rsidR="00F978BB" w:rsidRDefault="00F978BB" w:rsidP="00F978BB">
      <w:pPr>
        <w:pStyle w:val="ListParagraph"/>
        <w:numPr>
          <w:ilvl w:val="0"/>
          <w:numId w:val="14"/>
        </w:numPr>
        <w:spacing w:after="40"/>
        <w:outlineLvl w:val="0"/>
        <w:rPr>
          <w:sz w:val="18"/>
          <w:szCs w:val="18"/>
        </w:rPr>
      </w:pPr>
      <w:r>
        <w:rPr>
          <w:sz w:val="18"/>
          <w:szCs w:val="18"/>
        </w:rPr>
        <w:t xml:space="preserve">Author uncited, ‘Alberto Contador Blames Tainted Meat’ </w:t>
      </w:r>
      <w:r>
        <w:rPr>
          <w:i/>
          <w:sz w:val="18"/>
          <w:szCs w:val="18"/>
        </w:rPr>
        <w:t>ESPN</w:t>
      </w:r>
      <w:r>
        <w:rPr>
          <w:sz w:val="18"/>
          <w:szCs w:val="18"/>
        </w:rPr>
        <w:t xml:space="preserve"> (1 October 2010) (online) [</w:t>
      </w:r>
      <w:hyperlink r:id="rId21" w:history="1">
        <w:r>
          <w:rPr>
            <w:rStyle w:val="Hyperlink"/>
            <w:sz w:val="18"/>
            <w:szCs w:val="18"/>
          </w:rPr>
          <w:t>http://sports.espn.go.com/oly/cycling/news/story?id=5632256</w:t>
        </w:r>
      </w:hyperlink>
      <w:r>
        <w:rPr>
          <w:sz w:val="18"/>
          <w:szCs w:val="18"/>
        </w:rPr>
        <w:t>] &lt;Last accessed 10 August 2013&gt;</w:t>
      </w:r>
    </w:p>
    <w:p w14:paraId="21D59904" w14:textId="07DE11D7" w:rsidR="007340E0" w:rsidRPr="007340E0" w:rsidRDefault="007340E0" w:rsidP="007340E0">
      <w:pPr>
        <w:pStyle w:val="ListParagraph"/>
        <w:numPr>
          <w:ilvl w:val="0"/>
          <w:numId w:val="14"/>
        </w:numPr>
        <w:spacing w:after="40"/>
        <w:outlineLvl w:val="0"/>
        <w:rPr>
          <w:sz w:val="18"/>
          <w:szCs w:val="18"/>
        </w:rPr>
      </w:pPr>
      <w:r>
        <w:rPr>
          <w:sz w:val="18"/>
          <w:szCs w:val="18"/>
        </w:rPr>
        <w:t xml:space="preserve">Author uncited, </w:t>
      </w:r>
      <w:r w:rsidRPr="007340E0">
        <w:rPr>
          <w:sz w:val="18"/>
          <w:szCs w:val="18"/>
        </w:rPr>
        <w:t>‘</w:t>
      </w:r>
      <w:proofErr w:type="spellStart"/>
      <w:r w:rsidRPr="007340E0">
        <w:rPr>
          <w:sz w:val="18"/>
          <w:szCs w:val="18"/>
        </w:rPr>
        <w:t>Dr.</w:t>
      </w:r>
      <w:proofErr w:type="spellEnd"/>
      <w:r w:rsidRPr="007340E0">
        <w:rPr>
          <w:sz w:val="18"/>
          <w:szCs w:val="18"/>
        </w:rPr>
        <w:t xml:space="preserve"> Ziggy </w:t>
      </w:r>
      <w:proofErr w:type="spellStart"/>
      <w:r w:rsidRPr="007340E0">
        <w:rPr>
          <w:sz w:val="18"/>
          <w:szCs w:val="18"/>
        </w:rPr>
        <w:t>Switkowski</w:t>
      </w:r>
      <w:proofErr w:type="spellEnd"/>
      <w:r w:rsidRPr="007340E0">
        <w:rPr>
          <w:sz w:val="18"/>
          <w:szCs w:val="18"/>
        </w:rPr>
        <w:t xml:space="preserve"> Report’ (</w:t>
      </w:r>
      <w:proofErr w:type="spellStart"/>
      <w:r w:rsidRPr="007340E0">
        <w:rPr>
          <w:i/>
          <w:sz w:val="18"/>
          <w:szCs w:val="18"/>
        </w:rPr>
        <w:t>Essendon</w:t>
      </w:r>
      <w:proofErr w:type="spellEnd"/>
      <w:r w:rsidRPr="007340E0">
        <w:rPr>
          <w:i/>
          <w:sz w:val="18"/>
          <w:szCs w:val="18"/>
        </w:rPr>
        <w:t xml:space="preserve"> FC</w:t>
      </w:r>
      <w:r w:rsidRPr="007340E0">
        <w:rPr>
          <w:sz w:val="18"/>
          <w:szCs w:val="18"/>
        </w:rPr>
        <w:t xml:space="preserve">, 6 May 2013) </w:t>
      </w:r>
      <w:r>
        <w:rPr>
          <w:sz w:val="18"/>
          <w:szCs w:val="18"/>
        </w:rPr>
        <w:t>[</w:t>
      </w:r>
      <w:hyperlink r:id="rId22" w:history="1">
        <w:r w:rsidRPr="007340E0">
          <w:rPr>
            <w:rStyle w:val="Hyperlink"/>
            <w:sz w:val="18"/>
            <w:szCs w:val="18"/>
          </w:rPr>
          <w:t>www.essendonfc.com.au/news/2013-05-06/dr-ziggy-switskowski-report</w:t>
        </w:r>
      </w:hyperlink>
      <w:r>
        <w:t>]</w:t>
      </w:r>
      <w:r w:rsidRPr="007340E0">
        <w:rPr>
          <w:sz w:val="18"/>
          <w:szCs w:val="18"/>
        </w:rPr>
        <w:t xml:space="preserve"> </w:t>
      </w:r>
      <w:r>
        <w:rPr>
          <w:sz w:val="18"/>
          <w:szCs w:val="18"/>
        </w:rPr>
        <w:t>&lt;Last accessed 16 June 2015&gt;</w:t>
      </w:r>
    </w:p>
    <w:p w14:paraId="7B740E01" w14:textId="77777777" w:rsidR="00F978BB" w:rsidRPr="00F978BB" w:rsidRDefault="00F978BB" w:rsidP="00F978BB">
      <w:pPr>
        <w:pStyle w:val="ListParagraph"/>
        <w:numPr>
          <w:ilvl w:val="0"/>
          <w:numId w:val="14"/>
        </w:numPr>
        <w:spacing w:after="40"/>
        <w:outlineLvl w:val="0"/>
        <w:rPr>
          <w:sz w:val="18"/>
        </w:rPr>
      </w:pPr>
      <w:r w:rsidRPr="00F978BB">
        <w:rPr>
          <w:sz w:val="18"/>
        </w:rPr>
        <w:t xml:space="preserve">Author uncited, ‘Jon </w:t>
      </w:r>
      <w:proofErr w:type="spellStart"/>
      <w:r w:rsidRPr="00F978BB">
        <w:rPr>
          <w:sz w:val="18"/>
        </w:rPr>
        <w:t>Tiernan</w:t>
      </w:r>
      <w:proofErr w:type="spellEnd"/>
      <w:r w:rsidRPr="00F978BB">
        <w:rPr>
          <w:sz w:val="18"/>
        </w:rPr>
        <w:t xml:space="preserve">-Locke: I can’t afford to clear my name’ </w:t>
      </w:r>
      <w:r w:rsidRPr="00F978BB">
        <w:rPr>
          <w:i/>
          <w:sz w:val="18"/>
        </w:rPr>
        <w:t>Plymouth Herald</w:t>
      </w:r>
      <w:r w:rsidRPr="00F978BB">
        <w:rPr>
          <w:sz w:val="18"/>
        </w:rPr>
        <w:t xml:space="preserve"> (20 August 2014) (online) [</w:t>
      </w:r>
      <w:hyperlink r:id="rId23" w:history="1">
        <w:r w:rsidRPr="00F978BB">
          <w:rPr>
            <w:rStyle w:val="Hyperlink"/>
            <w:sz w:val="18"/>
          </w:rPr>
          <w:t>www.plymouthherald.co.uk/EXCLUSIVE-Jon-Tiernan-Locke-t-afford-clear/story-22783784-detail/story.html</w:t>
        </w:r>
      </w:hyperlink>
      <w:r w:rsidRPr="00F978BB">
        <w:rPr>
          <w:sz w:val="18"/>
        </w:rPr>
        <w:t>] &lt;Last accessed 20 June 2015&gt;</w:t>
      </w:r>
    </w:p>
    <w:p w14:paraId="3AA7B544" w14:textId="77777777" w:rsidR="00F978BB" w:rsidRPr="00F978BB" w:rsidRDefault="00F978BB" w:rsidP="00F978BB">
      <w:pPr>
        <w:pStyle w:val="ListParagraph"/>
        <w:numPr>
          <w:ilvl w:val="0"/>
          <w:numId w:val="14"/>
        </w:numPr>
        <w:spacing w:after="40"/>
        <w:outlineLvl w:val="0"/>
        <w:rPr>
          <w:sz w:val="18"/>
          <w:szCs w:val="18"/>
        </w:rPr>
      </w:pPr>
      <w:r w:rsidRPr="00F978BB">
        <w:rPr>
          <w:sz w:val="18"/>
          <w:szCs w:val="18"/>
        </w:rPr>
        <w:t xml:space="preserve">Author uncited, ‘Nielsen not Sanctioned for Clenbuterol Positive’ </w:t>
      </w:r>
      <w:proofErr w:type="spellStart"/>
      <w:r w:rsidRPr="00F978BB">
        <w:rPr>
          <w:i/>
          <w:sz w:val="18"/>
          <w:szCs w:val="18"/>
        </w:rPr>
        <w:t>Cyclingnews</w:t>
      </w:r>
      <w:proofErr w:type="spellEnd"/>
      <w:r w:rsidRPr="00F978BB">
        <w:rPr>
          <w:sz w:val="18"/>
          <w:szCs w:val="18"/>
        </w:rPr>
        <w:t xml:space="preserve"> (22 March 2011) (online) [</w:t>
      </w:r>
      <w:hyperlink r:id="rId24" w:history="1">
        <w:r w:rsidRPr="00F978BB">
          <w:rPr>
            <w:rStyle w:val="Hyperlink"/>
            <w:sz w:val="18"/>
            <w:szCs w:val="18"/>
          </w:rPr>
          <w:t>www.cyclingnews.com/news/nielsen-not-sanctioned-for-clenbuterol-positive</w:t>
        </w:r>
      </w:hyperlink>
      <w:r w:rsidRPr="00F978BB">
        <w:rPr>
          <w:sz w:val="18"/>
          <w:szCs w:val="18"/>
        </w:rPr>
        <w:t>] &lt;Last accessed 7 August 2013&gt;</w:t>
      </w:r>
    </w:p>
    <w:p w14:paraId="663F4DFC" w14:textId="2E3E1487" w:rsidR="00F978BB" w:rsidRPr="00F978BB" w:rsidRDefault="00F978BB" w:rsidP="00F978BB">
      <w:pPr>
        <w:pStyle w:val="ListParagraph"/>
        <w:numPr>
          <w:ilvl w:val="0"/>
          <w:numId w:val="14"/>
        </w:numPr>
        <w:spacing w:after="40"/>
        <w:outlineLvl w:val="0"/>
        <w:rPr>
          <w:sz w:val="18"/>
          <w:szCs w:val="18"/>
        </w:rPr>
      </w:pPr>
      <w:r w:rsidRPr="00F978BB">
        <w:rPr>
          <w:sz w:val="18"/>
          <w:szCs w:val="18"/>
        </w:rPr>
        <w:t xml:space="preserve">Author uncited, ‘PM: Spain Shouldn’t Sanction Contador’ </w:t>
      </w:r>
      <w:r w:rsidRPr="00F978BB">
        <w:rPr>
          <w:i/>
          <w:sz w:val="18"/>
          <w:szCs w:val="18"/>
        </w:rPr>
        <w:t>ESPN</w:t>
      </w:r>
      <w:r w:rsidRPr="00F978BB">
        <w:rPr>
          <w:sz w:val="18"/>
          <w:szCs w:val="18"/>
        </w:rPr>
        <w:t xml:space="preserve"> (11 February 2011) </w:t>
      </w:r>
      <w:r>
        <w:rPr>
          <w:sz w:val="18"/>
          <w:szCs w:val="18"/>
        </w:rPr>
        <w:t xml:space="preserve">(online) </w:t>
      </w:r>
      <w:r w:rsidRPr="00F978BB">
        <w:rPr>
          <w:sz w:val="18"/>
          <w:szCs w:val="18"/>
        </w:rPr>
        <w:t>[</w:t>
      </w:r>
      <w:hyperlink r:id="rId25" w:history="1">
        <w:r w:rsidRPr="00F978BB">
          <w:rPr>
            <w:rStyle w:val="Hyperlink"/>
            <w:sz w:val="18"/>
            <w:szCs w:val="18"/>
          </w:rPr>
          <w:t>http://sports.espn.go.com/oly/cycling/news/story?id=6111856</w:t>
        </w:r>
      </w:hyperlink>
      <w:r>
        <w:t>]</w:t>
      </w:r>
      <w:r w:rsidRPr="00F978BB">
        <w:rPr>
          <w:sz w:val="18"/>
          <w:szCs w:val="18"/>
        </w:rPr>
        <w:t xml:space="preserve"> &lt;</w:t>
      </w:r>
      <w:r>
        <w:rPr>
          <w:sz w:val="18"/>
          <w:szCs w:val="18"/>
        </w:rPr>
        <w:t xml:space="preserve">Last </w:t>
      </w:r>
      <w:r w:rsidRPr="00F978BB">
        <w:rPr>
          <w:sz w:val="18"/>
          <w:szCs w:val="18"/>
        </w:rPr>
        <w:t>accessed 2 August 2013&gt;</w:t>
      </w:r>
    </w:p>
    <w:p w14:paraId="1B4135BA" w14:textId="77777777" w:rsidR="007340E0" w:rsidRPr="007340E0" w:rsidRDefault="007340E0" w:rsidP="007340E0">
      <w:pPr>
        <w:pStyle w:val="ListParagraph"/>
        <w:numPr>
          <w:ilvl w:val="0"/>
          <w:numId w:val="14"/>
        </w:numPr>
        <w:spacing w:after="40"/>
        <w:outlineLvl w:val="0"/>
        <w:rPr>
          <w:sz w:val="18"/>
          <w:szCs w:val="18"/>
        </w:rPr>
      </w:pPr>
      <w:r w:rsidRPr="007340E0">
        <w:rPr>
          <w:sz w:val="18"/>
          <w:szCs w:val="18"/>
        </w:rPr>
        <w:t xml:space="preserve">Author uncited, ‘Timeline of events in the </w:t>
      </w:r>
      <w:proofErr w:type="spellStart"/>
      <w:r w:rsidRPr="007340E0">
        <w:rPr>
          <w:sz w:val="18"/>
          <w:szCs w:val="18"/>
        </w:rPr>
        <w:t>Essendon</w:t>
      </w:r>
      <w:proofErr w:type="spellEnd"/>
      <w:r w:rsidRPr="007340E0">
        <w:rPr>
          <w:sz w:val="18"/>
          <w:szCs w:val="18"/>
        </w:rPr>
        <w:t xml:space="preserve"> supplements saga’ </w:t>
      </w:r>
      <w:r w:rsidRPr="007340E0">
        <w:rPr>
          <w:i/>
          <w:sz w:val="18"/>
          <w:szCs w:val="18"/>
        </w:rPr>
        <w:t xml:space="preserve">Herald Sun </w:t>
      </w:r>
      <w:r w:rsidRPr="007340E0">
        <w:rPr>
          <w:sz w:val="18"/>
          <w:szCs w:val="18"/>
        </w:rPr>
        <w:t>(31 March 2015) [</w:t>
      </w:r>
      <w:hyperlink r:id="rId26" w:history="1">
        <w:r w:rsidRPr="007340E0">
          <w:rPr>
            <w:rStyle w:val="Hyperlink"/>
            <w:sz w:val="18"/>
            <w:szCs w:val="18"/>
          </w:rPr>
          <w:t>www.heraldsun.com.au/sport/afl/timeline-of-events-in-the-essendon-supplements-saga/story-fni5f6kv-1226774541366</w:t>
        </w:r>
      </w:hyperlink>
      <w:r w:rsidRPr="007340E0">
        <w:rPr>
          <w:sz w:val="18"/>
          <w:szCs w:val="18"/>
        </w:rPr>
        <w:t>] &lt;Last accessed 14 June 2015&gt;</w:t>
      </w:r>
    </w:p>
    <w:p w14:paraId="10396B75" w14:textId="77777777" w:rsidR="007340E0" w:rsidRPr="007340E0" w:rsidRDefault="007340E0" w:rsidP="007340E0">
      <w:pPr>
        <w:pStyle w:val="ListParagraph"/>
        <w:numPr>
          <w:ilvl w:val="0"/>
          <w:numId w:val="14"/>
        </w:numPr>
        <w:spacing w:after="40"/>
        <w:outlineLvl w:val="0"/>
        <w:rPr>
          <w:sz w:val="18"/>
          <w:szCs w:val="18"/>
        </w:rPr>
      </w:pPr>
      <w:r w:rsidRPr="007340E0">
        <w:rPr>
          <w:sz w:val="18"/>
          <w:szCs w:val="18"/>
        </w:rPr>
        <w:t>‘Full statement from the AFL’s Anti-Doping Tribunal’ (</w:t>
      </w:r>
      <w:r w:rsidRPr="007340E0">
        <w:rPr>
          <w:i/>
          <w:sz w:val="18"/>
          <w:szCs w:val="18"/>
        </w:rPr>
        <w:t>AFL</w:t>
      </w:r>
      <w:r w:rsidRPr="007340E0">
        <w:rPr>
          <w:sz w:val="18"/>
          <w:szCs w:val="18"/>
        </w:rPr>
        <w:t>, 31 March 2015) [</w:t>
      </w:r>
      <w:hyperlink r:id="rId27" w:history="1">
        <w:r w:rsidRPr="007340E0">
          <w:rPr>
            <w:rStyle w:val="Hyperlink"/>
            <w:sz w:val="18"/>
            <w:szCs w:val="18"/>
          </w:rPr>
          <w:t>www.afl.com.au/news/2015-03-31/full-tribunal-statement</w:t>
        </w:r>
      </w:hyperlink>
      <w:r w:rsidRPr="007340E0">
        <w:rPr>
          <w:sz w:val="18"/>
          <w:szCs w:val="18"/>
        </w:rPr>
        <w:t>] &lt;Last accessed 16 June 2015&gt;</w:t>
      </w:r>
    </w:p>
    <w:p w14:paraId="269ECA2F" w14:textId="77777777" w:rsidR="00F978BB" w:rsidRPr="00F978BB" w:rsidRDefault="00F978BB" w:rsidP="00F978BB">
      <w:pPr>
        <w:pStyle w:val="ListParagraph"/>
        <w:numPr>
          <w:ilvl w:val="0"/>
          <w:numId w:val="14"/>
        </w:numPr>
        <w:spacing w:after="40"/>
        <w:outlineLvl w:val="0"/>
        <w:rPr>
          <w:sz w:val="18"/>
          <w:szCs w:val="18"/>
        </w:rPr>
      </w:pPr>
      <w:r w:rsidRPr="00F978BB">
        <w:rPr>
          <w:sz w:val="18"/>
          <w:szCs w:val="18"/>
        </w:rPr>
        <w:t xml:space="preserve">Atkins B, ‘Alberto Contador Given One-Year Ban by Spanish Federation’ </w:t>
      </w:r>
      <w:proofErr w:type="spellStart"/>
      <w:r w:rsidRPr="00F978BB">
        <w:rPr>
          <w:i/>
          <w:sz w:val="18"/>
          <w:szCs w:val="18"/>
        </w:rPr>
        <w:t>VeloNation</w:t>
      </w:r>
      <w:proofErr w:type="spellEnd"/>
      <w:r w:rsidRPr="00F978BB">
        <w:rPr>
          <w:sz w:val="18"/>
          <w:szCs w:val="18"/>
        </w:rPr>
        <w:t xml:space="preserve"> (26 January 2011) (online) [</w:t>
      </w:r>
      <w:hyperlink r:id="rId28" w:history="1">
        <w:r w:rsidRPr="00F978BB">
          <w:rPr>
            <w:rStyle w:val="Hyperlink"/>
            <w:sz w:val="18"/>
            <w:szCs w:val="18"/>
          </w:rPr>
          <w:t>www.velonation.com/News/ID/7220/Alberto-Contador-given-one-year-ban-by-Spanish-Federation.aspx</w:t>
        </w:r>
      </w:hyperlink>
      <w:r>
        <w:t>]</w:t>
      </w:r>
      <w:r w:rsidRPr="00F978BB">
        <w:rPr>
          <w:sz w:val="18"/>
          <w:szCs w:val="18"/>
        </w:rPr>
        <w:t xml:space="preserve"> &lt;Last accessed 12 August 2013&gt;</w:t>
      </w:r>
    </w:p>
    <w:p w14:paraId="1907D05F" w14:textId="77777777" w:rsidR="002264A1" w:rsidRPr="002264A1" w:rsidRDefault="002264A1" w:rsidP="002264A1">
      <w:pPr>
        <w:pStyle w:val="ListParagraph"/>
        <w:numPr>
          <w:ilvl w:val="0"/>
          <w:numId w:val="14"/>
        </w:numPr>
        <w:spacing w:after="40"/>
        <w:outlineLvl w:val="0"/>
        <w:rPr>
          <w:sz w:val="18"/>
          <w:lang w:val="en"/>
        </w:rPr>
      </w:pPr>
      <w:r w:rsidRPr="002264A1">
        <w:rPr>
          <w:sz w:val="18"/>
        </w:rPr>
        <w:t>Baker G, ‘</w:t>
      </w:r>
      <w:r w:rsidRPr="002264A1">
        <w:rPr>
          <w:sz w:val="18"/>
          <w:lang w:val="en"/>
        </w:rPr>
        <w:t xml:space="preserve">AFL issues </w:t>
      </w:r>
      <w:proofErr w:type="spellStart"/>
      <w:r w:rsidRPr="002264A1">
        <w:rPr>
          <w:sz w:val="18"/>
          <w:lang w:val="en"/>
        </w:rPr>
        <w:t>Essendon</w:t>
      </w:r>
      <w:proofErr w:type="spellEnd"/>
      <w:r w:rsidRPr="002264A1">
        <w:rPr>
          <w:sz w:val="18"/>
          <w:lang w:val="en"/>
        </w:rPr>
        <w:t xml:space="preserve"> 34 with infraction notices, Bombers accused of using banned </w:t>
      </w:r>
      <w:proofErr w:type="spellStart"/>
      <w:r w:rsidRPr="002264A1">
        <w:rPr>
          <w:sz w:val="18"/>
          <w:lang w:val="en"/>
        </w:rPr>
        <w:t>Thymosin</w:t>
      </w:r>
      <w:proofErr w:type="spellEnd"/>
      <w:r w:rsidRPr="002264A1">
        <w:rPr>
          <w:sz w:val="18"/>
          <w:lang w:val="en"/>
        </w:rPr>
        <w:t xml:space="preserve"> beta-4’ </w:t>
      </w:r>
      <w:r w:rsidRPr="002264A1">
        <w:rPr>
          <w:i/>
          <w:sz w:val="18"/>
          <w:lang w:val="en"/>
        </w:rPr>
        <w:t>Herald Sun</w:t>
      </w:r>
      <w:r w:rsidRPr="002264A1">
        <w:rPr>
          <w:sz w:val="18"/>
          <w:lang w:val="en"/>
        </w:rPr>
        <w:t xml:space="preserve"> (14 November 2014) [</w:t>
      </w:r>
      <w:hyperlink r:id="rId29" w:history="1">
        <w:r w:rsidRPr="002264A1">
          <w:rPr>
            <w:rStyle w:val="Hyperlink"/>
            <w:sz w:val="18"/>
            <w:lang w:val="en"/>
          </w:rPr>
          <w:t>www.heraldsun.com.au/sport/afl/afl-issues-essendon-34-with-infraction-notices-bombers-accused-of-using-banned-thymosin-beta4/story-fni5f6kv-1227121859160</w:t>
        </w:r>
      </w:hyperlink>
      <w:r>
        <w:t>]</w:t>
      </w:r>
      <w:r w:rsidRPr="002264A1">
        <w:rPr>
          <w:sz w:val="18"/>
          <w:lang w:val="en"/>
        </w:rPr>
        <w:t xml:space="preserve"> &lt;Last accessed 20 June 2015&gt;</w:t>
      </w:r>
    </w:p>
    <w:p w14:paraId="04A2C08B" w14:textId="62E58D91" w:rsidR="009A18B7" w:rsidRPr="00B47500" w:rsidRDefault="001D510B" w:rsidP="00B47500">
      <w:pPr>
        <w:pStyle w:val="ListParagraph"/>
        <w:numPr>
          <w:ilvl w:val="0"/>
          <w:numId w:val="14"/>
        </w:numPr>
        <w:spacing w:after="40"/>
        <w:ind w:left="714" w:hanging="357"/>
        <w:outlineLvl w:val="0"/>
        <w:rPr>
          <w:rFonts w:eastAsia="Arial Unicode MS"/>
          <w:b/>
          <w:color w:val="000000"/>
          <w:sz w:val="18"/>
          <w:szCs w:val="18"/>
          <w:u w:color="000000"/>
        </w:rPr>
      </w:pPr>
      <w:proofErr w:type="spellStart"/>
      <w:r w:rsidRPr="00B47500">
        <w:rPr>
          <w:rFonts w:eastAsia="Arial Unicode MS"/>
          <w:color w:val="000000"/>
          <w:sz w:val="18"/>
          <w:szCs w:val="18"/>
          <w:u w:color="000000"/>
        </w:rPr>
        <w:t>Birnie</w:t>
      </w:r>
      <w:proofErr w:type="spellEnd"/>
      <w:r w:rsidRPr="00B47500">
        <w:rPr>
          <w:rFonts w:eastAsia="Arial Unicode MS"/>
          <w:color w:val="000000"/>
          <w:sz w:val="18"/>
          <w:szCs w:val="18"/>
          <w:u w:color="000000"/>
        </w:rPr>
        <w:t xml:space="preserve"> L, ‘The boys w</w:t>
      </w:r>
      <w:r w:rsidR="00685164" w:rsidRPr="00B47500">
        <w:rPr>
          <w:rFonts w:eastAsia="Arial Unicode MS"/>
          <w:color w:val="000000"/>
          <w:sz w:val="18"/>
          <w:szCs w:val="18"/>
          <w:u w:color="000000"/>
        </w:rPr>
        <w:t xml:space="preserve">ho cried wolf’ (February 2012) </w:t>
      </w:r>
      <w:r w:rsidR="00F978BB">
        <w:rPr>
          <w:rFonts w:eastAsia="Arial Unicode MS"/>
          <w:color w:val="000000"/>
          <w:sz w:val="18"/>
          <w:szCs w:val="18"/>
          <w:u w:color="000000"/>
        </w:rPr>
        <w:t xml:space="preserve">(online) </w:t>
      </w:r>
      <w:r w:rsidR="00685164" w:rsidRPr="00B47500">
        <w:rPr>
          <w:rFonts w:eastAsia="Arial Unicode MS"/>
          <w:color w:val="000000"/>
          <w:sz w:val="18"/>
          <w:szCs w:val="18"/>
          <w:u w:color="000000"/>
        </w:rPr>
        <w:t>[</w:t>
      </w:r>
      <w:hyperlink r:id="rId30" w:history="1">
        <w:r w:rsidRPr="00B47500">
          <w:rPr>
            <w:rStyle w:val="Hyperlink"/>
            <w:rFonts w:eastAsia="Arial Unicode MS"/>
            <w:sz w:val="18"/>
            <w:szCs w:val="18"/>
            <w:u w:color="000000"/>
          </w:rPr>
          <w:t>www.lionelbirnie.com/the-boys-who-cried-wolf/</w:t>
        </w:r>
      </w:hyperlink>
      <w:r w:rsidR="00685164" w:rsidRPr="00B47500">
        <w:rPr>
          <w:rFonts w:eastAsia="Arial Unicode MS"/>
          <w:color w:val="000000"/>
          <w:sz w:val="18"/>
          <w:szCs w:val="18"/>
          <w:u w:color="000000"/>
        </w:rPr>
        <w:t>]</w:t>
      </w:r>
      <w:r w:rsidR="00B47500">
        <w:rPr>
          <w:rFonts w:eastAsia="Arial Unicode MS"/>
          <w:color w:val="000000"/>
          <w:sz w:val="18"/>
          <w:szCs w:val="18"/>
          <w:u w:color="000000"/>
        </w:rPr>
        <w:t xml:space="preserve"> &lt;Last accessed 5 August 2013&gt;</w:t>
      </w:r>
    </w:p>
    <w:p w14:paraId="40592072" w14:textId="0F04CAF8" w:rsidR="00F978BB" w:rsidRPr="00F978BB" w:rsidRDefault="00F978BB" w:rsidP="00F978BB">
      <w:pPr>
        <w:pStyle w:val="ListParagraph"/>
        <w:numPr>
          <w:ilvl w:val="0"/>
          <w:numId w:val="14"/>
        </w:numPr>
        <w:spacing w:after="40"/>
        <w:outlineLvl w:val="0"/>
        <w:rPr>
          <w:sz w:val="18"/>
          <w:szCs w:val="18"/>
        </w:rPr>
      </w:pPr>
      <w:r w:rsidRPr="00F978BB">
        <w:rPr>
          <w:sz w:val="18"/>
          <w:szCs w:val="18"/>
        </w:rPr>
        <w:t>CNCDD Disciplinary Proceedings no. 17/2010 (English translation available at: [</w:t>
      </w:r>
      <w:hyperlink r:id="rId31" w:history="1">
        <w:r w:rsidRPr="00F978BB">
          <w:rPr>
            <w:rStyle w:val="Hyperlink"/>
            <w:sz w:val="18"/>
            <w:szCs w:val="18"/>
          </w:rPr>
          <w:t>www.albertocontadornotebook.info/ResolutionContador.pdf</w:t>
        </w:r>
      </w:hyperlink>
      <w:r w:rsidRPr="00F978BB">
        <w:rPr>
          <w:sz w:val="18"/>
          <w:szCs w:val="18"/>
        </w:rPr>
        <w:t>]</w:t>
      </w:r>
      <w:r>
        <w:rPr>
          <w:sz w:val="18"/>
          <w:szCs w:val="18"/>
        </w:rPr>
        <w:t>)</w:t>
      </w:r>
      <w:r w:rsidRPr="00F978BB">
        <w:rPr>
          <w:sz w:val="18"/>
          <w:szCs w:val="18"/>
        </w:rPr>
        <w:t xml:space="preserve"> &lt;Last accessed 12 August 2013&gt;</w:t>
      </w:r>
    </w:p>
    <w:p w14:paraId="6C4235CA" w14:textId="6B1A16B2" w:rsidR="009A18B7" w:rsidRPr="00B47500" w:rsidRDefault="009A18B7" w:rsidP="00B47500">
      <w:pPr>
        <w:pStyle w:val="ListParagraph"/>
        <w:numPr>
          <w:ilvl w:val="0"/>
          <w:numId w:val="12"/>
        </w:numPr>
        <w:spacing w:after="40"/>
        <w:ind w:left="714" w:hanging="357"/>
        <w:outlineLvl w:val="0"/>
        <w:rPr>
          <w:rFonts w:eastAsia="Arial Unicode MS"/>
          <w:color w:val="000000"/>
          <w:sz w:val="18"/>
          <w:szCs w:val="18"/>
          <w:u w:color="000000"/>
        </w:rPr>
      </w:pPr>
      <w:r w:rsidRPr="00B47500">
        <w:rPr>
          <w:rFonts w:eastAsia="Arial Unicode MS"/>
          <w:color w:val="000000"/>
          <w:sz w:val="18"/>
          <w:szCs w:val="18"/>
          <w:u w:color="000000"/>
        </w:rPr>
        <w:t xml:space="preserve">De Boer, D ‘Expert Opinion of the Origin of Unexpected Presence of Clenbuterol in Biological Samples’ </w:t>
      </w:r>
      <w:proofErr w:type="spellStart"/>
      <w:r w:rsidR="00F978BB">
        <w:rPr>
          <w:rFonts w:eastAsia="Arial Unicode MS"/>
          <w:i/>
          <w:color w:val="000000"/>
          <w:sz w:val="18"/>
          <w:szCs w:val="18"/>
          <w:u w:color="000000"/>
        </w:rPr>
        <w:t>Velonation</w:t>
      </w:r>
      <w:proofErr w:type="spellEnd"/>
      <w:r w:rsidR="00F978BB">
        <w:rPr>
          <w:rFonts w:eastAsia="Arial Unicode MS"/>
          <w:i/>
          <w:color w:val="000000"/>
          <w:sz w:val="18"/>
          <w:szCs w:val="18"/>
          <w:u w:color="000000"/>
        </w:rPr>
        <w:t xml:space="preserve"> </w:t>
      </w:r>
      <w:r w:rsidRPr="00B47500">
        <w:rPr>
          <w:rFonts w:eastAsia="Arial Unicode MS"/>
          <w:color w:val="000000"/>
          <w:sz w:val="18"/>
          <w:szCs w:val="18"/>
          <w:u w:color="000000"/>
        </w:rPr>
        <w:t xml:space="preserve">(September 2010) </w:t>
      </w:r>
      <w:r w:rsidR="00F978BB">
        <w:rPr>
          <w:rFonts w:eastAsia="Arial Unicode MS"/>
          <w:color w:val="000000"/>
          <w:sz w:val="18"/>
          <w:szCs w:val="18"/>
          <w:u w:color="000000"/>
        </w:rPr>
        <w:t>(online)</w:t>
      </w:r>
      <w:r w:rsidR="005F57A1" w:rsidRPr="00B47500">
        <w:rPr>
          <w:rFonts w:eastAsia="Arial Unicode MS"/>
          <w:color w:val="000000"/>
          <w:sz w:val="18"/>
          <w:szCs w:val="18"/>
          <w:u w:color="000000"/>
        </w:rPr>
        <w:t xml:space="preserve"> </w:t>
      </w:r>
      <w:r w:rsidR="00685164" w:rsidRPr="00B47500">
        <w:rPr>
          <w:rFonts w:eastAsia="Arial Unicode MS"/>
          <w:color w:val="000000"/>
          <w:sz w:val="18"/>
          <w:szCs w:val="18"/>
          <w:u w:color="000000"/>
        </w:rPr>
        <w:t>[</w:t>
      </w:r>
      <w:hyperlink r:id="rId32" w:history="1">
        <w:r w:rsidR="001D510B" w:rsidRPr="00B47500">
          <w:rPr>
            <w:rStyle w:val="Hyperlink"/>
            <w:rFonts w:eastAsia="Arial Unicode MS"/>
            <w:sz w:val="18"/>
            <w:szCs w:val="18"/>
            <w:u w:color="000000"/>
          </w:rPr>
          <w:t>www.velonation.com/Photos/Photo-Album/mmid/614/mediaid/574.aspx</w:t>
        </w:r>
      </w:hyperlink>
      <w:r w:rsidR="00685164" w:rsidRPr="00B47500">
        <w:rPr>
          <w:rFonts w:eastAsia="Arial Unicode MS"/>
          <w:color w:val="000000"/>
          <w:sz w:val="18"/>
          <w:szCs w:val="18"/>
          <w:u w:color="000000"/>
        </w:rPr>
        <w:t>]</w:t>
      </w:r>
      <w:r w:rsidRPr="00B47500">
        <w:rPr>
          <w:rFonts w:eastAsia="Arial Unicode MS"/>
          <w:color w:val="000000"/>
          <w:sz w:val="18"/>
          <w:szCs w:val="18"/>
          <w:u w:color="000000"/>
        </w:rPr>
        <w:t xml:space="preserve"> </w:t>
      </w:r>
      <w:r w:rsidR="00B47500">
        <w:rPr>
          <w:rFonts w:eastAsia="Arial Unicode MS"/>
          <w:color w:val="000000"/>
          <w:sz w:val="18"/>
          <w:szCs w:val="18"/>
          <w:u w:color="000000"/>
        </w:rPr>
        <w:t>&lt;Last accessed 5 August 2013&gt;</w:t>
      </w:r>
    </w:p>
    <w:p w14:paraId="776E2257" w14:textId="31943FBB" w:rsidR="00F978BB" w:rsidRPr="00F978BB" w:rsidRDefault="00F978BB" w:rsidP="00F978BB">
      <w:pPr>
        <w:pStyle w:val="ListParagraph"/>
        <w:numPr>
          <w:ilvl w:val="0"/>
          <w:numId w:val="12"/>
        </w:numPr>
        <w:spacing w:after="40"/>
        <w:outlineLvl w:val="0"/>
        <w:rPr>
          <w:sz w:val="18"/>
          <w:szCs w:val="18"/>
        </w:rPr>
      </w:pPr>
      <w:r w:rsidRPr="00F978BB">
        <w:rPr>
          <w:sz w:val="18"/>
          <w:szCs w:val="18"/>
        </w:rPr>
        <w:t xml:space="preserve">Hood, A, ‘On the list, off the list: Alberto Contador and </w:t>
      </w:r>
      <w:proofErr w:type="spellStart"/>
      <w:r w:rsidRPr="00F978BB">
        <w:rPr>
          <w:sz w:val="18"/>
          <w:szCs w:val="18"/>
        </w:rPr>
        <w:t>Operación</w:t>
      </w:r>
      <w:proofErr w:type="spellEnd"/>
      <w:r w:rsidRPr="00F978BB">
        <w:rPr>
          <w:sz w:val="18"/>
          <w:szCs w:val="18"/>
        </w:rPr>
        <w:t xml:space="preserve"> Puerto’ </w:t>
      </w:r>
      <w:proofErr w:type="spellStart"/>
      <w:r w:rsidRPr="00F978BB">
        <w:rPr>
          <w:i/>
          <w:sz w:val="18"/>
          <w:szCs w:val="18"/>
        </w:rPr>
        <w:t>Velonews</w:t>
      </w:r>
      <w:proofErr w:type="spellEnd"/>
      <w:r w:rsidRPr="00F978BB">
        <w:rPr>
          <w:sz w:val="18"/>
          <w:szCs w:val="18"/>
        </w:rPr>
        <w:t xml:space="preserve"> (27 July 2007) </w:t>
      </w:r>
      <w:r>
        <w:rPr>
          <w:sz w:val="18"/>
          <w:szCs w:val="18"/>
        </w:rPr>
        <w:t xml:space="preserve">(online) </w:t>
      </w:r>
      <w:r w:rsidRPr="00F978BB">
        <w:rPr>
          <w:sz w:val="18"/>
          <w:szCs w:val="18"/>
        </w:rPr>
        <w:t>[</w:t>
      </w:r>
      <w:hyperlink r:id="rId33" w:history="1">
        <w:r w:rsidRPr="00F978BB">
          <w:rPr>
            <w:rStyle w:val="Hyperlink"/>
            <w:sz w:val="18"/>
            <w:szCs w:val="18"/>
          </w:rPr>
          <w:t>http://velonews.competitor.com/2007/07/news/on-the-list-off-the-list-alberto-contador-and-operacion-puerto_12964</w:t>
        </w:r>
      </w:hyperlink>
      <w:r w:rsidRPr="00F978BB">
        <w:t>]</w:t>
      </w:r>
      <w:r w:rsidRPr="00F978BB">
        <w:rPr>
          <w:sz w:val="18"/>
          <w:szCs w:val="18"/>
        </w:rPr>
        <w:t xml:space="preserve"> &lt;Last accessed 10 August 2013&gt;</w:t>
      </w:r>
    </w:p>
    <w:p w14:paraId="43166E02" w14:textId="31DCE6E4" w:rsidR="009A18B7" w:rsidRPr="00B47500" w:rsidRDefault="009A18B7" w:rsidP="00B47500">
      <w:pPr>
        <w:pStyle w:val="ListParagraph"/>
        <w:numPr>
          <w:ilvl w:val="0"/>
          <w:numId w:val="12"/>
        </w:numPr>
        <w:spacing w:after="40"/>
        <w:ind w:left="714" w:hanging="357"/>
        <w:outlineLvl w:val="0"/>
        <w:rPr>
          <w:rFonts w:eastAsia="Arial Unicode MS"/>
          <w:color w:val="000000"/>
          <w:sz w:val="18"/>
          <w:szCs w:val="18"/>
          <w:u w:color="000000"/>
        </w:rPr>
      </w:pPr>
      <w:proofErr w:type="spellStart"/>
      <w:r w:rsidRPr="00B47500">
        <w:rPr>
          <w:rFonts w:eastAsia="Arial Unicode MS"/>
          <w:color w:val="000000"/>
          <w:sz w:val="18"/>
          <w:szCs w:val="18"/>
          <w:u w:color="000000"/>
        </w:rPr>
        <w:t>Macur</w:t>
      </w:r>
      <w:proofErr w:type="spellEnd"/>
      <w:r w:rsidRPr="00B47500">
        <w:rPr>
          <w:rFonts w:eastAsia="Arial Unicode MS"/>
          <w:color w:val="000000"/>
          <w:sz w:val="18"/>
          <w:szCs w:val="18"/>
          <w:u w:color="000000"/>
        </w:rPr>
        <w:t xml:space="preserve"> J, ‘Third is a Relief as Contador Takes the Tour’ </w:t>
      </w:r>
      <w:r w:rsidR="00F978BB">
        <w:rPr>
          <w:rFonts w:eastAsia="Arial Unicode MS"/>
          <w:i/>
          <w:color w:val="000000"/>
          <w:sz w:val="18"/>
          <w:szCs w:val="18"/>
          <w:u w:color="000000"/>
        </w:rPr>
        <w:t xml:space="preserve">NY Times </w:t>
      </w:r>
      <w:r w:rsidRPr="00B47500">
        <w:rPr>
          <w:rFonts w:eastAsia="Arial Unicode MS"/>
          <w:color w:val="000000"/>
          <w:sz w:val="18"/>
          <w:szCs w:val="18"/>
          <w:u w:color="000000"/>
        </w:rPr>
        <w:t xml:space="preserve">(25 July 2010) </w:t>
      </w:r>
      <w:r w:rsidR="00F978BB">
        <w:rPr>
          <w:rFonts w:eastAsia="Arial Unicode MS"/>
          <w:color w:val="000000"/>
          <w:sz w:val="18"/>
          <w:szCs w:val="18"/>
          <w:u w:color="000000"/>
        </w:rPr>
        <w:t xml:space="preserve">(online) </w:t>
      </w:r>
      <w:r w:rsidR="00685164" w:rsidRPr="00B47500">
        <w:rPr>
          <w:rFonts w:eastAsia="Arial Unicode MS"/>
          <w:color w:val="000000"/>
          <w:sz w:val="18"/>
          <w:szCs w:val="18"/>
          <w:u w:color="000000"/>
        </w:rPr>
        <w:t>[</w:t>
      </w:r>
      <w:hyperlink r:id="rId34" w:history="1">
        <w:r w:rsidRPr="00B47500">
          <w:rPr>
            <w:rStyle w:val="Hyperlink"/>
            <w:sz w:val="18"/>
            <w:szCs w:val="18"/>
          </w:rPr>
          <w:t>www.nytimes.com/2010/07/26/sports/cycling/26cycling.html?pagewanted=all&amp;_r=0</w:t>
        </w:r>
      </w:hyperlink>
      <w:r w:rsidR="00685164" w:rsidRPr="00B47500">
        <w:rPr>
          <w:sz w:val="18"/>
          <w:szCs w:val="18"/>
        </w:rPr>
        <w:t>]</w:t>
      </w:r>
      <w:r w:rsidR="00B47500">
        <w:rPr>
          <w:sz w:val="18"/>
          <w:szCs w:val="18"/>
        </w:rPr>
        <w:t xml:space="preserve"> &lt;Last accessed 3 August 2013&gt;</w:t>
      </w:r>
    </w:p>
    <w:p w14:paraId="7E465192" w14:textId="77777777" w:rsidR="002264A1" w:rsidRPr="002264A1" w:rsidRDefault="002264A1" w:rsidP="002264A1">
      <w:pPr>
        <w:pStyle w:val="ListParagraph"/>
        <w:numPr>
          <w:ilvl w:val="0"/>
          <w:numId w:val="12"/>
        </w:numPr>
        <w:spacing w:after="40"/>
        <w:outlineLvl w:val="0"/>
        <w:rPr>
          <w:sz w:val="18"/>
          <w:szCs w:val="18"/>
        </w:rPr>
      </w:pPr>
      <w:r w:rsidRPr="002264A1">
        <w:rPr>
          <w:sz w:val="18"/>
          <w:szCs w:val="18"/>
        </w:rPr>
        <w:t xml:space="preserve">Marshall I, ‘Good news for </w:t>
      </w:r>
      <w:proofErr w:type="spellStart"/>
      <w:r w:rsidRPr="002264A1">
        <w:rPr>
          <w:sz w:val="18"/>
          <w:szCs w:val="18"/>
        </w:rPr>
        <w:t>Ovtcharov</w:t>
      </w:r>
      <w:proofErr w:type="spellEnd"/>
      <w:r w:rsidRPr="002264A1">
        <w:rPr>
          <w:sz w:val="18"/>
          <w:szCs w:val="18"/>
        </w:rPr>
        <w:t xml:space="preserve">’ </w:t>
      </w:r>
      <w:r w:rsidRPr="002264A1">
        <w:rPr>
          <w:i/>
          <w:sz w:val="18"/>
          <w:szCs w:val="18"/>
        </w:rPr>
        <w:t>ITTF</w:t>
      </w:r>
      <w:r w:rsidRPr="002264A1">
        <w:rPr>
          <w:sz w:val="18"/>
          <w:szCs w:val="18"/>
        </w:rPr>
        <w:t xml:space="preserve"> (15 October 2010) (online) [</w:t>
      </w:r>
      <w:hyperlink r:id="rId35" w:history="1">
        <w:r w:rsidRPr="002264A1">
          <w:rPr>
            <w:rStyle w:val="Hyperlink"/>
            <w:sz w:val="18"/>
            <w:szCs w:val="18"/>
          </w:rPr>
          <w:t>www.ittf.com/_front_page/ittf_full_story2.asp?ID=22286</w:t>
        </w:r>
      </w:hyperlink>
      <w:r w:rsidRPr="002264A1">
        <w:rPr>
          <w:sz w:val="18"/>
          <w:szCs w:val="18"/>
        </w:rPr>
        <w:t>] &lt;accessed 10 August 2013&gt;</w:t>
      </w:r>
    </w:p>
    <w:p w14:paraId="6962170E" w14:textId="6DEFE514" w:rsidR="00FE6207" w:rsidRPr="00B47500" w:rsidRDefault="00FE6207" w:rsidP="00B47500">
      <w:pPr>
        <w:pStyle w:val="ListParagraph"/>
        <w:numPr>
          <w:ilvl w:val="0"/>
          <w:numId w:val="12"/>
        </w:numPr>
        <w:spacing w:after="40"/>
        <w:ind w:left="714" w:hanging="357"/>
        <w:outlineLvl w:val="0"/>
        <w:rPr>
          <w:sz w:val="18"/>
          <w:szCs w:val="18"/>
        </w:rPr>
      </w:pPr>
      <w:r w:rsidRPr="00B47500">
        <w:rPr>
          <w:sz w:val="18"/>
          <w:szCs w:val="18"/>
        </w:rPr>
        <w:t>Niall J, ‘</w:t>
      </w:r>
      <w:r w:rsidRPr="00B47500">
        <w:rPr>
          <w:rFonts w:cs="Arial"/>
          <w:color w:val="000000"/>
          <w:sz w:val="18"/>
          <w:szCs w:val="18"/>
          <w:lang w:val="en-AU"/>
        </w:rPr>
        <w:t xml:space="preserve">The Essendon verdict: the inside story of the anti-doping tribunal hearing’ </w:t>
      </w:r>
      <w:r w:rsidR="00F978BB">
        <w:rPr>
          <w:rFonts w:cs="Arial"/>
          <w:i/>
          <w:color w:val="000000"/>
          <w:sz w:val="18"/>
          <w:szCs w:val="18"/>
          <w:lang w:val="en-AU"/>
        </w:rPr>
        <w:t>The Age</w:t>
      </w:r>
      <w:r w:rsidR="00F978BB">
        <w:rPr>
          <w:rFonts w:cs="Arial"/>
          <w:color w:val="000000"/>
          <w:sz w:val="18"/>
          <w:szCs w:val="18"/>
          <w:lang w:val="en-AU"/>
        </w:rPr>
        <w:t xml:space="preserve"> </w:t>
      </w:r>
      <w:r w:rsidRPr="00B47500">
        <w:rPr>
          <w:rFonts w:cs="Arial"/>
          <w:color w:val="000000"/>
          <w:sz w:val="18"/>
          <w:szCs w:val="18"/>
          <w:lang w:val="en-AU"/>
        </w:rPr>
        <w:t xml:space="preserve">(31 March 2015) </w:t>
      </w:r>
      <w:r w:rsidR="00F978BB">
        <w:rPr>
          <w:rFonts w:cs="Arial"/>
          <w:color w:val="000000"/>
          <w:sz w:val="18"/>
          <w:szCs w:val="18"/>
          <w:lang w:val="en-AU"/>
        </w:rPr>
        <w:t xml:space="preserve">(online) </w:t>
      </w:r>
      <w:r w:rsidRPr="00B47500">
        <w:rPr>
          <w:rFonts w:cs="Arial"/>
          <w:color w:val="000000"/>
          <w:sz w:val="18"/>
          <w:szCs w:val="18"/>
          <w:lang w:val="en-AU"/>
        </w:rPr>
        <w:t>[</w:t>
      </w:r>
      <w:hyperlink r:id="rId36" w:history="1">
        <w:r w:rsidRPr="00B47500">
          <w:rPr>
            <w:rStyle w:val="Hyperlink"/>
            <w:rFonts w:cs="Arial"/>
            <w:sz w:val="18"/>
            <w:szCs w:val="18"/>
            <w:lang w:val="en-AU"/>
          </w:rPr>
          <w:t>www.theage.com.au/afl/afl-news/the-essendon-verdict-the-inside-story-of-the-antidoping-tribunal-hearing-20150331-1mc2nb.html</w:t>
        </w:r>
      </w:hyperlink>
      <w:r w:rsidRPr="00B47500">
        <w:rPr>
          <w:rFonts w:cs="Arial"/>
          <w:color w:val="000000"/>
          <w:sz w:val="18"/>
          <w:szCs w:val="18"/>
          <w:lang w:val="en-AU"/>
        </w:rPr>
        <w:t>]</w:t>
      </w:r>
      <w:r w:rsidR="00F978BB">
        <w:rPr>
          <w:rFonts w:cs="Arial"/>
          <w:color w:val="000000"/>
          <w:sz w:val="18"/>
          <w:szCs w:val="18"/>
          <w:lang w:val="en-AU"/>
        </w:rPr>
        <w:t xml:space="preserve"> &lt;Last accessed 20 June 2015&gt;</w:t>
      </w:r>
    </w:p>
    <w:p w14:paraId="4E8724A8" w14:textId="15853C2D" w:rsidR="009A18B7" w:rsidRPr="00B47500" w:rsidRDefault="009A18B7" w:rsidP="00B47500">
      <w:pPr>
        <w:pStyle w:val="ListParagraph"/>
        <w:numPr>
          <w:ilvl w:val="0"/>
          <w:numId w:val="12"/>
        </w:numPr>
        <w:spacing w:after="40"/>
        <w:ind w:left="714" w:hanging="357"/>
        <w:outlineLvl w:val="0"/>
        <w:rPr>
          <w:sz w:val="18"/>
          <w:szCs w:val="18"/>
        </w:rPr>
      </w:pPr>
      <w:r w:rsidRPr="00B47500">
        <w:rPr>
          <w:sz w:val="18"/>
          <w:szCs w:val="18"/>
        </w:rPr>
        <w:t xml:space="preserve">Shen A, ‘Behind the Scenes of the Contador CAS Hearing with Michael </w:t>
      </w:r>
      <w:proofErr w:type="spellStart"/>
      <w:r w:rsidRPr="00B47500">
        <w:rPr>
          <w:sz w:val="18"/>
          <w:szCs w:val="18"/>
        </w:rPr>
        <w:t>Ashenden</w:t>
      </w:r>
      <w:proofErr w:type="spellEnd"/>
      <w:r w:rsidRPr="00B47500">
        <w:rPr>
          <w:sz w:val="18"/>
          <w:szCs w:val="18"/>
        </w:rPr>
        <w:t xml:space="preserve">’ </w:t>
      </w:r>
      <w:r w:rsidR="00F978BB">
        <w:rPr>
          <w:i/>
          <w:sz w:val="18"/>
          <w:szCs w:val="18"/>
        </w:rPr>
        <w:t xml:space="preserve">NY Velocity </w:t>
      </w:r>
      <w:r w:rsidRPr="00B47500">
        <w:rPr>
          <w:sz w:val="18"/>
          <w:szCs w:val="18"/>
        </w:rPr>
        <w:t xml:space="preserve">(4 February 2012) </w:t>
      </w:r>
      <w:r w:rsidR="00F978BB">
        <w:rPr>
          <w:sz w:val="18"/>
          <w:szCs w:val="18"/>
        </w:rPr>
        <w:t xml:space="preserve">(online) </w:t>
      </w:r>
      <w:r w:rsidRPr="00B47500">
        <w:rPr>
          <w:sz w:val="18"/>
          <w:szCs w:val="18"/>
        </w:rPr>
        <w:t xml:space="preserve">                 </w:t>
      </w:r>
      <w:r w:rsidR="00685164" w:rsidRPr="00B47500">
        <w:rPr>
          <w:sz w:val="18"/>
          <w:szCs w:val="18"/>
        </w:rPr>
        <w:t>[</w:t>
      </w:r>
      <w:hyperlink r:id="rId37" w:history="1">
        <w:r w:rsidRPr="00B47500">
          <w:rPr>
            <w:rStyle w:val="Hyperlink"/>
            <w:sz w:val="18"/>
            <w:szCs w:val="18"/>
          </w:rPr>
          <w:t>http://nyvelocity.com/content/interviews/2012/behind-scenes-contador-cas-hearing-michael-ashenden</w:t>
        </w:r>
      </w:hyperlink>
      <w:r w:rsidR="00685164" w:rsidRPr="00B47500">
        <w:rPr>
          <w:sz w:val="18"/>
          <w:szCs w:val="18"/>
        </w:rPr>
        <w:t>]</w:t>
      </w:r>
      <w:r w:rsidRPr="00B47500">
        <w:rPr>
          <w:sz w:val="18"/>
          <w:szCs w:val="18"/>
        </w:rPr>
        <w:t xml:space="preserve"> </w:t>
      </w:r>
      <w:r w:rsidR="00B47500">
        <w:rPr>
          <w:sz w:val="18"/>
          <w:szCs w:val="18"/>
        </w:rPr>
        <w:t>&lt;Last accessed 5 August 2013&gt;</w:t>
      </w:r>
    </w:p>
    <w:p w14:paraId="74F0BD4C" w14:textId="77777777" w:rsidR="002264A1" w:rsidRPr="002264A1" w:rsidRDefault="002264A1" w:rsidP="002264A1">
      <w:pPr>
        <w:pStyle w:val="ListParagraph"/>
        <w:numPr>
          <w:ilvl w:val="0"/>
          <w:numId w:val="12"/>
        </w:numPr>
        <w:spacing w:after="40"/>
        <w:outlineLvl w:val="0"/>
        <w:rPr>
          <w:sz w:val="18"/>
        </w:rPr>
      </w:pPr>
      <w:r w:rsidRPr="002264A1">
        <w:rPr>
          <w:sz w:val="18"/>
        </w:rPr>
        <w:t xml:space="preserve">USADA, ‘US Cycling Athlete </w:t>
      </w:r>
      <w:proofErr w:type="spellStart"/>
      <w:r w:rsidRPr="002264A1">
        <w:rPr>
          <w:sz w:val="18"/>
        </w:rPr>
        <w:t>Godby</w:t>
      </w:r>
      <w:proofErr w:type="spellEnd"/>
      <w:r w:rsidRPr="002264A1">
        <w:rPr>
          <w:sz w:val="18"/>
        </w:rPr>
        <w:t xml:space="preserve"> Accepts Loss of Results’ (</w:t>
      </w:r>
      <w:r w:rsidRPr="002264A1">
        <w:rPr>
          <w:i/>
          <w:sz w:val="18"/>
        </w:rPr>
        <w:t>United States Anti-Doping Agency</w:t>
      </w:r>
      <w:r w:rsidRPr="002264A1">
        <w:rPr>
          <w:sz w:val="18"/>
        </w:rPr>
        <w:t>, 2 August 2013) [</w:t>
      </w:r>
      <w:hyperlink r:id="rId38" w:history="1">
        <w:r w:rsidRPr="002264A1">
          <w:rPr>
            <w:rStyle w:val="Hyperlink"/>
            <w:sz w:val="18"/>
          </w:rPr>
          <w:t>www.usada.org/us-cycling-athlete-godby-accepts-loss-of-results/</w:t>
        </w:r>
      </w:hyperlink>
      <w:r>
        <w:t>]</w:t>
      </w:r>
      <w:r w:rsidRPr="002264A1">
        <w:rPr>
          <w:rStyle w:val="Hyperlink"/>
          <w:color w:val="auto"/>
          <w:sz w:val="18"/>
          <w:u w:val="none"/>
        </w:rPr>
        <w:t xml:space="preserve"> &lt;Last</w:t>
      </w:r>
      <w:r w:rsidRPr="002264A1">
        <w:rPr>
          <w:rStyle w:val="Hyperlink"/>
          <w:sz w:val="18"/>
          <w:u w:val="none"/>
        </w:rPr>
        <w:t xml:space="preserve"> </w:t>
      </w:r>
      <w:r w:rsidRPr="002264A1">
        <w:rPr>
          <w:sz w:val="18"/>
        </w:rPr>
        <w:t>accessed 6 August 2013&gt;</w:t>
      </w:r>
    </w:p>
    <w:p w14:paraId="55F2CE2E" w14:textId="04569F13" w:rsidR="001011F5" w:rsidRPr="00B47500" w:rsidRDefault="00F978BB" w:rsidP="00B47500">
      <w:pPr>
        <w:pStyle w:val="ListParagraph"/>
        <w:numPr>
          <w:ilvl w:val="0"/>
          <w:numId w:val="12"/>
        </w:numPr>
        <w:spacing w:after="40"/>
        <w:ind w:left="714" w:hanging="357"/>
        <w:outlineLvl w:val="0"/>
        <w:rPr>
          <w:rStyle w:val="Hyperlink"/>
          <w:color w:val="auto"/>
          <w:sz w:val="18"/>
          <w:szCs w:val="18"/>
          <w:u w:val="none"/>
        </w:rPr>
      </w:pPr>
      <w:proofErr w:type="spellStart"/>
      <w:r>
        <w:rPr>
          <w:rFonts w:cs="Arial"/>
          <w:iCs/>
          <w:sz w:val="18"/>
          <w:szCs w:val="18"/>
          <w:lang w:val="en-US"/>
        </w:rPr>
        <w:t>Viret</w:t>
      </w:r>
      <w:proofErr w:type="spellEnd"/>
      <w:r>
        <w:rPr>
          <w:rFonts w:cs="Arial"/>
          <w:iCs/>
          <w:sz w:val="18"/>
          <w:szCs w:val="18"/>
          <w:lang w:val="en-US"/>
        </w:rPr>
        <w:t xml:space="preserve"> M &amp;</w:t>
      </w:r>
      <w:r w:rsidR="001011F5" w:rsidRPr="00B47500">
        <w:rPr>
          <w:rFonts w:cs="Arial"/>
          <w:iCs/>
          <w:sz w:val="18"/>
          <w:szCs w:val="18"/>
          <w:lang w:val="en-US"/>
        </w:rPr>
        <w:t xml:space="preserve"> </w:t>
      </w:r>
      <w:proofErr w:type="spellStart"/>
      <w:r w:rsidR="001011F5" w:rsidRPr="00B47500">
        <w:rPr>
          <w:rFonts w:cs="Arial"/>
          <w:iCs/>
          <w:sz w:val="18"/>
          <w:szCs w:val="18"/>
          <w:lang w:val="en-US"/>
        </w:rPr>
        <w:t>Wisnosky</w:t>
      </w:r>
      <w:proofErr w:type="spellEnd"/>
      <w:r w:rsidR="001011F5" w:rsidRPr="00B47500">
        <w:rPr>
          <w:rFonts w:cs="Arial"/>
          <w:iCs/>
          <w:sz w:val="18"/>
          <w:szCs w:val="18"/>
          <w:lang w:val="en-US"/>
        </w:rPr>
        <w:t xml:space="preserve"> E,</w:t>
      </w:r>
      <w:r w:rsidR="001011F5" w:rsidRPr="00B47500">
        <w:rPr>
          <w:sz w:val="18"/>
          <w:szCs w:val="18"/>
        </w:rPr>
        <w:t xml:space="preserve"> ‘Strict liability swings both ways: Campbell-Brown award expects ADOs to match exacting standards imposed on athletes’ (24 May 2014) [</w:t>
      </w:r>
      <w:hyperlink r:id="rId39" w:history="1">
        <w:r w:rsidR="001011F5" w:rsidRPr="00B47500">
          <w:rPr>
            <w:rStyle w:val="Hyperlink"/>
            <w:sz w:val="18"/>
            <w:szCs w:val="18"/>
          </w:rPr>
          <w:t>http://wadc-commentary.com/campbell-brown/</w:t>
        </w:r>
      </w:hyperlink>
      <w:r w:rsidR="001011F5" w:rsidRPr="00B47500">
        <w:rPr>
          <w:rStyle w:val="Hyperlink"/>
          <w:color w:val="auto"/>
          <w:sz w:val="18"/>
          <w:szCs w:val="18"/>
        </w:rPr>
        <w:t>]</w:t>
      </w:r>
      <w:r>
        <w:rPr>
          <w:rStyle w:val="Hyperlink"/>
          <w:color w:val="auto"/>
          <w:sz w:val="18"/>
          <w:szCs w:val="18"/>
          <w:u w:val="none"/>
        </w:rPr>
        <w:t xml:space="preserve"> &lt;Last accessed 14 June 2015&gt;</w:t>
      </w:r>
    </w:p>
    <w:p w14:paraId="7AABE5E7" w14:textId="77777777" w:rsidR="002264A1" w:rsidRDefault="002264A1" w:rsidP="002264A1">
      <w:pPr>
        <w:pStyle w:val="FootnoteText"/>
        <w:numPr>
          <w:ilvl w:val="0"/>
          <w:numId w:val="12"/>
        </w:numPr>
        <w:spacing w:after="40"/>
      </w:pPr>
      <w:r>
        <w:rPr>
          <w:sz w:val="18"/>
          <w:szCs w:val="18"/>
        </w:rPr>
        <w:t>WADA, ‘WADA statement on AFL cases’ (</w:t>
      </w:r>
      <w:r>
        <w:rPr>
          <w:i/>
          <w:sz w:val="18"/>
          <w:szCs w:val="18"/>
        </w:rPr>
        <w:t>World Anti-Doping Agency</w:t>
      </w:r>
      <w:r>
        <w:rPr>
          <w:sz w:val="18"/>
          <w:szCs w:val="18"/>
        </w:rPr>
        <w:t>, May 2015) [</w:t>
      </w:r>
      <w:hyperlink r:id="rId40" w:history="1">
        <w:r>
          <w:rPr>
            <w:rStyle w:val="Hyperlink"/>
            <w:sz w:val="18"/>
            <w:szCs w:val="18"/>
          </w:rPr>
          <w:t>www.wada-ama.org/en/media/news/2015-05/wada-statement-on-afl-cases</w:t>
        </w:r>
      </w:hyperlink>
      <w:r>
        <w:rPr>
          <w:sz w:val="18"/>
          <w:szCs w:val="18"/>
        </w:rPr>
        <w:t>] &lt;Last accessed 14 June 2015&gt;</w:t>
      </w:r>
    </w:p>
    <w:p w14:paraId="15789A7E" w14:textId="77777777" w:rsidR="002264A1" w:rsidRPr="00B47500" w:rsidRDefault="002264A1" w:rsidP="002264A1">
      <w:pPr>
        <w:pStyle w:val="ListParagraph"/>
        <w:numPr>
          <w:ilvl w:val="1"/>
          <w:numId w:val="12"/>
        </w:numPr>
        <w:spacing w:after="40"/>
        <w:outlineLvl w:val="0"/>
        <w:rPr>
          <w:rFonts w:eastAsia="Arial Unicode MS"/>
          <w:color w:val="000000"/>
          <w:sz w:val="18"/>
          <w:szCs w:val="18"/>
          <w:u w:color="000000"/>
        </w:rPr>
      </w:pPr>
      <w:r w:rsidRPr="00B47500">
        <w:rPr>
          <w:rFonts w:eastAsia="Arial Unicode MS"/>
          <w:i/>
          <w:color w:val="000000"/>
          <w:sz w:val="18"/>
          <w:szCs w:val="18"/>
          <w:u w:color="000000"/>
        </w:rPr>
        <w:t>World Anti-Doping Code</w:t>
      </w:r>
      <w:r w:rsidRPr="00B47500">
        <w:rPr>
          <w:rFonts w:eastAsia="Arial Unicode MS"/>
          <w:color w:val="000000"/>
          <w:sz w:val="18"/>
          <w:szCs w:val="18"/>
          <w:u w:color="000000"/>
        </w:rPr>
        <w:t xml:space="preserve"> </w:t>
      </w:r>
      <w:r>
        <w:rPr>
          <w:rFonts w:eastAsia="Arial Unicode MS"/>
          <w:color w:val="000000"/>
          <w:sz w:val="18"/>
          <w:szCs w:val="18"/>
          <w:u w:color="000000"/>
        </w:rPr>
        <w:t>(2009)</w:t>
      </w:r>
    </w:p>
    <w:p w14:paraId="4ECB8620" w14:textId="77777777" w:rsidR="002264A1" w:rsidRPr="00B47500" w:rsidRDefault="002264A1" w:rsidP="002264A1">
      <w:pPr>
        <w:pStyle w:val="ListParagraph"/>
        <w:numPr>
          <w:ilvl w:val="1"/>
          <w:numId w:val="12"/>
        </w:numPr>
        <w:spacing w:after="40"/>
        <w:outlineLvl w:val="0"/>
        <w:rPr>
          <w:rFonts w:eastAsia="Arial Unicode MS"/>
          <w:color w:val="000000"/>
          <w:sz w:val="18"/>
          <w:szCs w:val="18"/>
          <w:u w:color="000000"/>
        </w:rPr>
      </w:pPr>
      <w:r w:rsidRPr="00B47500">
        <w:rPr>
          <w:rFonts w:eastAsia="Arial Unicode MS"/>
          <w:i/>
          <w:color w:val="000000"/>
          <w:sz w:val="18"/>
          <w:szCs w:val="18"/>
          <w:u w:color="000000"/>
        </w:rPr>
        <w:t>World Anti-Doping Code</w:t>
      </w:r>
      <w:r w:rsidRPr="00B47500">
        <w:rPr>
          <w:rFonts w:eastAsia="Arial Unicode MS"/>
          <w:color w:val="000000"/>
          <w:sz w:val="18"/>
          <w:szCs w:val="18"/>
          <w:u w:color="000000"/>
        </w:rPr>
        <w:t xml:space="preserve"> </w:t>
      </w:r>
      <w:r>
        <w:rPr>
          <w:rFonts w:eastAsia="Arial Unicode MS"/>
          <w:color w:val="000000"/>
          <w:sz w:val="18"/>
          <w:szCs w:val="18"/>
          <w:u w:color="000000"/>
        </w:rPr>
        <w:t>(</w:t>
      </w:r>
      <w:r w:rsidRPr="00B47500">
        <w:rPr>
          <w:rFonts w:eastAsia="Arial Unicode MS"/>
          <w:color w:val="000000"/>
          <w:sz w:val="18"/>
          <w:szCs w:val="18"/>
          <w:u w:color="000000"/>
        </w:rPr>
        <w:t>2015</w:t>
      </w:r>
      <w:r>
        <w:rPr>
          <w:rFonts w:eastAsia="Arial Unicode MS"/>
          <w:color w:val="000000"/>
          <w:sz w:val="18"/>
          <w:szCs w:val="18"/>
          <w:u w:color="000000"/>
        </w:rPr>
        <w:t>)</w:t>
      </w:r>
    </w:p>
    <w:p w14:paraId="2A182CF6" w14:textId="77777777" w:rsidR="002264A1" w:rsidRDefault="002264A1" w:rsidP="00B47500">
      <w:pPr>
        <w:spacing w:after="40"/>
        <w:outlineLvl w:val="0"/>
        <w:rPr>
          <w:sz w:val="18"/>
          <w:szCs w:val="18"/>
        </w:rPr>
      </w:pPr>
    </w:p>
    <w:p w14:paraId="21E61A8E" w14:textId="77777777" w:rsidR="00F978BB" w:rsidRPr="00B47500" w:rsidRDefault="00F978BB" w:rsidP="00B47500">
      <w:pPr>
        <w:spacing w:after="40"/>
        <w:outlineLvl w:val="0"/>
        <w:rPr>
          <w:sz w:val="18"/>
          <w:szCs w:val="18"/>
        </w:rPr>
      </w:pPr>
    </w:p>
    <w:sectPr w:rsidR="00F978BB" w:rsidRPr="00B47500" w:rsidSect="0099165D">
      <w:pgSz w:w="11906" w:h="16838" w:code="9"/>
      <w:pgMar w:top="1440" w:right="1077" w:bottom="851" w:left="1077" w:header="425"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61ABA" w14:textId="77777777" w:rsidR="00BF6E0C" w:rsidRDefault="00BF6E0C" w:rsidP="002D260A">
      <w:pPr>
        <w:spacing w:after="0" w:line="240" w:lineRule="auto"/>
      </w:pPr>
      <w:r>
        <w:separator/>
      </w:r>
    </w:p>
  </w:endnote>
  <w:endnote w:type="continuationSeparator" w:id="0">
    <w:p w14:paraId="1C452FEC" w14:textId="77777777" w:rsidR="00BF6E0C" w:rsidRDefault="00BF6E0C" w:rsidP="002D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OT-Light">
    <w:panose1 w:val="00000000000000000000"/>
    <w:charset w:val="00"/>
    <w:family w:val="swiss"/>
    <w:notTrueType/>
    <w:pitch w:val="variable"/>
    <w:sig w:usb0="800000AF" w:usb1="4000207B" w:usb2="00000000" w:usb3="00000000" w:csb0="00000001" w:csb1="00000000"/>
  </w:font>
  <w:font w:name="DINOT-LightItalic">
    <w:panose1 w:val="00000000000000000000"/>
    <w:charset w:val="00"/>
    <w:family w:val="swiss"/>
    <w:notTrueType/>
    <w:pitch w:val="default"/>
    <w:sig w:usb0="00000003" w:usb1="00000000" w:usb2="00000000" w:usb3="00000000" w:csb0="00000001" w:csb1="00000000"/>
  </w:font>
  <w:font w:name="AdvTTb357327d.B">
    <w:panose1 w:val="00000000000000000000"/>
    <w:charset w:val="00"/>
    <w:family w:val="roman"/>
    <w:notTrueType/>
    <w:pitch w:val="default"/>
    <w:sig w:usb0="00000003" w:usb1="00000000" w:usb2="00000000" w:usb3="00000000" w:csb0="00000001" w:csb1="00000000"/>
  </w:font>
  <w:font w:name="AdvTT8cd5c63f.I">
    <w:panose1 w:val="00000000000000000000"/>
    <w:charset w:val="00"/>
    <w:family w:val="roman"/>
    <w:notTrueType/>
    <w:pitch w:val="default"/>
    <w:sig w:usb0="00000003" w:usb1="00000000" w:usb2="00000000" w:usb3="00000000" w:csb0="00000001" w:csb1="00000000"/>
  </w:font>
  <w:font w:name="AdvTT3f7679ab">
    <w:panose1 w:val="00000000000000000000"/>
    <w:charset w:val="00"/>
    <w:family w:val="roman"/>
    <w:notTrueType/>
    <w:pitch w:val="default"/>
    <w:sig w:usb0="00000003" w:usb1="00000000" w:usb2="00000000" w:usb3="00000000" w:csb0="00000001" w:csb1="00000000"/>
  </w:font>
  <w:font w:name="AdvTT3f7679ab+20">
    <w:panose1 w:val="00000000000000000000"/>
    <w:charset w:val="00"/>
    <w:family w:val="swiss"/>
    <w:notTrueType/>
    <w:pitch w:val="default"/>
    <w:sig w:usb0="00000003" w:usb1="00000000" w:usb2="00000000" w:usb3="00000000" w:csb0="00000001" w:csb1="00000000"/>
  </w:font>
  <w:font w:name="DINOT-MediumItalic">
    <w:panose1 w:val="00000000000000000000"/>
    <w:charset w:val="00"/>
    <w:family w:val="swiss"/>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vTTb4a90e5b.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6D090" w14:textId="77777777" w:rsidR="00D7483D" w:rsidRDefault="00D74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55CA5" w14:textId="77777777" w:rsidR="00D7483D" w:rsidRDefault="00D748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9A64A" w14:textId="77777777" w:rsidR="00D7483D" w:rsidRDefault="00D74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CCF60" w14:textId="77777777" w:rsidR="00BF6E0C" w:rsidRDefault="00BF6E0C" w:rsidP="002D260A">
      <w:pPr>
        <w:spacing w:after="0" w:line="240" w:lineRule="auto"/>
      </w:pPr>
      <w:r>
        <w:separator/>
      </w:r>
    </w:p>
  </w:footnote>
  <w:footnote w:type="continuationSeparator" w:id="0">
    <w:p w14:paraId="1E76678B" w14:textId="77777777" w:rsidR="00BF6E0C" w:rsidRDefault="00BF6E0C" w:rsidP="002D260A">
      <w:pPr>
        <w:spacing w:after="0" w:line="240" w:lineRule="auto"/>
      </w:pPr>
      <w:r>
        <w:continuationSeparator/>
      </w:r>
    </w:p>
  </w:footnote>
  <w:footnote w:id="1">
    <w:p w14:paraId="43DCDCCC" w14:textId="3B2ACB9A"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Juliet </w:t>
      </w:r>
      <w:proofErr w:type="spellStart"/>
      <w:r w:rsidRPr="00DE2606">
        <w:rPr>
          <w:sz w:val="18"/>
          <w:szCs w:val="18"/>
        </w:rPr>
        <w:t>Macur</w:t>
      </w:r>
      <w:proofErr w:type="spellEnd"/>
      <w:r w:rsidRPr="00DE2606">
        <w:rPr>
          <w:sz w:val="18"/>
          <w:szCs w:val="18"/>
        </w:rPr>
        <w:t xml:space="preserve">, ‘Third Time is a Relief as Contador takes the Tour’ </w:t>
      </w:r>
      <w:r w:rsidRPr="00DE2606">
        <w:rPr>
          <w:i/>
          <w:sz w:val="18"/>
          <w:szCs w:val="18"/>
        </w:rPr>
        <w:t>New York Times</w:t>
      </w:r>
      <w:r w:rsidRPr="00DE2606">
        <w:rPr>
          <w:sz w:val="18"/>
          <w:szCs w:val="18"/>
        </w:rPr>
        <w:t xml:space="preserve"> (New York</w:t>
      </w:r>
      <w:r w:rsidR="005E1221" w:rsidRPr="00DE2606">
        <w:rPr>
          <w:sz w:val="18"/>
          <w:szCs w:val="18"/>
        </w:rPr>
        <w:t xml:space="preserve">, 25 July 2010) </w:t>
      </w:r>
      <w:r w:rsidR="007340E0">
        <w:rPr>
          <w:sz w:val="18"/>
          <w:szCs w:val="18"/>
        </w:rPr>
        <w:t xml:space="preserve">(online) </w:t>
      </w:r>
      <w:r w:rsidR="00DE2606" w:rsidRPr="00DE2606">
        <w:rPr>
          <w:sz w:val="18"/>
          <w:szCs w:val="18"/>
        </w:rPr>
        <w:t>[</w:t>
      </w:r>
      <w:hyperlink r:id="rId1" w:history="1">
        <w:r w:rsidRPr="00DE2606">
          <w:rPr>
            <w:rStyle w:val="Hyperlink"/>
            <w:sz w:val="18"/>
            <w:szCs w:val="18"/>
          </w:rPr>
          <w:t>www.nytimes.com/2010/07/26/sports/cycling/26cycling.html?pagewanted=all&amp;_r=0</w:t>
        </w:r>
      </w:hyperlink>
      <w:r w:rsidR="00DE2606" w:rsidRPr="00DE2606">
        <w:rPr>
          <w:sz w:val="18"/>
          <w:szCs w:val="18"/>
        </w:rPr>
        <w:t>]</w:t>
      </w:r>
      <w:r w:rsidR="005E1221" w:rsidRPr="00DE2606">
        <w:rPr>
          <w:sz w:val="18"/>
          <w:szCs w:val="18"/>
        </w:rPr>
        <w:t xml:space="preserve"> </w:t>
      </w:r>
    </w:p>
  </w:footnote>
  <w:footnote w:id="2">
    <w:p w14:paraId="0B0F5481" w14:textId="4FAD331A"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‘Adverse analytical finding for Alberto Contador’ (</w:t>
      </w:r>
      <w:r w:rsidRPr="00DE2606">
        <w:rPr>
          <w:i/>
          <w:sz w:val="18"/>
          <w:szCs w:val="18"/>
        </w:rPr>
        <w:t xml:space="preserve">Union </w:t>
      </w:r>
      <w:proofErr w:type="spellStart"/>
      <w:r w:rsidRPr="00DE2606">
        <w:rPr>
          <w:i/>
          <w:sz w:val="18"/>
          <w:szCs w:val="18"/>
        </w:rPr>
        <w:t>Cycliste</w:t>
      </w:r>
      <w:proofErr w:type="spellEnd"/>
      <w:r w:rsidRPr="00DE2606">
        <w:rPr>
          <w:i/>
          <w:sz w:val="18"/>
          <w:szCs w:val="18"/>
        </w:rPr>
        <w:t xml:space="preserve"> International</w:t>
      </w:r>
      <w:r w:rsidR="005E1221" w:rsidRPr="00DE2606">
        <w:rPr>
          <w:sz w:val="18"/>
          <w:szCs w:val="18"/>
        </w:rPr>
        <w:t xml:space="preserve">, 30 September 2010) </w:t>
      </w:r>
      <w:r w:rsidR="00DE2606" w:rsidRPr="00DE2606">
        <w:rPr>
          <w:sz w:val="18"/>
          <w:szCs w:val="18"/>
        </w:rPr>
        <w:t>[</w:t>
      </w:r>
      <w:hyperlink r:id="rId2" w:history="1">
        <w:r w:rsidRPr="00DE2606">
          <w:rPr>
            <w:rStyle w:val="Hyperlink"/>
            <w:sz w:val="18"/>
            <w:szCs w:val="18"/>
          </w:rPr>
          <w:t>www.uci.ch/Modules/ENews/ENewsDetails.asp?id=NzA4MA&amp;MenuId=MTYxNw&amp;LangId=1&amp;BackLink=%2FTempla...</w:t>
        </w:r>
      </w:hyperlink>
      <w:r w:rsidR="00DE2606" w:rsidRPr="00DE2606">
        <w:rPr>
          <w:sz w:val="18"/>
          <w:szCs w:val="18"/>
        </w:rPr>
        <w:t>]</w:t>
      </w:r>
    </w:p>
  </w:footnote>
  <w:footnote w:id="3">
    <w:p w14:paraId="66299CE5" w14:textId="2271C1E3"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‘Alberto Contador Found Guilty of Anti-Doping Rule Violation by the Court of Arbitration for Sport (CAS): Suspension of Two-Years’ (</w:t>
      </w:r>
      <w:r w:rsidRPr="00DE2606">
        <w:rPr>
          <w:i/>
          <w:sz w:val="18"/>
          <w:szCs w:val="18"/>
        </w:rPr>
        <w:t>Court of Arbitration for Sport</w:t>
      </w:r>
      <w:r w:rsidR="00DE2606" w:rsidRPr="00DE2606">
        <w:rPr>
          <w:sz w:val="18"/>
          <w:szCs w:val="18"/>
        </w:rPr>
        <w:t>, 6 February 2012) [</w:t>
      </w:r>
      <w:hyperlink r:id="rId3" w:history="1">
        <w:r w:rsidRPr="00DE2606">
          <w:rPr>
            <w:rStyle w:val="Hyperlink"/>
            <w:sz w:val="18"/>
            <w:szCs w:val="18"/>
          </w:rPr>
          <w:t>www.tas-cas.org/d2wfiles/document/5649/5048/0/Media20Release20_English_2012.02.06.pdf</w:t>
        </w:r>
      </w:hyperlink>
      <w:r w:rsidR="00DE2606" w:rsidRPr="00DE2606">
        <w:rPr>
          <w:sz w:val="18"/>
          <w:szCs w:val="18"/>
        </w:rPr>
        <w:t>]</w:t>
      </w:r>
    </w:p>
  </w:footnote>
  <w:footnote w:id="4">
    <w:p w14:paraId="6574FAB2" w14:textId="59AE8708"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DE2606" w:rsidRPr="00DE2606">
        <w:rPr>
          <w:sz w:val="18"/>
          <w:szCs w:val="18"/>
        </w:rPr>
        <w:t>World Anti-Doping Code 2015: [</w:t>
      </w:r>
      <w:hyperlink r:id="rId4" w:history="1">
        <w:r w:rsidR="00D219CA" w:rsidRPr="00DE2606">
          <w:rPr>
            <w:rStyle w:val="Hyperlink"/>
            <w:sz w:val="18"/>
            <w:szCs w:val="18"/>
          </w:rPr>
          <w:t>https://wada-main-prod.s3.amazonaws.com/resources/files/wada-2015-world-anti-doping-code.pdf</w:t>
        </w:r>
      </w:hyperlink>
      <w:r w:rsidR="00DE2606" w:rsidRPr="00DE2606">
        <w:rPr>
          <w:sz w:val="18"/>
          <w:szCs w:val="18"/>
        </w:rPr>
        <w:t>]</w:t>
      </w:r>
      <w:r w:rsidRPr="00DE2606">
        <w:rPr>
          <w:sz w:val="18"/>
          <w:szCs w:val="18"/>
        </w:rPr>
        <w:t xml:space="preserve">. Media interest spanned observers and protagonists alike – see for example:  Lionel </w:t>
      </w:r>
      <w:proofErr w:type="spellStart"/>
      <w:r w:rsidRPr="00DE2606">
        <w:rPr>
          <w:sz w:val="18"/>
          <w:szCs w:val="18"/>
        </w:rPr>
        <w:t>Birnie</w:t>
      </w:r>
      <w:proofErr w:type="spellEnd"/>
      <w:r w:rsidRPr="00DE2606">
        <w:rPr>
          <w:sz w:val="18"/>
          <w:szCs w:val="18"/>
        </w:rPr>
        <w:t>, ‘The Boys Who Cried Wolf’ (</w:t>
      </w:r>
      <w:r w:rsidRPr="00DE2606">
        <w:rPr>
          <w:i/>
          <w:sz w:val="18"/>
          <w:szCs w:val="18"/>
        </w:rPr>
        <w:t>LionelBirnie.com</w:t>
      </w:r>
      <w:r w:rsidR="005E1221" w:rsidRPr="00DE2606">
        <w:rPr>
          <w:sz w:val="18"/>
          <w:szCs w:val="18"/>
        </w:rPr>
        <w:t>, Febr</w:t>
      </w:r>
      <w:r w:rsidR="00DE2606" w:rsidRPr="00DE2606">
        <w:rPr>
          <w:sz w:val="18"/>
          <w:szCs w:val="18"/>
        </w:rPr>
        <w:t>uary 2012) [</w:t>
      </w:r>
      <w:hyperlink r:id="rId5" w:history="1">
        <w:r w:rsidRPr="00DE2606">
          <w:rPr>
            <w:rStyle w:val="Hyperlink"/>
            <w:sz w:val="18"/>
            <w:szCs w:val="18"/>
          </w:rPr>
          <w:t>www.lionelbirnie.com/the-boys-who-cried-wolf/</w:t>
        </w:r>
      </w:hyperlink>
      <w:r w:rsidR="00DE2606" w:rsidRPr="00DE2606">
        <w:rPr>
          <w:sz w:val="18"/>
          <w:szCs w:val="18"/>
        </w:rPr>
        <w:t xml:space="preserve">] </w:t>
      </w:r>
      <w:r w:rsidRPr="00DE2606">
        <w:rPr>
          <w:sz w:val="18"/>
          <w:szCs w:val="18"/>
        </w:rPr>
        <w:t>and Andy Shen, ‘</w:t>
      </w:r>
      <w:r w:rsidRPr="00DE2606">
        <w:rPr>
          <w:rFonts w:eastAsia="Times New Roman"/>
          <w:color w:val="000000"/>
          <w:kern w:val="36"/>
          <w:sz w:val="18"/>
          <w:szCs w:val="18"/>
          <w:lang w:eastAsia="en-GB"/>
        </w:rPr>
        <w:t xml:space="preserve">Behind the Scenes of the Contador CAS </w:t>
      </w:r>
      <w:r w:rsidR="007340E0">
        <w:rPr>
          <w:rFonts w:eastAsia="Times New Roman"/>
          <w:color w:val="000000"/>
          <w:kern w:val="36"/>
          <w:sz w:val="18"/>
          <w:szCs w:val="18"/>
          <w:lang w:eastAsia="en-GB"/>
        </w:rPr>
        <w:t xml:space="preserve">hearing with Michael </w:t>
      </w:r>
      <w:proofErr w:type="spellStart"/>
      <w:r w:rsidR="007340E0">
        <w:rPr>
          <w:rFonts w:eastAsia="Times New Roman"/>
          <w:color w:val="000000"/>
          <w:kern w:val="36"/>
          <w:sz w:val="18"/>
          <w:szCs w:val="18"/>
          <w:lang w:eastAsia="en-GB"/>
        </w:rPr>
        <w:t>Ashenden</w:t>
      </w:r>
      <w:proofErr w:type="spellEnd"/>
      <w:r w:rsidR="007340E0">
        <w:rPr>
          <w:rFonts w:eastAsia="Times New Roman"/>
          <w:color w:val="000000"/>
          <w:kern w:val="36"/>
          <w:sz w:val="18"/>
          <w:szCs w:val="18"/>
          <w:lang w:eastAsia="en-GB"/>
        </w:rPr>
        <w:t xml:space="preserve">’ </w:t>
      </w:r>
      <w:proofErr w:type="spellStart"/>
      <w:r w:rsidRPr="00DE2606">
        <w:rPr>
          <w:rFonts w:eastAsia="Times New Roman"/>
          <w:i/>
          <w:color w:val="000000"/>
          <w:kern w:val="36"/>
          <w:sz w:val="18"/>
          <w:szCs w:val="18"/>
          <w:lang w:eastAsia="en-GB"/>
        </w:rPr>
        <w:t>NYVelocity</w:t>
      </w:r>
      <w:proofErr w:type="spellEnd"/>
      <w:r w:rsidR="005E1221" w:rsidRPr="00DE2606">
        <w:rPr>
          <w:rFonts w:eastAsia="Times New Roman"/>
          <w:color w:val="000000"/>
          <w:kern w:val="36"/>
          <w:sz w:val="18"/>
          <w:szCs w:val="18"/>
          <w:lang w:eastAsia="en-GB"/>
        </w:rPr>
        <w:t xml:space="preserve"> </w:t>
      </w:r>
      <w:r w:rsidR="007340E0">
        <w:rPr>
          <w:rFonts w:eastAsia="Times New Roman"/>
          <w:color w:val="000000"/>
          <w:kern w:val="36"/>
          <w:sz w:val="18"/>
          <w:szCs w:val="18"/>
          <w:lang w:eastAsia="en-GB"/>
        </w:rPr>
        <w:t>(</w:t>
      </w:r>
      <w:r w:rsidR="005E1221" w:rsidRPr="00DE2606">
        <w:rPr>
          <w:rFonts w:eastAsia="Times New Roman"/>
          <w:color w:val="000000"/>
          <w:kern w:val="36"/>
          <w:sz w:val="18"/>
          <w:szCs w:val="18"/>
          <w:lang w:eastAsia="en-GB"/>
        </w:rPr>
        <w:t xml:space="preserve">4 February 2012) </w:t>
      </w:r>
      <w:r w:rsidR="007340E0">
        <w:rPr>
          <w:rFonts w:eastAsia="Times New Roman"/>
          <w:color w:val="000000"/>
          <w:kern w:val="36"/>
          <w:sz w:val="18"/>
          <w:szCs w:val="18"/>
          <w:lang w:eastAsia="en-GB"/>
        </w:rPr>
        <w:t xml:space="preserve">(online) </w:t>
      </w:r>
      <w:r w:rsidR="00DE2606" w:rsidRPr="00DE2606">
        <w:rPr>
          <w:rFonts w:eastAsia="Times New Roman"/>
          <w:color w:val="000000"/>
          <w:kern w:val="36"/>
          <w:sz w:val="18"/>
          <w:szCs w:val="18"/>
          <w:lang w:eastAsia="en-GB"/>
        </w:rPr>
        <w:t>[</w:t>
      </w:r>
      <w:hyperlink r:id="rId6" w:history="1">
        <w:r w:rsidRPr="00DE2606">
          <w:rPr>
            <w:rStyle w:val="Hyperlink"/>
            <w:rFonts w:eastAsia="Times New Roman"/>
            <w:kern w:val="36"/>
            <w:sz w:val="18"/>
            <w:szCs w:val="18"/>
            <w:lang w:eastAsia="en-GB"/>
          </w:rPr>
          <w:t>http://nyvelocity.com/content/interviews/2012/behind-scenes-contador-cas-hearing-michael-ashenden</w:t>
        </w:r>
      </w:hyperlink>
      <w:r w:rsidR="00DE2606" w:rsidRPr="00DE2606">
        <w:rPr>
          <w:rFonts w:eastAsia="Times New Roman"/>
          <w:color w:val="000000"/>
          <w:kern w:val="36"/>
          <w:sz w:val="18"/>
          <w:szCs w:val="18"/>
          <w:lang w:eastAsia="en-GB"/>
        </w:rPr>
        <w:t>]</w:t>
      </w:r>
    </w:p>
  </w:footnote>
  <w:footnote w:id="5">
    <w:p w14:paraId="53C26205" w14:textId="7456907F"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World Anti-Doping Code 2009</w:t>
      </w:r>
      <w:r w:rsidR="00DE2606" w:rsidRPr="00DE2606">
        <w:rPr>
          <w:sz w:val="18"/>
          <w:szCs w:val="18"/>
        </w:rPr>
        <w:t>:</w:t>
      </w:r>
      <w:r w:rsidR="005E1221" w:rsidRPr="00DE2606">
        <w:rPr>
          <w:sz w:val="18"/>
          <w:szCs w:val="18"/>
        </w:rPr>
        <w:t xml:space="preserve"> </w:t>
      </w:r>
      <w:r w:rsidR="00DE2606" w:rsidRPr="00DE2606">
        <w:rPr>
          <w:sz w:val="18"/>
          <w:szCs w:val="18"/>
        </w:rPr>
        <w:t>[</w:t>
      </w:r>
      <w:hyperlink r:id="rId7" w:history="1">
        <w:r w:rsidRPr="00DE2606">
          <w:rPr>
            <w:rStyle w:val="Hyperlink"/>
            <w:sz w:val="18"/>
            <w:szCs w:val="18"/>
          </w:rPr>
          <w:t>http://stage.wada-ama.org/Documents/World_Anti-Doping_Program/WADP-The-Code/WADA_Anti-Doping_CODE_2009_EN.pdf</w:t>
        </w:r>
      </w:hyperlink>
      <w:r w:rsidR="00DE2606" w:rsidRPr="00DE2606">
        <w:rPr>
          <w:sz w:val="18"/>
          <w:szCs w:val="18"/>
        </w:rPr>
        <w:t>]</w:t>
      </w:r>
    </w:p>
  </w:footnote>
  <w:footnote w:id="6">
    <w:p w14:paraId="63372E1C" w14:textId="0C660549"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Pr="00DE2606">
        <w:rPr>
          <w:i/>
          <w:sz w:val="18"/>
          <w:szCs w:val="18"/>
        </w:rPr>
        <w:t xml:space="preserve">CAS 2011/A/2384 Union </w:t>
      </w:r>
      <w:proofErr w:type="spellStart"/>
      <w:r w:rsidRPr="00DE2606">
        <w:rPr>
          <w:i/>
          <w:sz w:val="18"/>
          <w:szCs w:val="18"/>
        </w:rPr>
        <w:t>Cycliste</w:t>
      </w:r>
      <w:proofErr w:type="spellEnd"/>
      <w:r w:rsidRPr="00DE2606">
        <w:rPr>
          <w:i/>
          <w:sz w:val="18"/>
          <w:szCs w:val="18"/>
        </w:rPr>
        <w:t xml:space="preserve"> International (UCI) v. Alberto Contador Velasco &amp; Real </w:t>
      </w:r>
      <w:proofErr w:type="spellStart"/>
      <w:r w:rsidRPr="00DE2606">
        <w:rPr>
          <w:i/>
          <w:sz w:val="18"/>
          <w:szCs w:val="18"/>
        </w:rPr>
        <w:t>Federación</w:t>
      </w:r>
      <w:proofErr w:type="spellEnd"/>
      <w:r w:rsidRPr="00DE2606">
        <w:rPr>
          <w:i/>
          <w:sz w:val="18"/>
          <w:szCs w:val="18"/>
        </w:rPr>
        <w:t xml:space="preserve"> </w:t>
      </w:r>
      <w:proofErr w:type="spellStart"/>
      <w:r w:rsidRPr="00DE2606">
        <w:rPr>
          <w:i/>
          <w:sz w:val="18"/>
          <w:szCs w:val="18"/>
        </w:rPr>
        <w:t>Espanõla</w:t>
      </w:r>
      <w:proofErr w:type="spellEnd"/>
      <w:r w:rsidRPr="00DE2606">
        <w:rPr>
          <w:i/>
          <w:sz w:val="18"/>
          <w:szCs w:val="18"/>
        </w:rPr>
        <w:t xml:space="preserve"> de </w:t>
      </w:r>
      <w:proofErr w:type="spellStart"/>
      <w:r w:rsidRPr="00DE2606">
        <w:rPr>
          <w:i/>
          <w:sz w:val="18"/>
          <w:szCs w:val="18"/>
        </w:rPr>
        <w:t>Ciclismo</w:t>
      </w:r>
      <w:proofErr w:type="spellEnd"/>
      <w:r w:rsidRPr="00DE2606">
        <w:rPr>
          <w:i/>
          <w:sz w:val="18"/>
          <w:szCs w:val="18"/>
        </w:rPr>
        <w:t xml:space="preserve"> (RFEC) &amp; CAS 2011/A/2386 World Anti-Doping Agency (WADA) v</w:t>
      </w:r>
      <w:r w:rsidR="00DE2606" w:rsidRPr="00DE2606">
        <w:rPr>
          <w:i/>
          <w:sz w:val="18"/>
          <w:szCs w:val="18"/>
        </w:rPr>
        <w:t>.</w:t>
      </w:r>
      <w:r w:rsidRPr="00DE2606">
        <w:rPr>
          <w:i/>
          <w:sz w:val="18"/>
          <w:szCs w:val="18"/>
        </w:rPr>
        <w:t xml:space="preserve"> Alberto Contador Velasco &amp; RFEC</w:t>
      </w:r>
      <w:r w:rsidR="005E1221" w:rsidRPr="00DE2606">
        <w:rPr>
          <w:sz w:val="18"/>
          <w:szCs w:val="18"/>
        </w:rPr>
        <w:t>, award of 6 Febr</w:t>
      </w:r>
      <w:r w:rsidR="00DE2606" w:rsidRPr="00DE2606">
        <w:rPr>
          <w:sz w:val="18"/>
          <w:szCs w:val="18"/>
        </w:rPr>
        <w:t>uary 2012 [</w:t>
      </w:r>
      <w:hyperlink r:id="rId8" w:history="1">
        <w:r w:rsidR="0042254C" w:rsidRPr="00DE2606">
          <w:rPr>
            <w:rStyle w:val="Hyperlink"/>
            <w:sz w:val="18"/>
            <w:szCs w:val="18"/>
          </w:rPr>
          <w:t>http://jurisprudence.tas-cas.org/sites/CaseLaw/Shared%20Documents/2384,%202386.pdf</w:t>
        </w:r>
      </w:hyperlink>
      <w:r w:rsidR="00DE2606" w:rsidRPr="00DE2606">
        <w:rPr>
          <w:sz w:val="18"/>
          <w:szCs w:val="18"/>
        </w:rPr>
        <w:t>]</w:t>
      </w:r>
    </w:p>
  </w:footnote>
  <w:footnote w:id="7">
    <w:p w14:paraId="56F0CF46" w14:textId="6971EE3B" w:rsidR="00880598" w:rsidRPr="00DE2606" w:rsidRDefault="00880598" w:rsidP="00DE2606">
      <w:pPr>
        <w:spacing w:after="40"/>
        <w:rPr>
          <w:sz w:val="18"/>
          <w:szCs w:val="18"/>
        </w:rPr>
      </w:pPr>
      <w:r w:rsidRPr="00DE2606">
        <w:rPr>
          <w:rStyle w:val="FootnoteReference"/>
          <w:sz w:val="18"/>
          <w:szCs w:val="18"/>
        </w:rPr>
        <w:footnoteRef/>
      </w:r>
      <w:r w:rsidRPr="00DE2606">
        <w:rPr>
          <w:sz w:val="18"/>
          <w:szCs w:val="18"/>
        </w:rPr>
        <w:t xml:space="preserve"> The following is a brief chronological summary of the main elements of the case. A full, detailed chronology is contained within the </w:t>
      </w:r>
      <w:r w:rsidR="00D219CA" w:rsidRPr="00DE2606">
        <w:rPr>
          <w:i/>
          <w:sz w:val="18"/>
          <w:szCs w:val="18"/>
        </w:rPr>
        <w:t xml:space="preserve">Contador </w:t>
      </w:r>
      <w:r w:rsidRPr="00DE2606">
        <w:rPr>
          <w:sz w:val="18"/>
          <w:szCs w:val="18"/>
        </w:rPr>
        <w:t>CAS Award (n6).</w:t>
      </w:r>
    </w:p>
  </w:footnote>
  <w:footnote w:id="8">
    <w:p w14:paraId="6F4C87DE" w14:textId="77777777"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The Grand Tours of France, Italy and Spain comprise the three most prestigious and demanding stage-races in professional road cycling. Contador had previously won the Tour de France twice (2007 and 2009), the Tour of Italy (2008) and the Tour of Spain (2008).</w:t>
      </w:r>
    </w:p>
  </w:footnote>
  <w:footnote w:id="9">
    <w:p w14:paraId="66054EE0" w14:textId="2F8C79D6"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‘Alberto Contador suspended over traces of clenbut</w:t>
      </w:r>
      <w:r w:rsidR="007340E0">
        <w:rPr>
          <w:sz w:val="18"/>
          <w:szCs w:val="18"/>
        </w:rPr>
        <w:t xml:space="preserve">erol from Tour de France test’ </w:t>
      </w:r>
      <w:proofErr w:type="spellStart"/>
      <w:r w:rsidRPr="00DE2606">
        <w:rPr>
          <w:i/>
          <w:sz w:val="18"/>
          <w:szCs w:val="18"/>
        </w:rPr>
        <w:t>Cyclingnews</w:t>
      </w:r>
      <w:proofErr w:type="spellEnd"/>
      <w:r w:rsidRPr="00DE2606">
        <w:rPr>
          <w:sz w:val="18"/>
          <w:szCs w:val="18"/>
        </w:rPr>
        <w:t xml:space="preserve"> </w:t>
      </w:r>
      <w:r w:rsidR="007340E0">
        <w:rPr>
          <w:sz w:val="18"/>
          <w:szCs w:val="18"/>
        </w:rPr>
        <w:t>(</w:t>
      </w:r>
      <w:r w:rsidRPr="00DE2606">
        <w:rPr>
          <w:sz w:val="18"/>
          <w:szCs w:val="18"/>
        </w:rPr>
        <w:t xml:space="preserve">30 September 2010) </w:t>
      </w:r>
      <w:r w:rsidR="007340E0">
        <w:rPr>
          <w:sz w:val="18"/>
          <w:szCs w:val="18"/>
        </w:rPr>
        <w:t xml:space="preserve">(online) </w:t>
      </w:r>
      <w:r w:rsidR="00DE2606" w:rsidRPr="00DE2606">
        <w:rPr>
          <w:sz w:val="18"/>
          <w:szCs w:val="18"/>
        </w:rPr>
        <w:t>[</w:t>
      </w:r>
      <w:hyperlink r:id="rId9" w:history="1">
        <w:r w:rsidRPr="00DE2606">
          <w:rPr>
            <w:rStyle w:val="Hyperlink"/>
            <w:sz w:val="18"/>
            <w:szCs w:val="18"/>
          </w:rPr>
          <w:t>www.cyclingnews.com/news/alberto-contador-suspended-over-traces-of-clenbuterol-from-tour-de-france-test</w:t>
        </w:r>
      </w:hyperlink>
      <w:r w:rsidR="00DE2606" w:rsidRPr="00DE2606">
        <w:rPr>
          <w:rStyle w:val="Hyperlink"/>
          <w:sz w:val="18"/>
          <w:szCs w:val="18"/>
        </w:rPr>
        <w:t>]</w:t>
      </w:r>
      <w:r w:rsidRPr="00DE2606">
        <w:rPr>
          <w:sz w:val="18"/>
          <w:szCs w:val="18"/>
        </w:rPr>
        <w:t xml:space="preserve">. Interestingly, the level of clenbuterol detected was around 400 times lower than the levels detectable in some other WADA-accredited laboratories. However, as clenbuterol is not a ‘threshold’ substance (i.e. an adverse finding is only returned where the substance is detected above a specified level) the trace finding represented a positive test. </w:t>
      </w:r>
    </w:p>
  </w:footnote>
  <w:footnote w:id="10">
    <w:p w14:paraId="74AFD1B2" w14:textId="14C78A9C" w:rsidR="00880598" w:rsidRPr="00DE2606" w:rsidRDefault="00880598" w:rsidP="00DE2606">
      <w:pPr>
        <w:pStyle w:val="FootnoteText"/>
        <w:spacing w:after="40"/>
        <w:rPr>
          <w:sz w:val="18"/>
          <w:szCs w:val="18"/>
        </w:rPr>
      </w:pPr>
      <w:r w:rsidRPr="00DE2606">
        <w:rPr>
          <w:rStyle w:val="FootnoteReference"/>
          <w:sz w:val="18"/>
          <w:szCs w:val="18"/>
        </w:rPr>
        <w:footnoteRef/>
      </w:r>
      <w:r w:rsidR="005E1221" w:rsidRPr="00DE2606">
        <w:rPr>
          <w:sz w:val="18"/>
          <w:szCs w:val="18"/>
        </w:rPr>
        <w:t xml:space="preserve"> UCI Anti-Doping Rules</w:t>
      </w:r>
      <w:r w:rsidR="00DE2606">
        <w:rPr>
          <w:sz w:val="18"/>
          <w:szCs w:val="18"/>
        </w:rPr>
        <w:t>:</w:t>
      </w:r>
      <w:r w:rsidR="005E1221" w:rsidRPr="00DE2606">
        <w:rPr>
          <w:sz w:val="18"/>
          <w:szCs w:val="18"/>
        </w:rPr>
        <w:t xml:space="preserve"> </w:t>
      </w:r>
      <w:r w:rsidR="00DE2606" w:rsidRPr="00DE2606">
        <w:rPr>
          <w:sz w:val="18"/>
          <w:szCs w:val="18"/>
        </w:rPr>
        <w:t>[</w:t>
      </w:r>
      <w:hyperlink r:id="rId10" w:history="1">
        <w:r w:rsidRPr="00DE2606">
          <w:rPr>
            <w:rStyle w:val="Hyperlink"/>
            <w:sz w:val="18"/>
            <w:szCs w:val="18"/>
          </w:rPr>
          <w:t>http://www.uci.ch/Modules/BUILTIN/getObject.asp?MenuId=&amp;ObjTypeCode=FILE&amp;type=FILE&amp;id=NDc3MDk&amp;LangId=1</w:t>
        </w:r>
      </w:hyperlink>
      <w:r w:rsidR="00DE2606" w:rsidRPr="00DE2606">
        <w:rPr>
          <w:sz w:val="18"/>
          <w:szCs w:val="18"/>
        </w:rPr>
        <w:t>]</w:t>
      </w:r>
      <w:r w:rsidRPr="00DE2606">
        <w:rPr>
          <w:sz w:val="18"/>
          <w:szCs w:val="18"/>
        </w:rPr>
        <w:t xml:space="preserve">. Note Contador was initially implicated in the </w:t>
      </w:r>
      <w:proofErr w:type="spellStart"/>
      <w:r w:rsidRPr="00DE2606">
        <w:rPr>
          <w:sz w:val="18"/>
          <w:szCs w:val="18"/>
        </w:rPr>
        <w:t>Operación</w:t>
      </w:r>
      <w:proofErr w:type="spellEnd"/>
      <w:r w:rsidRPr="00DE2606">
        <w:rPr>
          <w:sz w:val="18"/>
          <w:szCs w:val="18"/>
        </w:rPr>
        <w:t xml:space="preserve"> Puerto doping ring in 2006 but was subsequently cleared of any involvement. See: ‘On the list, off the list: Alberto </w:t>
      </w:r>
      <w:r w:rsidR="007340E0">
        <w:rPr>
          <w:sz w:val="18"/>
          <w:szCs w:val="18"/>
        </w:rPr>
        <w:t xml:space="preserve">Contador and </w:t>
      </w:r>
      <w:proofErr w:type="spellStart"/>
      <w:r w:rsidR="007340E0">
        <w:rPr>
          <w:sz w:val="18"/>
          <w:szCs w:val="18"/>
        </w:rPr>
        <w:t>Operación</w:t>
      </w:r>
      <w:proofErr w:type="spellEnd"/>
      <w:r w:rsidR="007340E0">
        <w:rPr>
          <w:sz w:val="18"/>
          <w:szCs w:val="18"/>
        </w:rPr>
        <w:t xml:space="preserve"> Puerto’ </w:t>
      </w:r>
      <w:proofErr w:type="spellStart"/>
      <w:r w:rsidRPr="00DE2606">
        <w:rPr>
          <w:i/>
          <w:sz w:val="18"/>
          <w:szCs w:val="18"/>
        </w:rPr>
        <w:t>Velonews</w:t>
      </w:r>
      <w:proofErr w:type="spellEnd"/>
      <w:r w:rsidR="00DE2606" w:rsidRPr="00DE2606">
        <w:rPr>
          <w:sz w:val="18"/>
          <w:szCs w:val="18"/>
        </w:rPr>
        <w:t xml:space="preserve"> </w:t>
      </w:r>
      <w:r w:rsidR="007340E0">
        <w:rPr>
          <w:sz w:val="18"/>
          <w:szCs w:val="18"/>
        </w:rPr>
        <w:t>(</w:t>
      </w:r>
      <w:r w:rsidR="00DE2606" w:rsidRPr="00DE2606">
        <w:rPr>
          <w:sz w:val="18"/>
          <w:szCs w:val="18"/>
        </w:rPr>
        <w:t xml:space="preserve">27 July 2007) </w:t>
      </w:r>
      <w:r w:rsidR="007340E0">
        <w:rPr>
          <w:sz w:val="18"/>
          <w:szCs w:val="18"/>
        </w:rPr>
        <w:t xml:space="preserve">(online) </w:t>
      </w:r>
      <w:r w:rsidR="00DE2606" w:rsidRPr="00DE2606">
        <w:rPr>
          <w:sz w:val="18"/>
          <w:szCs w:val="18"/>
        </w:rPr>
        <w:t>[</w:t>
      </w:r>
      <w:hyperlink r:id="rId11" w:history="1">
        <w:r w:rsidRPr="00DE2606">
          <w:rPr>
            <w:rStyle w:val="Hyperlink"/>
            <w:sz w:val="18"/>
            <w:szCs w:val="18"/>
          </w:rPr>
          <w:t>http://velonews.competitor.com/2007/07/news/on-the-list-off-the-list-alberto-contador-and-operacion-puerto_12964</w:t>
        </w:r>
      </w:hyperlink>
      <w:r w:rsidR="00DE2606" w:rsidRPr="00DE2606">
        <w:rPr>
          <w:sz w:val="18"/>
          <w:szCs w:val="18"/>
        </w:rPr>
        <w:t>]</w:t>
      </w:r>
    </w:p>
  </w:footnote>
  <w:footnote w:id="11">
    <w:p w14:paraId="180C9034" w14:textId="2829AF2F"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‘Alberto Contador Blames Tainted Meat’ </w:t>
      </w:r>
      <w:r w:rsidRPr="00DE2606">
        <w:rPr>
          <w:i/>
          <w:sz w:val="18"/>
          <w:szCs w:val="18"/>
        </w:rPr>
        <w:t>ESPN</w:t>
      </w:r>
      <w:r w:rsidR="007340E0">
        <w:rPr>
          <w:sz w:val="18"/>
          <w:szCs w:val="18"/>
        </w:rPr>
        <w:t xml:space="preserve"> (</w:t>
      </w:r>
      <w:r w:rsidRPr="00DE2606">
        <w:rPr>
          <w:sz w:val="18"/>
          <w:szCs w:val="18"/>
        </w:rPr>
        <w:t xml:space="preserve">1 October 2010) </w:t>
      </w:r>
      <w:r w:rsidR="00DE2606" w:rsidRPr="00DE2606">
        <w:rPr>
          <w:sz w:val="18"/>
          <w:szCs w:val="18"/>
        </w:rPr>
        <w:t>[</w:t>
      </w:r>
      <w:hyperlink r:id="rId12" w:history="1">
        <w:r w:rsidRPr="00DE2606">
          <w:rPr>
            <w:rStyle w:val="Hyperlink"/>
            <w:sz w:val="18"/>
            <w:szCs w:val="18"/>
          </w:rPr>
          <w:t>http://sports.espn.go.com/oly/cycling/news/story?id=5632256</w:t>
        </w:r>
      </w:hyperlink>
      <w:r w:rsidR="00DE2606" w:rsidRPr="00DE2606">
        <w:rPr>
          <w:sz w:val="18"/>
          <w:szCs w:val="18"/>
        </w:rPr>
        <w:t>]</w:t>
      </w:r>
    </w:p>
  </w:footnote>
  <w:footnote w:id="12">
    <w:p w14:paraId="3504DC27" w14:textId="461D39F8"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‘Alberto Contador Given One-Y</w:t>
      </w:r>
      <w:r w:rsidR="007340E0">
        <w:rPr>
          <w:sz w:val="18"/>
          <w:szCs w:val="18"/>
        </w:rPr>
        <w:t xml:space="preserve">ear Ban by Spanish Federation’ </w:t>
      </w:r>
      <w:proofErr w:type="spellStart"/>
      <w:r w:rsidRPr="00DE2606">
        <w:rPr>
          <w:i/>
          <w:sz w:val="18"/>
          <w:szCs w:val="18"/>
        </w:rPr>
        <w:t>VeloNation</w:t>
      </w:r>
      <w:proofErr w:type="spellEnd"/>
      <w:r w:rsidR="009400B9" w:rsidRPr="00DE2606">
        <w:rPr>
          <w:sz w:val="18"/>
          <w:szCs w:val="18"/>
        </w:rPr>
        <w:t xml:space="preserve"> </w:t>
      </w:r>
      <w:r w:rsidR="007340E0">
        <w:rPr>
          <w:sz w:val="18"/>
          <w:szCs w:val="18"/>
        </w:rPr>
        <w:t>(</w:t>
      </w:r>
      <w:r w:rsidR="009400B9" w:rsidRPr="00DE2606">
        <w:rPr>
          <w:sz w:val="18"/>
          <w:szCs w:val="18"/>
        </w:rPr>
        <w:t xml:space="preserve">26 January 2011) </w:t>
      </w:r>
      <w:r w:rsidR="007340E0">
        <w:rPr>
          <w:sz w:val="18"/>
          <w:szCs w:val="18"/>
        </w:rPr>
        <w:t xml:space="preserve">(online) </w:t>
      </w:r>
      <w:r w:rsidR="00DE2606" w:rsidRPr="00DE2606">
        <w:rPr>
          <w:sz w:val="18"/>
          <w:szCs w:val="18"/>
        </w:rPr>
        <w:t>[</w:t>
      </w:r>
      <w:hyperlink r:id="rId13" w:history="1">
        <w:r w:rsidRPr="00DE2606">
          <w:rPr>
            <w:rStyle w:val="Hyperlink"/>
            <w:sz w:val="18"/>
            <w:szCs w:val="18"/>
          </w:rPr>
          <w:t>www.velonation.com/News/ID/7220/Alberto-Contador-given-one-year-ban-by-Spanish-Federation.aspx</w:t>
        </w:r>
      </w:hyperlink>
      <w:r w:rsidR="00DE2606" w:rsidRPr="00DE2606">
        <w:rPr>
          <w:sz w:val="18"/>
          <w:szCs w:val="18"/>
        </w:rPr>
        <w:t>].</w:t>
      </w:r>
      <w:r w:rsidRPr="00DE2606">
        <w:rPr>
          <w:sz w:val="18"/>
          <w:szCs w:val="18"/>
        </w:rPr>
        <w:t xml:space="preserve"> Prior to the hearing, the CNCDD requested further evidence from the UCI and WADA in order to assist it in reaching a decision. However, for various reasons, this information was not provided and the CNCDD thus reached a decision based on its own </w:t>
      </w:r>
      <w:r w:rsidR="00B93EF3" w:rsidRPr="00DE2606">
        <w:rPr>
          <w:sz w:val="18"/>
          <w:szCs w:val="18"/>
        </w:rPr>
        <w:t xml:space="preserve">preliminary </w:t>
      </w:r>
      <w:r w:rsidRPr="00DE2606">
        <w:rPr>
          <w:sz w:val="18"/>
          <w:szCs w:val="18"/>
        </w:rPr>
        <w:t>investigations and the defence arguments put forward by Contador</w:t>
      </w:r>
      <w:r w:rsidR="00B93EF3" w:rsidRPr="00DE2606">
        <w:rPr>
          <w:sz w:val="18"/>
          <w:szCs w:val="18"/>
        </w:rPr>
        <w:t xml:space="preserve"> – </w:t>
      </w:r>
      <w:r w:rsidRPr="00DE2606">
        <w:rPr>
          <w:sz w:val="18"/>
          <w:szCs w:val="18"/>
        </w:rPr>
        <w:t xml:space="preserve">see </w:t>
      </w:r>
      <w:r w:rsidRPr="00DE2606">
        <w:rPr>
          <w:i/>
          <w:sz w:val="18"/>
          <w:szCs w:val="18"/>
        </w:rPr>
        <w:t xml:space="preserve">Contador </w:t>
      </w:r>
      <w:r w:rsidR="00B93EF3" w:rsidRPr="00DE2606">
        <w:rPr>
          <w:sz w:val="18"/>
          <w:szCs w:val="18"/>
        </w:rPr>
        <w:t>(</w:t>
      </w:r>
      <w:r w:rsidR="009400B9" w:rsidRPr="00DE2606">
        <w:rPr>
          <w:sz w:val="18"/>
          <w:szCs w:val="18"/>
        </w:rPr>
        <w:t>n6</w:t>
      </w:r>
      <w:r w:rsidR="00B93EF3" w:rsidRPr="00DE2606">
        <w:rPr>
          <w:sz w:val="18"/>
          <w:szCs w:val="18"/>
        </w:rPr>
        <w:t>)</w:t>
      </w:r>
      <w:r w:rsidRPr="00DE2606">
        <w:rPr>
          <w:sz w:val="18"/>
          <w:szCs w:val="18"/>
        </w:rPr>
        <w:t>.</w:t>
      </w:r>
    </w:p>
  </w:footnote>
  <w:footnote w:id="13">
    <w:p w14:paraId="167EA607" w14:textId="6A45BAE1"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‘PM: Spai</w:t>
      </w:r>
      <w:r w:rsidR="007340E0">
        <w:rPr>
          <w:sz w:val="18"/>
          <w:szCs w:val="18"/>
        </w:rPr>
        <w:t xml:space="preserve">n Shouldn’t Sanction Contador’ </w:t>
      </w:r>
      <w:r w:rsidRPr="00DE2606">
        <w:rPr>
          <w:i/>
          <w:sz w:val="18"/>
          <w:szCs w:val="18"/>
        </w:rPr>
        <w:t>ESPN</w:t>
      </w:r>
      <w:r w:rsidRPr="00DE2606">
        <w:rPr>
          <w:sz w:val="18"/>
          <w:szCs w:val="18"/>
        </w:rPr>
        <w:t xml:space="preserve"> </w:t>
      </w:r>
      <w:r w:rsidR="007340E0">
        <w:rPr>
          <w:sz w:val="18"/>
          <w:szCs w:val="18"/>
        </w:rPr>
        <w:t>(</w:t>
      </w:r>
      <w:r w:rsidRPr="00DE2606">
        <w:rPr>
          <w:sz w:val="18"/>
          <w:szCs w:val="18"/>
        </w:rPr>
        <w:t xml:space="preserve">11 February 2011) </w:t>
      </w:r>
      <w:r w:rsidR="007340E0">
        <w:rPr>
          <w:sz w:val="18"/>
          <w:szCs w:val="18"/>
        </w:rPr>
        <w:t xml:space="preserve">(online) </w:t>
      </w:r>
      <w:r w:rsidR="00DE2606" w:rsidRPr="00DE2606">
        <w:rPr>
          <w:sz w:val="18"/>
          <w:szCs w:val="18"/>
        </w:rPr>
        <w:t>[</w:t>
      </w:r>
      <w:hyperlink r:id="rId14" w:history="1">
        <w:r w:rsidRPr="00DE2606">
          <w:rPr>
            <w:rStyle w:val="Hyperlink"/>
            <w:sz w:val="18"/>
            <w:szCs w:val="18"/>
          </w:rPr>
          <w:t>http://sports.espn.go.com/oly/cycling/news/story?id=6111856</w:t>
        </w:r>
      </w:hyperlink>
      <w:r w:rsidR="007340E0">
        <w:rPr>
          <w:sz w:val="18"/>
          <w:szCs w:val="18"/>
        </w:rPr>
        <w:t>]</w:t>
      </w:r>
    </w:p>
  </w:footnote>
  <w:footnote w:id="14">
    <w:p w14:paraId="13B41690" w14:textId="5938CE5B"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CNCDD Disciplinary Proceedings no. 17/2010. </w:t>
      </w:r>
      <w:r w:rsidR="007340E0">
        <w:rPr>
          <w:sz w:val="18"/>
          <w:szCs w:val="18"/>
        </w:rPr>
        <w:t>(</w:t>
      </w:r>
      <w:r w:rsidRPr="00DE2606">
        <w:rPr>
          <w:sz w:val="18"/>
          <w:szCs w:val="18"/>
        </w:rPr>
        <w:t xml:space="preserve">English translation available at: </w:t>
      </w:r>
      <w:r w:rsidR="00DE2606" w:rsidRPr="00DE2606">
        <w:rPr>
          <w:sz w:val="18"/>
          <w:szCs w:val="18"/>
        </w:rPr>
        <w:t>[</w:t>
      </w:r>
      <w:hyperlink r:id="rId15" w:history="1">
        <w:r w:rsidRPr="00DE2606">
          <w:rPr>
            <w:rStyle w:val="Hyperlink"/>
            <w:sz w:val="18"/>
            <w:szCs w:val="18"/>
          </w:rPr>
          <w:t>www.albertocontadornotebook.info/ResolutionContador.pdf</w:t>
        </w:r>
      </w:hyperlink>
      <w:r w:rsidR="00DE2606" w:rsidRPr="00DE2606">
        <w:rPr>
          <w:sz w:val="18"/>
          <w:szCs w:val="18"/>
        </w:rPr>
        <w:t>]</w:t>
      </w:r>
      <w:r w:rsidR="007340E0">
        <w:rPr>
          <w:sz w:val="18"/>
          <w:szCs w:val="18"/>
        </w:rPr>
        <w:t>)</w:t>
      </w:r>
      <w:r w:rsidR="00EE6719" w:rsidRPr="00DE2606">
        <w:rPr>
          <w:sz w:val="18"/>
          <w:szCs w:val="18"/>
        </w:rPr>
        <w:t>.</w:t>
      </w:r>
      <w:r w:rsidRPr="00DE2606">
        <w:rPr>
          <w:sz w:val="18"/>
          <w:szCs w:val="18"/>
        </w:rPr>
        <w:t xml:space="preserve"> Contador subsequently entered the 2011 Tour of Italy from May 7-29, winning in a dominant display.</w:t>
      </w:r>
    </w:p>
  </w:footnote>
  <w:footnote w:id="15">
    <w:p w14:paraId="7ED258BE" w14:textId="77777777"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Note the UCI appeal also sought to impose financial sanctions on Contador and to recoup appeal costs. </w:t>
      </w:r>
    </w:p>
  </w:footnote>
  <w:footnote w:id="16">
    <w:p w14:paraId="66A36755" w14:textId="794461EB"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‘The Contador Case Will be Heard in November 2011’ (</w:t>
      </w:r>
      <w:r w:rsidRPr="00DE2606">
        <w:rPr>
          <w:i/>
          <w:sz w:val="18"/>
          <w:szCs w:val="18"/>
        </w:rPr>
        <w:t>Court of Arbitration for Sport</w:t>
      </w:r>
      <w:r w:rsidRPr="00DE2606">
        <w:rPr>
          <w:sz w:val="18"/>
          <w:szCs w:val="18"/>
        </w:rPr>
        <w:t xml:space="preserve">, 26 July 2011) </w:t>
      </w:r>
      <w:r w:rsidR="00DE2606" w:rsidRPr="00DE2606">
        <w:rPr>
          <w:sz w:val="18"/>
          <w:szCs w:val="18"/>
        </w:rPr>
        <w:t>[</w:t>
      </w:r>
      <w:hyperlink r:id="rId16" w:history="1">
        <w:r w:rsidRPr="00DE2606">
          <w:rPr>
            <w:rStyle w:val="Hyperlink"/>
            <w:sz w:val="18"/>
            <w:szCs w:val="18"/>
          </w:rPr>
          <w:t>http://www.tas-cas.org/d2wfiles/document/5077/5048/0/Media20Release20_English_2026.07.pdf</w:t>
        </w:r>
      </w:hyperlink>
      <w:r w:rsidR="00DE2606" w:rsidRPr="00DE2606">
        <w:rPr>
          <w:sz w:val="18"/>
          <w:szCs w:val="18"/>
        </w:rPr>
        <w:t>].</w:t>
      </w:r>
    </w:p>
  </w:footnote>
  <w:footnote w:id="17">
    <w:p w14:paraId="25C020E4" w14:textId="77777777"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Pr="00DE2606">
        <w:rPr>
          <w:i/>
          <w:sz w:val="18"/>
          <w:szCs w:val="18"/>
        </w:rPr>
        <w:t>Contador</w:t>
      </w:r>
      <w:r w:rsidRPr="00DE2606">
        <w:rPr>
          <w:sz w:val="18"/>
          <w:szCs w:val="18"/>
        </w:rPr>
        <w:t xml:space="preserve"> (n6)</w:t>
      </w:r>
    </w:p>
  </w:footnote>
  <w:footnote w:id="18">
    <w:p w14:paraId="2D66C17B" w14:textId="18184227" w:rsidR="00F17134" w:rsidRPr="00DE2606" w:rsidRDefault="00F17134" w:rsidP="00DE2606">
      <w:pPr>
        <w:pStyle w:val="FootnoteText"/>
        <w:spacing w:after="40"/>
        <w:rPr>
          <w:sz w:val="18"/>
          <w:szCs w:val="18"/>
        </w:rPr>
      </w:pPr>
      <w:r w:rsidRPr="00DE2606">
        <w:rPr>
          <w:rStyle w:val="FootnoteReference"/>
          <w:sz w:val="18"/>
          <w:szCs w:val="18"/>
        </w:rPr>
        <w:footnoteRef/>
      </w:r>
      <w:r w:rsidR="00DE2606">
        <w:rPr>
          <w:sz w:val="18"/>
          <w:szCs w:val="18"/>
        </w:rPr>
        <w:t xml:space="preserve"> </w:t>
      </w:r>
      <w:r w:rsidR="00DE2606" w:rsidRPr="00DE2606">
        <w:rPr>
          <w:sz w:val="18"/>
          <w:szCs w:val="18"/>
        </w:rPr>
        <w:t>I</w:t>
      </w:r>
      <w:r w:rsidRPr="00DE2606">
        <w:rPr>
          <w:sz w:val="18"/>
          <w:szCs w:val="18"/>
        </w:rPr>
        <w:t>bid</w:t>
      </w:r>
      <w:r w:rsidR="00DE2606">
        <w:rPr>
          <w:sz w:val="18"/>
          <w:szCs w:val="18"/>
        </w:rPr>
        <w:t>,</w:t>
      </w:r>
      <w:r w:rsidRPr="00DE2606">
        <w:rPr>
          <w:sz w:val="18"/>
          <w:szCs w:val="18"/>
        </w:rPr>
        <w:t xml:space="preserve"> para 340.</w:t>
      </w:r>
    </w:p>
  </w:footnote>
  <w:footnote w:id="19">
    <w:p w14:paraId="4D8ED0DC" w14:textId="75AEA32A" w:rsidR="00880598" w:rsidRPr="00DE2606" w:rsidRDefault="00880598" w:rsidP="00DE2606">
      <w:pPr>
        <w:spacing w:after="40"/>
        <w:rPr>
          <w:sz w:val="18"/>
          <w:szCs w:val="18"/>
        </w:rPr>
      </w:pPr>
      <w:r w:rsidRPr="00DE2606">
        <w:rPr>
          <w:rStyle w:val="FootnoteReference"/>
          <w:sz w:val="18"/>
          <w:szCs w:val="18"/>
        </w:rPr>
        <w:footnoteRef/>
      </w:r>
      <w:r w:rsidRPr="00DE2606">
        <w:rPr>
          <w:sz w:val="18"/>
          <w:szCs w:val="18"/>
        </w:rPr>
        <w:t xml:space="preserve"> </w:t>
      </w:r>
      <w:r w:rsidR="00F17134" w:rsidRPr="00DE2606">
        <w:rPr>
          <w:i/>
          <w:sz w:val="18"/>
          <w:szCs w:val="18"/>
        </w:rPr>
        <w:t xml:space="preserve">Contador </w:t>
      </w:r>
      <w:r w:rsidR="00F17134" w:rsidRPr="00DE2606">
        <w:rPr>
          <w:sz w:val="18"/>
          <w:szCs w:val="18"/>
        </w:rPr>
        <w:t>(n6)</w:t>
      </w:r>
      <w:r w:rsidR="00DE2606">
        <w:rPr>
          <w:sz w:val="18"/>
          <w:szCs w:val="18"/>
        </w:rPr>
        <w:t>,</w:t>
      </w:r>
      <w:r w:rsidR="00F17134" w:rsidRPr="00DE2606">
        <w:rPr>
          <w:sz w:val="18"/>
          <w:szCs w:val="18"/>
        </w:rPr>
        <w:t xml:space="preserve"> para 359</w:t>
      </w:r>
      <w:r w:rsidR="0042254C" w:rsidRPr="00DE2606">
        <w:rPr>
          <w:sz w:val="18"/>
          <w:szCs w:val="18"/>
        </w:rPr>
        <w:t xml:space="preserve">. </w:t>
      </w:r>
      <w:r w:rsidRPr="00DE2606">
        <w:rPr>
          <w:sz w:val="18"/>
          <w:szCs w:val="18"/>
        </w:rPr>
        <w:t>In addition</w:t>
      </w:r>
      <w:r w:rsidR="00EE6719" w:rsidRPr="00DE2606">
        <w:rPr>
          <w:sz w:val="18"/>
          <w:szCs w:val="18"/>
        </w:rPr>
        <w:t>,</w:t>
      </w:r>
      <w:r w:rsidRPr="00DE2606">
        <w:rPr>
          <w:sz w:val="18"/>
          <w:szCs w:val="18"/>
        </w:rPr>
        <w:t xml:space="preserve"> the UCI’s appeal request for a fine to be imposed on Contador was held over to a separate hearing.</w:t>
      </w:r>
    </w:p>
  </w:footnote>
  <w:footnote w:id="20">
    <w:p w14:paraId="7AEF588B" w14:textId="77777777"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Jonathan Taylor and Antonio Delgado, ‘Comments on the Contador Case: Should the Improbable be </w:t>
      </w:r>
      <w:proofErr w:type="gramStart"/>
      <w:r w:rsidRPr="00DE2606">
        <w:rPr>
          <w:sz w:val="18"/>
          <w:szCs w:val="18"/>
        </w:rPr>
        <w:t>Accepted</w:t>
      </w:r>
      <w:proofErr w:type="gramEnd"/>
      <w:r w:rsidRPr="00DE2606">
        <w:rPr>
          <w:sz w:val="18"/>
          <w:szCs w:val="18"/>
        </w:rPr>
        <w:t xml:space="preserve"> as Truth?’ (2013) 16 Spain Arbitration Review 117.</w:t>
      </w:r>
    </w:p>
  </w:footnote>
  <w:footnote w:id="21">
    <w:p w14:paraId="4B24B76B" w14:textId="1F838437"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An additional consideration arises where a trace amount of a prohibited substance has been found and which may have little or no performance enhancing effect. While a full discussion of the merits of introducing thresholds for prohibited substances is outside the scope of this paper</w:t>
      </w:r>
      <w:r w:rsidR="000C5AA6" w:rsidRPr="00DE2606">
        <w:rPr>
          <w:sz w:val="18"/>
          <w:szCs w:val="18"/>
        </w:rPr>
        <w:t>,</w:t>
      </w:r>
      <w:r w:rsidRPr="00DE2606">
        <w:rPr>
          <w:sz w:val="18"/>
          <w:szCs w:val="18"/>
        </w:rPr>
        <w:t xml:space="preserve"> this was an issue debated in the context of the </w:t>
      </w:r>
      <w:r w:rsidRPr="00DE2606">
        <w:rPr>
          <w:i/>
          <w:sz w:val="18"/>
          <w:szCs w:val="18"/>
        </w:rPr>
        <w:t>Contador</w:t>
      </w:r>
      <w:r w:rsidRPr="00DE2606">
        <w:rPr>
          <w:sz w:val="18"/>
          <w:szCs w:val="18"/>
        </w:rPr>
        <w:t xml:space="preserve"> case. See for example the expert evidence provided by Dr </w:t>
      </w:r>
      <w:proofErr w:type="spellStart"/>
      <w:r w:rsidRPr="00DE2606">
        <w:rPr>
          <w:sz w:val="18"/>
          <w:szCs w:val="18"/>
        </w:rPr>
        <w:t>Douwe</w:t>
      </w:r>
      <w:proofErr w:type="spellEnd"/>
      <w:r w:rsidRPr="00DE2606">
        <w:rPr>
          <w:sz w:val="18"/>
          <w:szCs w:val="18"/>
        </w:rPr>
        <w:t xml:space="preserve"> de Boer in Contador’s defence</w:t>
      </w:r>
      <w:r w:rsidR="002B4B5D" w:rsidRPr="00DE2606">
        <w:rPr>
          <w:sz w:val="18"/>
          <w:szCs w:val="18"/>
        </w:rPr>
        <w:t>:</w:t>
      </w:r>
      <w:r w:rsidRPr="00DE2606">
        <w:rPr>
          <w:sz w:val="18"/>
          <w:szCs w:val="18"/>
        </w:rPr>
        <w:t xml:space="preserve"> </w:t>
      </w:r>
      <w:r w:rsidR="00DE2606">
        <w:rPr>
          <w:sz w:val="18"/>
          <w:szCs w:val="18"/>
        </w:rPr>
        <w:t>[</w:t>
      </w:r>
      <w:hyperlink r:id="rId17" w:history="1">
        <w:r w:rsidRPr="00DE2606">
          <w:rPr>
            <w:rStyle w:val="Hyperlink"/>
            <w:sz w:val="18"/>
            <w:szCs w:val="18"/>
          </w:rPr>
          <w:t>www.velonation.com/Photos/Photo-Album/mmid/614/mediaid/574.aspx</w:t>
        </w:r>
      </w:hyperlink>
      <w:r w:rsidR="00DE2606">
        <w:rPr>
          <w:sz w:val="18"/>
          <w:szCs w:val="18"/>
        </w:rPr>
        <w:t>]</w:t>
      </w:r>
    </w:p>
  </w:footnote>
  <w:footnote w:id="22">
    <w:p w14:paraId="5A9D6580" w14:textId="77777777"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WADC 2009 (n5). An adverse analytical finding under Article 2.1 is a ‘strict liability’ offence meaning the presence of a Prohibited Substance constitutes a violation regardless of “intent, fault, negligence or knowing use.”</w:t>
      </w:r>
    </w:p>
  </w:footnote>
  <w:footnote w:id="23">
    <w:p w14:paraId="634BD356" w14:textId="1373F040"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See for example</w:t>
      </w:r>
      <w:r w:rsidR="00DE2606">
        <w:rPr>
          <w:sz w:val="18"/>
          <w:szCs w:val="18"/>
        </w:rPr>
        <w:t>:</w:t>
      </w:r>
      <w:r w:rsidRPr="00DE2606">
        <w:rPr>
          <w:sz w:val="18"/>
          <w:szCs w:val="18"/>
        </w:rPr>
        <w:t xml:space="preserve"> Ryan </w:t>
      </w:r>
      <w:proofErr w:type="spellStart"/>
      <w:r w:rsidRPr="00DE2606">
        <w:rPr>
          <w:sz w:val="18"/>
          <w:szCs w:val="18"/>
        </w:rPr>
        <w:t>Rezel</w:t>
      </w:r>
      <w:proofErr w:type="spellEnd"/>
      <w:r w:rsidRPr="00DE2606">
        <w:rPr>
          <w:sz w:val="18"/>
          <w:szCs w:val="18"/>
        </w:rPr>
        <w:t>, ‘Guilty Until Proven Innocent, and then, Still Guilty: What the World Anti-Doping Agency can Learn from the National Football League about First-Time Anti-Doping Violations’ (2012) 29  Wisconsin International Law Journal 807 for a discussion of fairness and sanctioning.</w:t>
      </w:r>
    </w:p>
  </w:footnote>
  <w:footnote w:id="24">
    <w:p w14:paraId="6EF78366" w14:textId="04916B49" w:rsidR="00880598" w:rsidRPr="00DE2606" w:rsidRDefault="00880598" w:rsidP="00DE2606">
      <w:pPr>
        <w:spacing w:after="40"/>
        <w:rPr>
          <w:sz w:val="18"/>
          <w:szCs w:val="18"/>
        </w:rPr>
      </w:pPr>
      <w:r w:rsidRPr="00DE2606">
        <w:rPr>
          <w:rStyle w:val="FootnoteReference"/>
          <w:sz w:val="18"/>
          <w:szCs w:val="18"/>
        </w:rPr>
        <w:footnoteRef/>
      </w:r>
      <w:r w:rsidRPr="00DE2606">
        <w:rPr>
          <w:sz w:val="18"/>
          <w:szCs w:val="18"/>
        </w:rPr>
        <w:t xml:space="preserve"> Strictly speaking, the relevant applicable rules in </w:t>
      </w:r>
      <w:r w:rsidRPr="00DE2606">
        <w:rPr>
          <w:i/>
          <w:sz w:val="18"/>
          <w:szCs w:val="18"/>
        </w:rPr>
        <w:t xml:space="preserve">Contador </w:t>
      </w:r>
      <w:r w:rsidRPr="00DE2606">
        <w:rPr>
          <w:sz w:val="18"/>
          <w:szCs w:val="18"/>
        </w:rPr>
        <w:t>were the UCI Anti-Doping Rules (UCI ADR). However, for clarity and consistency, the following discussion refers to the relevant provisions of the WADC 2009 rather than the UCI ADR on the basis that the UCI, as a Code signatory, had incorporated the mandatory elements of the Code into its ADR at the time of the offence.</w:t>
      </w:r>
      <w:r w:rsidRPr="00DE2606">
        <w:rPr>
          <w:rStyle w:val="FootnoteReference"/>
          <w:sz w:val="18"/>
          <w:szCs w:val="18"/>
        </w:rPr>
        <w:t xml:space="preserve"> </w:t>
      </w:r>
      <w:r w:rsidRPr="00DE2606">
        <w:rPr>
          <w:sz w:val="18"/>
          <w:szCs w:val="18"/>
        </w:rPr>
        <w:t>The UCI ADR articles relating to anti-doping violations (Article 21), burdens and standards of proof (Article 22) and sanctions (Articles 293, 296 and 297) incorporate</w:t>
      </w:r>
      <w:r w:rsidR="00D219CA" w:rsidRPr="00DE2606">
        <w:rPr>
          <w:sz w:val="18"/>
          <w:szCs w:val="18"/>
        </w:rPr>
        <w:t>d</w:t>
      </w:r>
      <w:r w:rsidRPr="00DE2606">
        <w:rPr>
          <w:sz w:val="18"/>
          <w:szCs w:val="18"/>
        </w:rPr>
        <w:t xml:space="preserve"> the corresponding articles in the WADC 2009 (Articles 2, 3, 10.2 and 10.5).</w:t>
      </w:r>
    </w:p>
  </w:footnote>
  <w:footnote w:id="25">
    <w:p w14:paraId="2878D53F" w14:textId="10C948F0"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5235E2" w:rsidRPr="00DE2606">
        <w:rPr>
          <w:i/>
          <w:sz w:val="18"/>
          <w:szCs w:val="18"/>
        </w:rPr>
        <w:t xml:space="preserve">Contador </w:t>
      </w:r>
      <w:r w:rsidR="005235E2" w:rsidRPr="00DE2606">
        <w:rPr>
          <w:sz w:val="18"/>
          <w:szCs w:val="18"/>
        </w:rPr>
        <w:t>(n6)</w:t>
      </w:r>
      <w:r w:rsidR="00DE2606">
        <w:rPr>
          <w:sz w:val="18"/>
          <w:szCs w:val="18"/>
        </w:rPr>
        <w:t>,</w:t>
      </w:r>
      <w:r w:rsidR="005235E2" w:rsidRPr="00DE2606">
        <w:rPr>
          <w:sz w:val="18"/>
          <w:szCs w:val="18"/>
        </w:rPr>
        <w:t xml:space="preserve"> para 44.</w:t>
      </w:r>
    </w:p>
  </w:footnote>
  <w:footnote w:id="26">
    <w:p w14:paraId="3E9988A9" w14:textId="7E905F0A" w:rsidR="00880598" w:rsidRPr="00DE2606" w:rsidRDefault="00880598" w:rsidP="00DE2606">
      <w:pPr>
        <w:pStyle w:val="FootnoteText"/>
        <w:spacing w:after="40"/>
        <w:rPr>
          <w:sz w:val="18"/>
          <w:szCs w:val="18"/>
        </w:rPr>
      </w:pPr>
      <w:r w:rsidRPr="00DE2606">
        <w:rPr>
          <w:rStyle w:val="FootnoteReference"/>
          <w:sz w:val="18"/>
          <w:szCs w:val="18"/>
        </w:rPr>
        <w:footnoteRef/>
      </w:r>
      <w:r w:rsidR="00A5320A" w:rsidRPr="00DE2606">
        <w:rPr>
          <w:sz w:val="18"/>
          <w:szCs w:val="18"/>
        </w:rPr>
        <w:t xml:space="preserve"> WADC 2009</w:t>
      </w:r>
      <w:r w:rsidRPr="00DE2606">
        <w:rPr>
          <w:sz w:val="18"/>
          <w:szCs w:val="18"/>
        </w:rPr>
        <w:t xml:space="preserve"> </w:t>
      </w:r>
      <w:r w:rsidR="000C4C5B" w:rsidRPr="00DE2606">
        <w:rPr>
          <w:sz w:val="18"/>
          <w:szCs w:val="18"/>
        </w:rPr>
        <w:t>(n5)</w:t>
      </w:r>
      <w:r w:rsidR="00DE2606">
        <w:rPr>
          <w:sz w:val="18"/>
          <w:szCs w:val="18"/>
        </w:rPr>
        <w:t>,</w:t>
      </w:r>
      <w:r w:rsidR="000C4C5B" w:rsidRPr="00DE2606">
        <w:rPr>
          <w:sz w:val="18"/>
          <w:szCs w:val="18"/>
        </w:rPr>
        <w:t xml:space="preserve"> </w:t>
      </w:r>
      <w:r w:rsidR="00D219CA" w:rsidRPr="00DE2606">
        <w:rPr>
          <w:sz w:val="18"/>
          <w:szCs w:val="18"/>
        </w:rPr>
        <w:t>art 3.1.</w:t>
      </w:r>
      <w:r w:rsidR="00A5320A" w:rsidRPr="00DE2606">
        <w:rPr>
          <w:sz w:val="18"/>
          <w:szCs w:val="18"/>
        </w:rPr>
        <w:t xml:space="preserve"> </w:t>
      </w:r>
    </w:p>
  </w:footnote>
  <w:footnote w:id="27">
    <w:p w14:paraId="33587579" w14:textId="039B0550" w:rsidR="000C4C5B" w:rsidRPr="00DE2606" w:rsidRDefault="000C4C5B" w:rsidP="00DE2606">
      <w:pPr>
        <w:pStyle w:val="FootnoteText"/>
        <w:spacing w:after="40"/>
        <w:rPr>
          <w:sz w:val="18"/>
          <w:szCs w:val="18"/>
        </w:rPr>
      </w:pPr>
      <w:r w:rsidRPr="00DE2606">
        <w:rPr>
          <w:rStyle w:val="FootnoteReference"/>
          <w:sz w:val="18"/>
          <w:szCs w:val="18"/>
        </w:rPr>
        <w:footnoteRef/>
      </w:r>
      <w:r w:rsidRPr="00DE2606">
        <w:rPr>
          <w:sz w:val="18"/>
          <w:szCs w:val="18"/>
        </w:rPr>
        <w:t xml:space="preserve"> WADC 2009 (n5)</w:t>
      </w:r>
      <w:r w:rsidR="00DE2606">
        <w:rPr>
          <w:sz w:val="18"/>
          <w:szCs w:val="18"/>
        </w:rPr>
        <w:t>,</w:t>
      </w:r>
      <w:r w:rsidRPr="00DE2606">
        <w:rPr>
          <w:sz w:val="18"/>
          <w:szCs w:val="18"/>
        </w:rPr>
        <w:t xml:space="preserve"> art 10.2.</w:t>
      </w:r>
    </w:p>
  </w:footnote>
  <w:footnote w:id="28">
    <w:p w14:paraId="231C8CC5" w14:textId="4DA3D09F" w:rsidR="00880598" w:rsidRPr="00DE2606" w:rsidRDefault="00880598" w:rsidP="00DE2606">
      <w:pPr>
        <w:pStyle w:val="FootnoteText"/>
        <w:spacing w:after="40"/>
        <w:rPr>
          <w:sz w:val="18"/>
          <w:szCs w:val="18"/>
        </w:rPr>
      </w:pPr>
      <w:r w:rsidRPr="00DE2606">
        <w:rPr>
          <w:rStyle w:val="FootnoteReference"/>
          <w:sz w:val="18"/>
          <w:szCs w:val="18"/>
        </w:rPr>
        <w:footnoteRef/>
      </w:r>
      <w:r w:rsidR="00D219CA" w:rsidRPr="00DE2606">
        <w:rPr>
          <w:sz w:val="18"/>
          <w:szCs w:val="18"/>
        </w:rPr>
        <w:t xml:space="preserve"> WADC 2009 (n5)</w:t>
      </w:r>
      <w:r w:rsidR="00DE2606">
        <w:rPr>
          <w:sz w:val="18"/>
          <w:szCs w:val="18"/>
        </w:rPr>
        <w:t>,</w:t>
      </w:r>
      <w:r w:rsidR="00D219CA" w:rsidRPr="00DE2606">
        <w:rPr>
          <w:sz w:val="18"/>
          <w:szCs w:val="18"/>
        </w:rPr>
        <w:t xml:space="preserve"> art 10.5</w:t>
      </w:r>
      <w:r w:rsidRPr="00DE2606">
        <w:rPr>
          <w:sz w:val="18"/>
          <w:szCs w:val="18"/>
        </w:rPr>
        <w:t xml:space="preserve">. </w:t>
      </w:r>
      <w:r w:rsidR="00D219CA" w:rsidRPr="00DE2606">
        <w:rPr>
          <w:sz w:val="18"/>
          <w:szCs w:val="18"/>
        </w:rPr>
        <w:t>Under Article</w:t>
      </w:r>
      <w:r w:rsidRPr="00DE2606">
        <w:rPr>
          <w:sz w:val="18"/>
          <w:szCs w:val="18"/>
        </w:rPr>
        <w:t xml:space="preserve"> 10.5, wh</w:t>
      </w:r>
      <w:r w:rsidR="00C21564" w:rsidRPr="00DE2606">
        <w:rPr>
          <w:sz w:val="18"/>
          <w:szCs w:val="18"/>
        </w:rPr>
        <w:t xml:space="preserve">ere an athlete can demonstrate </w:t>
      </w:r>
      <w:r w:rsidRPr="00DE2606">
        <w:rPr>
          <w:sz w:val="18"/>
          <w:szCs w:val="18"/>
        </w:rPr>
        <w:t>no fault or negligence the</w:t>
      </w:r>
      <w:r w:rsidR="00D219CA" w:rsidRPr="00DE2606">
        <w:rPr>
          <w:sz w:val="18"/>
          <w:szCs w:val="18"/>
        </w:rPr>
        <w:t xml:space="preserve"> sanction may be eliminated (Article</w:t>
      </w:r>
      <w:r w:rsidRPr="00DE2606">
        <w:rPr>
          <w:sz w:val="18"/>
          <w:szCs w:val="18"/>
        </w:rPr>
        <w:t xml:space="preserve"> 10.5.1). If an athlete cannot demonstrate no fault or negligence but can demonstrate</w:t>
      </w:r>
      <w:r w:rsidR="00C21564" w:rsidRPr="00DE2606">
        <w:rPr>
          <w:sz w:val="18"/>
          <w:szCs w:val="18"/>
        </w:rPr>
        <w:t xml:space="preserve"> </w:t>
      </w:r>
      <w:r w:rsidRPr="00DE2606">
        <w:rPr>
          <w:sz w:val="18"/>
          <w:szCs w:val="18"/>
        </w:rPr>
        <w:t>no significant fault or negligence, the length of sanction may be reduced by up to a half</w:t>
      </w:r>
      <w:r w:rsidR="00D219CA" w:rsidRPr="00DE2606">
        <w:rPr>
          <w:sz w:val="18"/>
          <w:szCs w:val="18"/>
        </w:rPr>
        <w:t xml:space="preserve"> (Article</w:t>
      </w:r>
      <w:r w:rsidRPr="00DE2606">
        <w:rPr>
          <w:sz w:val="18"/>
          <w:szCs w:val="18"/>
        </w:rPr>
        <w:t xml:space="preserve"> 10.5.2).</w:t>
      </w:r>
    </w:p>
  </w:footnote>
  <w:footnote w:id="29">
    <w:p w14:paraId="19511F16" w14:textId="77777777"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ibid.</w:t>
      </w:r>
    </w:p>
  </w:footnote>
  <w:footnote w:id="30">
    <w:p w14:paraId="58224756" w14:textId="765B468E"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Pr="00DE2606">
        <w:rPr>
          <w:i/>
          <w:sz w:val="18"/>
          <w:szCs w:val="18"/>
        </w:rPr>
        <w:t xml:space="preserve">Contador </w:t>
      </w:r>
      <w:r w:rsidRPr="00DE2606">
        <w:rPr>
          <w:sz w:val="18"/>
          <w:szCs w:val="18"/>
        </w:rPr>
        <w:t>(n6)</w:t>
      </w:r>
      <w:r w:rsidR="003F22FC">
        <w:rPr>
          <w:sz w:val="18"/>
          <w:szCs w:val="18"/>
        </w:rPr>
        <w:t>,</w:t>
      </w:r>
      <w:r w:rsidRPr="00DE2606">
        <w:rPr>
          <w:sz w:val="18"/>
          <w:szCs w:val="18"/>
        </w:rPr>
        <w:t xml:space="preserve"> para</w:t>
      </w:r>
      <w:r w:rsidR="000F4AD4" w:rsidRPr="00DE2606">
        <w:rPr>
          <w:sz w:val="18"/>
          <w:szCs w:val="18"/>
        </w:rPr>
        <w:t>s</w:t>
      </w:r>
      <w:r w:rsidRPr="00DE2606">
        <w:rPr>
          <w:sz w:val="18"/>
          <w:szCs w:val="18"/>
        </w:rPr>
        <w:t xml:space="preserve"> </w:t>
      </w:r>
      <w:r w:rsidR="000F4AD4" w:rsidRPr="00DE2606">
        <w:rPr>
          <w:sz w:val="18"/>
          <w:szCs w:val="18"/>
        </w:rPr>
        <w:t>112-113.</w:t>
      </w:r>
      <w:r w:rsidRPr="00DE2606">
        <w:rPr>
          <w:sz w:val="18"/>
          <w:szCs w:val="18"/>
        </w:rPr>
        <w:t xml:space="preserve"> </w:t>
      </w:r>
    </w:p>
  </w:footnote>
  <w:footnote w:id="31">
    <w:p w14:paraId="36179EDC" w14:textId="0215F441"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Pr="00DE2606">
        <w:rPr>
          <w:i/>
          <w:sz w:val="18"/>
          <w:szCs w:val="18"/>
        </w:rPr>
        <w:t xml:space="preserve">Contador </w:t>
      </w:r>
      <w:r w:rsidRPr="00DE2606">
        <w:rPr>
          <w:sz w:val="18"/>
          <w:szCs w:val="18"/>
        </w:rPr>
        <w:t>(n6</w:t>
      </w:r>
      <w:r w:rsidR="000F4AD4" w:rsidRPr="00DE2606">
        <w:rPr>
          <w:sz w:val="18"/>
          <w:szCs w:val="18"/>
        </w:rPr>
        <w:t>)</w:t>
      </w:r>
      <w:r w:rsidR="003F22FC">
        <w:rPr>
          <w:sz w:val="18"/>
          <w:szCs w:val="18"/>
        </w:rPr>
        <w:t>,</w:t>
      </w:r>
      <w:r w:rsidR="000F4AD4" w:rsidRPr="00DE2606">
        <w:rPr>
          <w:sz w:val="18"/>
          <w:szCs w:val="18"/>
        </w:rPr>
        <w:t xml:space="preserve"> para 109</w:t>
      </w:r>
      <w:r w:rsidRPr="00DE2606">
        <w:rPr>
          <w:sz w:val="18"/>
          <w:szCs w:val="18"/>
        </w:rPr>
        <w:t>.</w:t>
      </w:r>
    </w:p>
  </w:footnote>
  <w:footnote w:id="32">
    <w:p w14:paraId="433637FC" w14:textId="1F48177D"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Pr="00DE2606">
        <w:rPr>
          <w:i/>
          <w:sz w:val="18"/>
          <w:szCs w:val="18"/>
        </w:rPr>
        <w:t xml:space="preserve">Contador </w:t>
      </w:r>
      <w:r w:rsidRPr="00DE2606">
        <w:rPr>
          <w:sz w:val="18"/>
          <w:szCs w:val="18"/>
        </w:rPr>
        <w:t>(n6)</w:t>
      </w:r>
      <w:r w:rsidR="003F22FC">
        <w:rPr>
          <w:sz w:val="18"/>
          <w:szCs w:val="18"/>
        </w:rPr>
        <w:t>,</w:t>
      </w:r>
      <w:r w:rsidR="000F4AD4" w:rsidRPr="00DE2606">
        <w:rPr>
          <w:sz w:val="18"/>
          <w:szCs w:val="18"/>
        </w:rPr>
        <w:t xml:space="preserve"> para 110</w:t>
      </w:r>
      <w:r w:rsidRPr="00DE2606">
        <w:rPr>
          <w:sz w:val="18"/>
          <w:szCs w:val="18"/>
        </w:rPr>
        <w:t>.</w:t>
      </w:r>
    </w:p>
  </w:footnote>
  <w:footnote w:id="33">
    <w:p w14:paraId="120EA520" w14:textId="1216F056"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Taylor and Delgado ‘Comments on the Contador Case’ (n22). While such arguments are persuasive, it is unclear whether or not the Panel specifically required that </w:t>
      </w:r>
      <w:r w:rsidR="00144A14" w:rsidRPr="00DE2606">
        <w:rPr>
          <w:sz w:val="18"/>
          <w:szCs w:val="18"/>
        </w:rPr>
        <w:t xml:space="preserve">the </w:t>
      </w:r>
      <w:r w:rsidRPr="00DE2606">
        <w:rPr>
          <w:sz w:val="18"/>
          <w:szCs w:val="18"/>
        </w:rPr>
        <w:t xml:space="preserve">UCI/WADA propose alternative theories on the route of ingestion; it is possible the Panel would have been satisfied simply with the evidence </w:t>
      </w:r>
      <w:r w:rsidR="00144A14" w:rsidRPr="00DE2606">
        <w:rPr>
          <w:sz w:val="18"/>
          <w:szCs w:val="18"/>
        </w:rPr>
        <w:t xml:space="preserve">the </w:t>
      </w:r>
      <w:r w:rsidRPr="00DE2606">
        <w:rPr>
          <w:sz w:val="18"/>
          <w:szCs w:val="18"/>
        </w:rPr>
        <w:t xml:space="preserve">UCI/WADA </w:t>
      </w:r>
      <w:r w:rsidR="00D219CA" w:rsidRPr="00DE2606">
        <w:rPr>
          <w:sz w:val="18"/>
          <w:szCs w:val="18"/>
        </w:rPr>
        <w:t>produced</w:t>
      </w:r>
      <w:r w:rsidRPr="00DE2606">
        <w:rPr>
          <w:sz w:val="18"/>
          <w:szCs w:val="18"/>
        </w:rPr>
        <w:t xml:space="preserve"> which countered directly Contador’s ‘contaminated meat’ theory. For example the Panel noted that: “Although arguing </w:t>
      </w:r>
      <w:r w:rsidR="000F4AD4" w:rsidRPr="00DE2606">
        <w:rPr>
          <w:sz w:val="18"/>
          <w:szCs w:val="18"/>
        </w:rPr>
        <w:t xml:space="preserve">that…they are under no duty to establish how the Prohibited Substance entered the athlete’s body, </w:t>
      </w:r>
      <w:r w:rsidRPr="00DE2606">
        <w:rPr>
          <w:sz w:val="18"/>
          <w:szCs w:val="18"/>
        </w:rPr>
        <w:t>the Appellants nevertheless decided to put forward alternative theories as to the possible source of the Prohibited Substance...” (</w:t>
      </w:r>
      <w:r w:rsidRPr="00DE2606">
        <w:rPr>
          <w:i/>
          <w:sz w:val="18"/>
          <w:szCs w:val="18"/>
        </w:rPr>
        <w:t xml:space="preserve">Contador </w:t>
      </w:r>
      <w:r w:rsidR="000F4AD4" w:rsidRPr="00DE2606">
        <w:rPr>
          <w:sz w:val="18"/>
          <w:szCs w:val="18"/>
        </w:rPr>
        <w:t>n6, para 52</w:t>
      </w:r>
      <w:r w:rsidRPr="00DE2606">
        <w:rPr>
          <w:sz w:val="18"/>
          <w:szCs w:val="18"/>
        </w:rPr>
        <w:t>).</w:t>
      </w:r>
    </w:p>
  </w:footnote>
  <w:footnote w:id="34">
    <w:p w14:paraId="56E189A6" w14:textId="77367120"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Importantly</w:t>
      </w:r>
      <w:r w:rsidR="00BE0B3B" w:rsidRPr="00DE2606">
        <w:rPr>
          <w:sz w:val="18"/>
          <w:szCs w:val="18"/>
        </w:rPr>
        <w:t>,</w:t>
      </w:r>
      <w:r w:rsidRPr="00DE2606">
        <w:rPr>
          <w:sz w:val="18"/>
          <w:szCs w:val="18"/>
        </w:rPr>
        <w:t xml:space="preserve"> the </w:t>
      </w:r>
      <w:r w:rsidRPr="00DE2606">
        <w:rPr>
          <w:i/>
          <w:sz w:val="18"/>
          <w:szCs w:val="18"/>
        </w:rPr>
        <w:t xml:space="preserve">Contador </w:t>
      </w:r>
      <w:r w:rsidRPr="00DE2606">
        <w:rPr>
          <w:sz w:val="18"/>
          <w:szCs w:val="18"/>
        </w:rPr>
        <w:t>Panel made it clear that the alternative theories proposed by the UCI/WADA did not require the same degree of substantiation as Contador’s: “</w:t>
      </w:r>
      <w:r w:rsidR="00BE0B3B" w:rsidRPr="00DE2606">
        <w:rPr>
          <w:sz w:val="18"/>
          <w:szCs w:val="18"/>
        </w:rPr>
        <w:t>…</w:t>
      </w:r>
      <w:r w:rsidRPr="00DE2606">
        <w:rPr>
          <w:sz w:val="18"/>
          <w:szCs w:val="18"/>
        </w:rPr>
        <w:t xml:space="preserve">the Appellants do not have the burden of establishing that other alternative scenarios caused the adverse analytical finding, since the risk the Respondents’ scenario cannot be ascertained remains with them.” </w:t>
      </w:r>
      <w:r w:rsidR="000F4AD4" w:rsidRPr="00DE2606">
        <w:rPr>
          <w:sz w:val="18"/>
          <w:szCs w:val="18"/>
        </w:rPr>
        <w:t>(</w:t>
      </w:r>
      <w:proofErr w:type="gramStart"/>
      <w:r w:rsidR="000F4AD4" w:rsidRPr="00DE2606">
        <w:rPr>
          <w:sz w:val="18"/>
          <w:szCs w:val="18"/>
        </w:rPr>
        <w:t>para</w:t>
      </w:r>
      <w:proofErr w:type="gramEnd"/>
      <w:r w:rsidR="000F4AD4" w:rsidRPr="00DE2606">
        <w:rPr>
          <w:sz w:val="18"/>
          <w:szCs w:val="18"/>
        </w:rPr>
        <w:t xml:space="preserve"> 111</w:t>
      </w:r>
      <w:r w:rsidRPr="00DE2606">
        <w:rPr>
          <w:sz w:val="18"/>
          <w:szCs w:val="18"/>
        </w:rPr>
        <w:t xml:space="preserve">). </w:t>
      </w:r>
    </w:p>
  </w:footnote>
  <w:footnote w:id="35">
    <w:p w14:paraId="256A9B05" w14:textId="7E483FD7"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AF0AC7" w:rsidRPr="00DE2606">
        <w:rPr>
          <w:sz w:val="18"/>
          <w:szCs w:val="18"/>
        </w:rPr>
        <w:t xml:space="preserve">Opportunity cost is a well-established </w:t>
      </w:r>
      <w:r w:rsidRPr="00DE2606">
        <w:rPr>
          <w:sz w:val="18"/>
          <w:szCs w:val="18"/>
        </w:rPr>
        <w:t>concept in economic theory and can be expressed as the value of the next-best alternative forgone as a result of choosing a parti</w:t>
      </w:r>
      <w:r w:rsidR="00171E20" w:rsidRPr="00DE2606">
        <w:rPr>
          <w:sz w:val="18"/>
          <w:szCs w:val="18"/>
        </w:rPr>
        <w:t xml:space="preserve">cular option. See for example: </w:t>
      </w:r>
      <w:r w:rsidR="003F22FC">
        <w:rPr>
          <w:sz w:val="18"/>
          <w:szCs w:val="18"/>
        </w:rPr>
        <w:t>[</w:t>
      </w:r>
      <w:hyperlink r:id="rId18" w:history="1">
        <w:r w:rsidRPr="00DE2606">
          <w:rPr>
            <w:rStyle w:val="Hyperlink"/>
            <w:sz w:val="18"/>
            <w:szCs w:val="18"/>
          </w:rPr>
          <w:t>www.econlib.org/library/Enc/OpportunityCost.html</w:t>
        </w:r>
      </w:hyperlink>
      <w:r w:rsidR="003F22FC">
        <w:rPr>
          <w:sz w:val="18"/>
          <w:szCs w:val="18"/>
        </w:rPr>
        <w:t>]</w:t>
      </w:r>
      <w:r w:rsidR="00171E20" w:rsidRPr="00DE2606">
        <w:rPr>
          <w:sz w:val="18"/>
          <w:szCs w:val="18"/>
        </w:rPr>
        <w:t>.</w:t>
      </w:r>
    </w:p>
  </w:footnote>
  <w:footnote w:id="36">
    <w:p w14:paraId="3ED5124C" w14:textId="46546394" w:rsidR="00635496" w:rsidRPr="00DE2606" w:rsidRDefault="00635496"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624DC5" w:rsidRPr="00DE2606">
        <w:rPr>
          <w:sz w:val="18"/>
          <w:szCs w:val="18"/>
        </w:rPr>
        <w:t>T</w:t>
      </w:r>
      <w:r w:rsidR="00AF0AC7" w:rsidRPr="00DE2606">
        <w:rPr>
          <w:sz w:val="18"/>
          <w:szCs w:val="18"/>
        </w:rPr>
        <w:t xml:space="preserve">here are </w:t>
      </w:r>
      <w:r w:rsidR="00FE0EA9" w:rsidRPr="00DE2606">
        <w:rPr>
          <w:sz w:val="18"/>
          <w:szCs w:val="18"/>
        </w:rPr>
        <w:t>hints at</w:t>
      </w:r>
      <w:r w:rsidR="00AF0AC7" w:rsidRPr="00DE2606">
        <w:rPr>
          <w:sz w:val="18"/>
          <w:szCs w:val="18"/>
        </w:rPr>
        <w:t xml:space="preserve"> this equity problem in the recent case involving</w:t>
      </w:r>
      <w:r w:rsidR="00624DC5" w:rsidRPr="00DE2606">
        <w:rPr>
          <w:sz w:val="18"/>
          <w:szCs w:val="18"/>
        </w:rPr>
        <w:t xml:space="preserve"> British</w:t>
      </w:r>
      <w:r w:rsidR="00AF0AC7" w:rsidRPr="00DE2606">
        <w:rPr>
          <w:sz w:val="18"/>
          <w:szCs w:val="18"/>
        </w:rPr>
        <w:t xml:space="preserve"> </w:t>
      </w:r>
      <w:r w:rsidR="00624DC5" w:rsidRPr="00DE2606">
        <w:rPr>
          <w:sz w:val="18"/>
          <w:szCs w:val="18"/>
        </w:rPr>
        <w:t xml:space="preserve">cyclist </w:t>
      </w:r>
      <w:r w:rsidR="00BB1C5E" w:rsidRPr="00DE2606">
        <w:rPr>
          <w:sz w:val="18"/>
          <w:szCs w:val="18"/>
        </w:rPr>
        <w:t xml:space="preserve">Jonathan </w:t>
      </w:r>
      <w:proofErr w:type="spellStart"/>
      <w:r w:rsidR="00BB1C5E" w:rsidRPr="00DE2606">
        <w:rPr>
          <w:sz w:val="18"/>
          <w:szCs w:val="18"/>
        </w:rPr>
        <w:t>Tiernan</w:t>
      </w:r>
      <w:proofErr w:type="spellEnd"/>
      <w:r w:rsidR="00BB1C5E" w:rsidRPr="00DE2606">
        <w:rPr>
          <w:sz w:val="18"/>
          <w:szCs w:val="18"/>
        </w:rPr>
        <w:t>-Locke</w:t>
      </w:r>
      <w:r w:rsidR="00820D60" w:rsidRPr="00DE2606">
        <w:rPr>
          <w:sz w:val="18"/>
          <w:szCs w:val="18"/>
        </w:rPr>
        <w:t xml:space="preserve">. </w:t>
      </w:r>
      <w:proofErr w:type="spellStart"/>
      <w:r w:rsidR="00820D60" w:rsidRPr="00DE2606">
        <w:rPr>
          <w:sz w:val="18"/>
          <w:szCs w:val="18"/>
        </w:rPr>
        <w:t>Tiernan</w:t>
      </w:r>
      <w:proofErr w:type="spellEnd"/>
      <w:r w:rsidR="00820D60" w:rsidRPr="00DE2606">
        <w:rPr>
          <w:sz w:val="18"/>
          <w:szCs w:val="18"/>
        </w:rPr>
        <w:t>-Locke</w:t>
      </w:r>
      <w:r w:rsidR="00BB1C5E" w:rsidRPr="00DE2606">
        <w:rPr>
          <w:sz w:val="18"/>
          <w:szCs w:val="18"/>
        </w:rPr>
        <w:t xml:space="preserve"> </w:t>
      </w:r>
      <w:r w:rsidR="00AF0AC7" w:rsidRPr="00DE2606">
        <w:rPr>
          <w:sz w:val="18"/>
          <w:szCs w:val="18"/>
        </w:rPr>
        <w:t xml:space="preserve">was banned for two years </w:t>
      </w:r>
      <w:r w:rsidR="00BB1C5E" w:rsidRPr="00DE2606">
        <w:rPr>
          <w:sz w:val="18"/>
          <w:szCs w:val="18"/>
        </w:rPr>
        <w:t>in 2014 based on</w:t>
      </w:r>
      <w:r w:rsidR="00AF0AC7" w:rsidRPr="00DE2606">
        <w:rPr>
          <w:sz w:val="18"/>
          <w:szCs w:val="18"/>
        </w:rPr>
        <w:t xml:space="preserve"> abnormalities</w:t>
      </w:r>
      <w:r w:rsidR="00BB1C5E" w:rsidRPr="00DE2606">
        <w:rPr>
          <w:sz w:val="18"/>
          <w:szCs w:val="18"/>
        </w:rPr>
        <w:t xml:space="preserve"> identified</w:t>
      </w:r>
      <w:r w:rsidR="00AF0AC7" w:rsidRPr="00DE2606">
        <w:rPr>
          <w:sz w:val="18"/>
          <w:szCs w:val="18"/>
        </w:rPr>
        <w:t xml:space="preserve"> </w:t>
      </w:r>
      <w:r w:rsidR="00624DC5" w:rsidRPr="00DE2606">
        <w:rPr>
          <w:sz w:val="18"/>
          <w:szCs w:val="18"/>
        </w:rPr>
        <w:t>in his Athlete Biological Passp</w:t>
      </w:r>
      <w:r w:rsidR="00BB1C5E" w:rsidRPr="00DE2606">
        <w:rPr>
          <w:sz w:val="18"/>
          <w:szCs w:val="18"/>
        </w:rPr>
        <w:t xml:space="preserve">ort (ABP). </w:t>
      </w:r>
      <w:r w:rsidR="00624DC5" w:rsidRPr="00DE2606">
        <w:rPr>
          <w:sz w:val="18"/>
          <w:szCs w:val="18"/>
        </w:rPr>
        <w:t xml:space="preserve">While </w:t>
      </w:r>
      <w:r w:rsidR="00820D60" w:rsidRPr="00DE2606">
        <w:rPr>
          <w:sz w:val="18"/>
          <w:szCs w:val="18"/>
        </w:rPr>
        <w:t xml:space="preserve">the circumstances of his case </w:t>
      </w:r>
      <w:r w:rsidR="00FE0EA9" w:rsidRPr="00DE2606">
        <w:rPr>
          <w:sz w:val="18"/>
          <w:szCs w:val="18"/>
        </w:rPr>
        <w:t xml:space="preserve">differ from </w:t>
      </w:r>
      <w:r w:rsidR="00624DC5" w:rsidRPr="00DE2606">
        <w:rPr>
          <w:i/>
          <w:sz w:val="18"/>
          <w:szCs w:val="18"/>
        </w:rPr>
        <w:t>Contador</w:t>
      </w:r>
      <w:r w:rsidR="00624DC5" w:rsidRPr="00DE2606">
        <w:rPr>
          <w:sz w:val="18"/>
          <w:szCs w:val="18"/>
        </w:rPr>
        <w:t xml:space="preserve">, </w:t>
      </w:r>
      <w:proofErr w:type="spellStart"/>
      <w:r w:rsidR="00624DC5" w:rsidRPr="00DE2606">
        <w:rPr>
          <w:sz w:val="18"/>
          <w:szCs w:val="18"/>
        </w:rPr>
        <w:t>Tiernan</w:t>
      </w:r>
      <w:proofErr w:type="spellEnd"/>
      <w:r w:rsidR="00624DC5" w:rsidRPr="00DE2606">
        <w:rPr>
          <w:sz w:val="18"/>
          <w:szCs w:val="18"/>
        </w:rPr>
        <w:t xml:space="preserve">-Locke has </w:t>
      </w:r>
      <w:r w:rsidR="004D0BC7" w:rsidRPr="00DE2606">
        <w:rPr>
          <w:sz w:val="18"/>
          <w:szCs w:val="18"/>
        </w:rPr>
        <w:t>consistently</w:t>
      </w:r>
      <w:r w:rsidR="00BB1C5E" w:rsidRPr="00DE2606">
        <w:rPr>
          <w:sz w:val="18"/>
          <w:szCs w:val="18"/>
        </w:rPr>
        <w:t xml:space="preserve"> protested his innocence and has </w:t>
      </w:r>
      <w:r w:rsidR="00624DC5" w:rsidRPr="00DE2606">
        <w:rPr>
          <w:sz w:val="18"/>
          <w:szCs w:val="18"/>
        </w:rPr>
        <w:t>indicated financial costs prohibited him from pursuing an appeal to the CAS.</w:t>
      </w:r>
      <w:r w:rsidR="00316924" w:rsidRPr="00DE2606">
        <w:rPr>
          <w:sz w:val="18"/>
          <w:szCs w:val="18"/>
        </w:rPr>
        <w:t xml:space="preserve"> </w:t>
      </w:r>
      <w:r w:rsidR="0061110F" w:rsidRPr="00DE2606">
        <w:rPr>
          <w:sz w:val="18"/>
          <w:szCs w:val="18"/>
        </w:rPr>
        <w:t>His</w:t>
      </w:r>
      <w:r w:rsidR="00316924" w:rsidRPr="00DE2606">
        <w:rPr>
          <w:sz w:val="18"/>
          <w:szCs w:val="18"/>
        </w:rPr>
        <w:t xml:space="preserve"> case </w:t>
      </w:r>
      <w:r w:rsidR="00C21564" w:rsidRPr="00DE2606">
        <w:rPr>
          <w:sz w:val="18"/>
          <w:szCs w:val="18"/>
        </w:rPr>
        <w:t xml:space="preserve">has </w:t>
      </w:r>
      <w:r w:rsidR="00316924" w:rsidRPr="00DE2606">
        <w:rPr>
          <w:sz w:val="18"/>
          <w:szCs w:val="18"/>
        </w:rPr>
        <w:t>also received heavy criticism</w:t>
      </w:r>
      <w:r w:rsidR="0061110F" w:rsidRPr="00DE2606">
        <w:rPr>
          <w:sz w:val="18"/>
          <w:szCs w:val="18"/>
        </w:rPr>
        <w:t xml:space="preserve"> from commentators</w:t>
      </w:r>
      <w:r w:rsidR="00316924" w:rsidRPr="00DE2606">
        <w:rPr>
          <w:sz w:val="18"/>
          <w:szCs w:val="18"/>
        </w:rPr>
        <w:t xml:space="preserve"> for the long delays involved.</w:t>
      </w:r>
      <w:r w:rsidR="00624DC5" w:rsidRPr="00DE2606">
        <w:rPr>
          <w:sz w:val="18"/>
          <w:szCs w:val="18"/>
        </w:rPr>
        <w:t xml:space="preserve"> See for example</w:t>
      </w:r>
      <w:r w:rsidR="00D219CA" w:rsidRPr="00DE2606">
        <w:rPr>
          <w:sz w:val="18"/>
          <w:szCs w:val="18"/>
        </w:rPr>
        <w:t>:</w:t>
      </w:r>
      <w:r w:rsidR="00624DC5" w:rsidRPr="00DE2606">
        <w:rPr>
          <w:sz w:val="18"/>
          <w:szCs w:val="18"/>
        </w:rPr>
        <w:t xml:space="preserve"> ‘</w:t>
      </w:r>
      <w:r w:rsidR="00D219CA" w:rsidRPr="00DE2606">
        <w:rPr>
          <w:sz w:val="18"/>
          <w:szCs w:val="18"/>
        </w:rPr>
        <w:t xml:space="preserve">Jon </w:t>
      </w:r>
      <w:proofErr w:type="spellStart"/>
      <w:r w:rsidR="00624DC5" w:rsidRPr="00DE2606">
        <w:rPr>
          <w:sz w:val="18"/>
          <w:szCs w:val="18"/>
        </w:rPr>
        <w:t>Tiernan</w:t>
      </w:r>
      <w:proofErr w:type="spellEnd"/>
      <w:r w:rsidR="00624DC5" w:rsidRPr="00DE2606">
        <w:rPr>
          <w:sz w:val="18"/>
          <w:szCs w:val="18"/>
        </w:rPr>
        <w:t>-Locke</w:t>
      </w:r>
      <w:r w:rsidR="00D219CA" w:rsidRPr="00DE2606">
        <w:rPr>
          <w:sz w:val="18"/>
          <w:szCs w:val="18"/>
        </w:rPr>
        <w:t>: I can’t afford to clear my name’</w:t>
      </w:r>
      <w:r w:rsidR="007340E0">
        <w:rPr>
          <w:sz w:val="18"/>
          <w:szCs w:val="18"/>
        </w:rPr>
        <w:t xml:space="preserve"> </w:t>
      </w:r>
      <w:r w:rsidR="00D219CA" w:rsidRPr="00DE2606">
        <w:rPr>
          <w:i/>
          <w:sz w:val="18"/>
          <w:szCs w:val="18"/>
        </w:rPr>
        <w:t>Plymouth Herald</w:t>
      </w:r>
      <w:r w:rsidR="00D219CA" w:rsidRPr="00DE2606">
        <w:rPr>
          <w:sz w:val="18"/>
          <w:szCs w:val="18"/>
        </w:rPr>
        <w:t xml:space="preserve"> </w:t>
      </w:r>
      <w:r w:rsidR="007340E0">
        <w:rPr>
          <w:sz w:val="18"/>
          <w:szCs w:val="18"/>
        </w:rPr>
        <w:t>(</w:t>
      </w:r>
      <w:r w:rsidR="00D219CA" w:rsidRPr="00DE2606">
        <w:rPr>
          <w:sz w:val="18"/>
          <w:szCs w:val="18"/>
        </w:rPr>
        <w:t>20 August 2014</w:t>
      </w:r>
      <w:r w:rsidR="00624DC5" w:rsidRPr="00DE2606">
        <w:rPr>
          <w:sz w:val="18"/>
          <w:szCs w:val="18"/>
        </w:rPr>
        <w:t xml:space="preserve">) </w:t>
      </w:r>
      <w:r w:rsidR="003F22FC">
        <w:rPr>
          <w:sz w:val="18"/>
          <w:szCs w:val="18"/>
        </w:rPr>
        <w:t>[</w:t>
      </w:r>
      <w:hyperlink r:id="rId19" w:history="1">
        <w:r w:rsidR="00D219CA" w:rsidRPr="00DE2606">
          <w:rPr>
            <w:rStyle w:val="Hyperlink"/>
            <w:sz w:val="18"/>
            <w:szCs w:val="18"/>
          </w:rPr>
          <w:t>www.plymouthherald.co.uk/EXCLUSIVE-Jon-Tiernan-Locke-t-afford-clear/story-22783784-detail/story.html</w:t>
        </w:r>
      </w:hyperlink>
      <w:r w:rsidR="003F22FC">
        <w:rPr>
          <w:sz w:val="18"/>
          <w:szCs w:val="18"/>
        </w:rPr>
        <w:t>]</w:t>
      </w:r>
      <w:r w:rsidR="00624DC5" w:rsidRPr="00DE2606">
        <w:rPr>
          <w:sz w:val="18"/>
          <w:szCs w:val="18"/>
        </w:rPr>
        <w:t>.</w:t>
      </w:r>
    </w:p>
  </w:footnote>
  <w:footnote w:id="37">
    <w:p w14:paraId="05C9D002" w14:textId="3CDB3A53"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Pr="00DE2606">
        <w:rPr>
          <w:i/>
          <w:sz w:val="18"/>
          <w:szCs w:val="18"/>
        </w:rPr>
        <w:t>CAS 2008/A/1515 WADA v</w:t>
      </w:r>
      <w:r w:rsidR="003F22FC">
        <w:rPr>
          <w:i/>
          <w:sz w:val="18"/>
          <w:szCs w:val="18"/>
        </w:rPr>
        <w:t>.</w:t>
      </w:r>
      <w:r w:rsidRPr="00DE2606">
        <w:rPr>
          <w:i/>
          <w:sz w:val="18"/>
          <w:szCs w:val="18"/>
        </w:rPr>
        <w:t xml:space="preserve"> Swiss Olympic Association &amp; Simon </w:t>
      </w:r>
      <w:proofErr w:type="spellStart"/>
      <w:r w:rsidRPr="00DE2606">
        <w:rPr>
          <w:i/>
          <w:sz w:val="18"/>
          <w:szCs w:val="18"/>
        </w:rPr>
        <w:t>Daubney</w:t>
      </w:r>
      <w:proofErr w:type="spellEnd"/>
      <w:r w:rsidRPr="00DE2606">
        <w:rPr>
          <w:sz w:val="18"/>
          <w:szCs w:val="18"/>
        </w:rPr>
        <w:t xml:space="preserve"> </w:t>
      </w:r>
      <w:r w:rsidR="003F22FC">
        <w:rPr>
          <w:sz w:val="18"/>
          <w:szCs w:val="18"/>
        </w:rPr>
        <w:t>[</w:t>
      </w:r>
      <w:hyperlink r:id="rId20" w:history="1">
        <w:r w:rsidR="0060222A" w:rsidRPr="00DE2606">
          <w:rPr>
            <w:rStyle w:val="Hyperlink"/>
            <w:sz w:val="18"/>
            <w:szCs w:val="18"/>
          </w:rPr>
          <w:t>https://wada-main-prod.s3.amazonaws.com/resources/files/cas_2008_a_1515_daubney.pdf</w:t>
        </w:r>
      </w:hyperlink>
      <w:r w:rsidR="003F22FC">
        <w:rPr>
          <w:sz w:val="18"/>
          <w:szCs w:val="18"/>
        </w:rPr>
        <w:t>]</w:t>
      </w:r>
      <w:r w:rsidRPr="00DE2606">
        <w:rPr>
          <w:sz w:val="18"/>
          <w:szCs w:val="18"/>
        </w:rPr>
        <w:t xml:space="preserve">. Indeed </w:t>
      </w:r>
      <w:proofErr w:type="spellStart"/>
      <w:r w:rsidRPr="00DE2606">
        <w:rPr>
          <w:i/>
          <w:sz w:val="18"/>
          <w:szCs w:val="18"/>
        </w:rPr>
        <w:t>Daubney</w:t>
      </w:r>
      <w:proofErr w:type="spellEnd"/>
      <w:r w:rsidRPr="00DE2606">
        <w:rPr>
          <w:i/>
          <w:sz w:val="18"/>
          <w:szCs w:val="18"/>
        </w:rPr>
        <w:t xml:space="preserve"> </w:t>
      </w:r>
      <w:r w:rsidRPr="00DE2606">
        <w:rPr>
          <w:sz w:val="18"/>
          <w:szCs w:val="18"/>
        </w:rPr>
        <w:t>is referred to specifically on this issue</w:t>
      </w:r>
      <w:r w:rsidRPr="00DE2606">
        <w:rPr>
          <w:i/>
          <w:sz w:val="18"/>
          <w:szCs w:val="18"/>
        </w:rPr>
        <w:t xml:space="preserve"> </w:t>
      </w:r>
      <w:r w:rsidRPr="00DE2606">
        <w:rPr>
          <w:sz w:val="18"/>
          <w:szCs w:val="18"/>
        </w:rPr>
        <w:t xml:space="preserve">at </w:t>
      </w:r>
      <w:r w:rsidR="000F4AD4" w:rsidRPr="00DE2606">
        <w:rPr>
          <w:sz w:val="18"/>
          <w:szCs w:val="18"/>
        </w:rPr>
        <w:t>para 62</w:t>
      </w:r>
      <w:r w:rsidRPr="00DE2606">
        <w:rPr>
          <w:sz w:val="18"/>
          <w:szCs w:val="18"/>
        </w:rPr>
        <w:t xml:space="preserve"> of the </w:t>
      </w:r>
      <w:r w:rsidRPr="00DE2606">
        <w:rPr>
          <w:i/>
          <w:sz w:val="18"/>
          <w:szCs w:val="18"/>
        </w:rPr>
        <w:t>Contador</w:t>
      </w:r>
      <w:r w:rsidRPr="00DE2606">
        <w:rPr>
          <w:sz w:val="18"/>
          <w:szCs w:val="18"/>
        </w:rPr>
        <w:t xml:space="preserve"> award.</w:t>
      </w:r>
    </w:p>
  </w:footnote>
  <w:footnote w:id="38">
    <w:p w14:paraId="2A3D9141" w14:textId="0F1B3967"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Adam </w:t>
      </w:r>
      <w:r w:rsidR="003F22FC">
        <w:rPr>
          <w:sz w:val="18"/>
          <w:szCs w:val="18"/>
        </w:rPr>
        <w:t>Lewis &amp;</w:t>
      </w:r>
      <w:r w:rsidRPr="00DE2606">
        <w:rPr>
          <w:sz w:val="18"/>
          <w:szCs w:val="18"/>
        </w:rPr>
        <w:t xml:space="preserve"> Jonathan Taylor, </w:t>
      </w:r>
      <w:r w:rsidRPr="00DE2606">
        <w:rPr>
          <w:i/>
          <w:sz w:val="18"/>
          <w:szCs w:val="18"/>
        </w:rPr>
        <w:t>Sport: Law and Practice</w:t>
      </w:r>
      <w:r w:rsidRPr="00DE2606">
        <w:rPr>
          <w:sz w:val="18"/>
          <w:szCs w:val="18"/>
        </w:rPr>
        <w:t xml:space="preserve"> (2</w:t>
      </w:r>
      <w:r w:rsidRPr="00DE2606">
        <w:rPr>
          <w:sz w:val="18"/>
          <w:szCs w:val="18"/>
          <w:vertAlign w:val="superscript"/>
        </w:rPr>
        <w:t>nd</w:t>
      </w:r>
      <w:r w:rsidRPr="00DE2606">
        <w:rPr>
          <w:sz w:val="18"/>
          <w:szCs w:val="18"/>
        </w:rPr>
        <w:t xml:space="preserve"> </w:t>
      </w:r>
      <w:proofErr w:type="spellStart"/>
      <w:r w:rsidRPr="00DE2606">
        <w:rPr>
          <w:sz w:val="18"/>
          <w:szCs w:val="18"/>
        </w:rPr>
        <w:t>edn</w:t>
      </w:r>
      <w:proofErr w:type="spellEnd"/>
      <w:r w:rsidRPr="00DE2606">
        <w:rPr>
          <w:sz w:val="18"/>
          <w:szCs w:val="18"/>
        </w:rPr>
        <w:t xml:space="preserve">, </w:t>
      </w:r>
      <w:proofErr w:type="spellStart"/>
      <w:r w:rsidRPr="00DE2606">
        <w:rPr>
          <w:sz w:val="18"/>
          <w:szCs w:val="18"/>
        </w:rPr>
        <w:t>Tottell</w:t>
      </w:r>
      <w:proofErr w:type="spellEnd"/>
      <w:r w:rsidRPr="00DE2606">
        <w:rPr>
          <w:sz w:val="18"/>
          <w:szCs w:val="18"/>
        </w:rPr>
        <w:t xml:space="preserve"> Publishing, 2008) 984</w:t>
      </w:r>
    </w:p>
  </w:footnote>
  <w:footnote w:id="39">
    <w:p w14:paraId="16FA2AC1" w14:textId="59A4B5BE"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See for example</w:t>
      </w:r>
      <w:r w:rsidR="003F22FC">
        <w:rPr>
          <w:sz w:val="18"/>
          <w:szCs w:val="18"/>
        </w:rPr>
        <w:t>:</w:t>
      </w:r>
      <w:r w:rsidRPr="00DE2606">
        <w:rPr>
          <w:sz w:val="18"/>
          <w:szCs w:val="18"/>
        </w:rPr>
        <w:t xml:space="preserve"> </w:t>
      </w:r>
      <w:r w:rsidRPr="00DE2606">
        <w:rPr>
          <w:i/>
          <w:sz w:val="18"/>
          <w:szCs w:val="18"/>
        </w:rPr>
        <w:t>CAS 2006/A/1130 WADA v</w:t>
      </w:r>
      <w:r w:rsidR="003F22FC">
        <w:rPr>
          <w:i/>
          <w:sz w:val="18"/>
          <w:szCs w:val="18"/>
        </w:rPr>
        <w:t>.</w:t>
      </w:r>
      <w:r w:rsidRPr="00DE2606">
        <w:rPr>
          <w:i/>
          <w:sz w:val="18"/>
          <w:szCs w:val="18"/>
        </w:rPr>
        <w:t xml:space="preserve"> </w:t>
      </w:r>
      <w:proofErr w:type="spellStart"/>
      <w:r w:rsidRPr="00DE2606">
        <w:rPr>
          <w:i/>
          <w:sz w:val="18"/>
          <w:szCs w:val="18"/>
        </w:rPr>
        <w:t>Stanic</w:t>
      </w:r>
      <w:proofErr w:type="spellEnd"/>
      <w:r w:rsidRPr="00DE2606">
        <w:rPr>
          <w:i/>
          <w:sz w:val="18"/>
          <w:szCs w:val="18"/>
        </w:rPr>
        <w:t xml:space="preserve"> and Swiss Olympic Association </w:t>
      </w:r>
      <w:r w:rsidR="003F22FC">
        <w:rPr>
          <w:sz w:val="18"/>
          <w:szCs w:val="18"/>
        </w:rPr>
        <w:t>[</w:t>
      </w:r>
      <w:hyperlink r:id="rId21" w:history="1">
        <w:r w:rsidR="00C507AB" w:rsidRPr="00DE2606">
          <w:rPr>
            <w:rStyle w:val="Hyperlink"/>
            <w:sz w:val="18"/>
            <w:szCs w:val="18"/>
          </w:rPr>
          <w:t>https://wada-main-prod.s3.amazonaws.com/resources/files/cas_stanic.pdf</w:t>
        </w:r>
      </w:hyperlink>
      <w:r w:rsidR="003F22FC">
        <w:rPr>
          <w:rStyle w:val="Hyperlink"/>
          <w:sz w:val="18"/>
          <w:szCs w:val="18"/>
        </w:rPr>
        <w:t>]</w:t>
      </w:r>
    </w:p>
  </w:footnote>
  <w:footnote w:id="40">
    <w:p w14:paraId="1646F42D" w14:textId="31E1DFE8"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Pr="00DE2606">
        <w:rPr>
          <w:i/>
          <w:sz w:val="18"/>
          <w:szCs w:val="18"/>
        </w:rPr>
        <w:t xml:space="preserve">Contador </w:t>
      </w:r>
      <w:r w:rsidRPr="00DE2606">
        <w:rPr>
          <w:sz w:val="18"/>
          <w:szCs w:val="18"/>
        </w:rPr>
        <w:t>(n6)</w:t>
      </w:r>
      <w:r w:rsidR="003F22FC">
        <w:rPr>
          <w:sz w:val="18"/>
          <w:szCs w:val="18"/>
        </w:rPr>
        <w:t>,</w:t>
      </w:r>
      <w:r w:rsidRPr="00DE2606">
        <w:rPr>
          <w:sz w:val="18"/>
          <w:szCs w:val="18"/>
        </w:rPr>
        <w:t xml:space="preserve"> </w:t>
      </w:r>
      <w:r w:rsidR="00951430" w:rsidRPr="00DE2606">
        <w:rPr>
          <w:sz w:val="18"/>
          <w:szCs w:val="18"/>
        </w:rPr>
        <w:t>para 111</w:t>
      </w:r>
      <w:r w:rsidRPr="00DE2606">
        <w:rPr>
          <w:sz w:val="18"/>
          <w:szCs w:val="18"/>
        </w:rPr>
        <w:t>.</w:t>
      </w:r>
    </w:p>
  </w:footnote>
  <w:footnote w:id="41">
    <w:p w14:paraId="3B120F75" w14:textId="4157A012"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It is notable that the alternative ‘contaminated supplement’ theory proposed by the UCI/WADA rested on a deductive approach based </w:t>
      </w:r>
      <w:r w:rsidR="00951430" w:rsidRPr="00DE2606">
        <w:rPr>
          <w:sz w:val="18"/>
          <w:szCs w:val="18"/>
        </w:rPr>
        <w:t xml:space="preserve">largely </w:t>
      </w:r>
      <w:r w:rsidRPr="00DE2606">
        <w:rPr>
          <w:sz w:val="18"/>
          <w:szCs w:val="18"/>
        </w:rPr>
        <w:t xml:space="preserve">on the existence of other cases where supplements had been contaminated. See </w:t>
      </w:r>
      <w:r w:rsidRPr="00DE2606">
        <w:rPr>
          <w:i/>
          <w:sz w:val="18"/>
          <w:szCs w:val="18"/>
        </w:rPr>
        <w:t xml:space="preserve">Contador </w:t>
      </w:r>
      <w:r w:rsidRPr="00DE2606">
        <w:rPr>
          <w:sz w:val="18"/>
          <w:szCs w:val="18"/>
        </w:rPr>
        <w:t>(n6)</w:t>
      </w:r>
      <w:r w:rsidR="003F22FC">
        <w:rPr>
          <w:sz w:val="18"/>
          <w:szCs w:val="18"/>
        </w:rPr>
        <w:t>,</w:t>
      </w:r>
      <w:r w:rsidRPr="00DE2606">
        <w:rPr>
          <w:sz w:val="18"/>
          <w:szCs w:val="18"/>
        </w:rPr>
        <w:t xml:space="preserve"> </w:t>
      </w:r>
      <w:r w:rsidR="00951430" w:rsidRPr="00DE2606">
        <w:rPr>
          <w:sz w:val="18"/>
          <w:szCs w:val="18"/>
        </w:rPr>
        <w:t>paras 303</w:t>
      </w:r>
      <w:r w:rsidRPr="00DE2606">
        <w:rPr>
          <w:sz w:val="18"/>
          <w:szCs w:val="18"/>
        </w:rPr>
        <w:t>-311.</w:t>
      </w:r>
    </w:p>
  </w:footnote>
  <w:footnote w:id="42">
    <w:p w14:paraId="3EE7BC51" w14:textId="560A12DF"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Indeed a sceptical observer might view the Panel’s decision to accept the ‘contaminated supplement’ theory as a means of escaping this invidious position.</w:t>
      </w:r>
    </w:p>
  </w:footnote>
  <w:footnote w:id="43">
    <w:p w14:paraId="5B304DD6" w14:textId="04454FFC"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‘US Cycling Athlete </w:t>
      </w:r>
      <w:proofErr w:type="spellStart"/>
      <w:r w:rsidRPr="00DE2606">
        <w:rPr>
          <w:sz w:val="18"/>
          <w:szCs w:val="18"/>
        </w:rPr>
        <w:t>Godby</w:t>
      </w:r>
      <w:proofErr w:type="spellEnd"/>
      <w:r w:rsidRPr="00DE2606">
        <w:rPr>
          <w:sz w:val="18"/>
          <w:szCs w:val="18"/>
        </w:rPr>
        <w:t xml:space="preserve"> Accepts Loss of Results’ (</w:t>
      </w:r>
      <w:r w:rsidRPr="00DE2606">
        <w:rPr>
          <w:i/>
          <w:sz w:val="18"/>
          <w:szCs w:val="18"/>
        </w:rPr>
        <w:t>United States Anti-Doping Agency</w:t>
      </w:r>
      <w:r w:rsidR="004F0573" w:rsidRPr="00DE2606">
        <w:rPr>
          <w:sz w:val="18"/>
          <w:szCs w:val="18"/>
        </w:rPr>
        <w:t xml:space="preserve">, 2 August 2013) </w:t>
      </w:r>
      <w:r w:rsidR="003F22FC">
        <w:rPr>
          <w:sz w:val="18"/>
          <w:szCs w:val="18"/>
        </w:rPr>
        <w:t>[</w:t>
      </w:r>
      <w:hyperlink r:id="rId22" w:history="1">
        <w:r w:rsidRPr="00DE2606">
          <w:rPr>
            <w:rStyle w:val="Hyperlink"/>
            <w:sz w:val="18"/>
            <w:szCs w:val="18"/>
          </w:rPr>
          <w:t>www.usada.org/us-cycling-athlete-godby-accepts-loss-of-results/</w:t>
        </w:r>
      </w:hyperlink>
      <w:r w:rsidR="003F22FC">
        <w:rPr>
          <w:rStyle w:val="Hyperlink"/>
          <w:color w:val="auto"/>
          <w:sz w:val="18"/>
          <w:szCs w:val="18"/>
          <w:u w:val="none"/>
        </w:rPr>
        <w:t>]</w:t>
      </w:r>
      <w:r w:rsidRPr="00DE2606">
        <w:rPr>
          <w:sz w:val="18"/>
          <w:szCs w:val="18"/>
        </w:rPr>
        <w:t>; ‘Nielsen not Sancti</w:t>
      </w:r>
      <w:r w:rsidR="007340E0">
        <w:rPr>
          <w:sz w:val="18"/>
          <w:szCs w:val="18"/>
        </w:rPr>
        <w:t xml:space="preserve">oned for Clenbuterol Positive’ </w:t>
      </w:r>
      <w:proofErr w:type="spellStart"/>
      <w:r w:rsidRPr="00DE2606">
        <w:rPr>
          <w:i/>
          <w:sz w:val="18"/>
          <w:szCs w:val="18"/>
        </w:rPr>
        <w:t>Cyclingnews</w:t>
      </w:r>
      <w:proofErr w:type="spellEnd"/>
      <w:r w:rsidR="007340E0">
        <w:rPr>
          <w:sz w:val="18"/>
          <w:szCs w:val="18"/>
        </w:rPr>
        <w:t xml:space="preserve"> (</w:t>
      </w:r>
      <w:r w:rsidRPr="00DE2606">
        <w:rPr>
          <w:sz w:val="18"/>
          <w:szCs w:val="18"/>
        </w:rPr>
        <w:t xml:space="preserve">22 March 2011) </w:t>
      </w:r>
      <w:r w:rsidR="003F22FC">
        <w:rPr>
          <w:sz w:val="18"/>
          <w:szCs w:val="18"/>
        </w:rPr>
        <w:t>[</w:t>
      </w:r>
      <w:hyperlink r:id="rId23" w:history="1">
        <w:r w:rsidRPr="00DE2606">
          <w:rPr>
            <w:rStyle w:val="Hyperlink"/>
            <w:sz w:val="18"/>
            <w:szCs w:val="18"/>
          </w:rPr>
          <w:t>www.cyclingnews.com/news/nielsen-not-sanctioned-for-clenbuterol-positive</w:t>
        </w:r>
      </w:hyperlink>
      <w:r w:rsidR="003F22FC">
        <w:rPr>
          <w:rStyle w:val="Hyperlink"/>
          <w:sz w:val="18"/>
          <w:szCs w:val="18"/>
        </w:rPr>
        <w:t>]</w:t>
      </w:r>
      <w:r w:rsidRPr="00DE2606">
        <w:rPr>
          <w:sz w:val="18"/>
          <w:szCs w:val="18"/>
        </w:rPr>
        <w:t xml:space="preserve">; ‘Good news for </w:t>
      </w:r>
      <w:proofErr w:type="spellStart"/>
      <w:r w:rsidRPr="00DE2606">
        <w:rPr>
          <w:sz w:val="18"/>
          <w:szCs w:val="18"/>
        </w:rPr>
        <w:t>Ovtcharov</w:t>
      </w:r>
      <w:proofErr w:type="spellEnd"/>
      <w:r w:rsidRPr="00DE2606">
        <w:rPr>
          <w:sz w:val="18"/>
          <w:szCs w:val="18"/>
        </w:rPr>
        <w:t>’ (</w:t>
      </w:r>
      <w:r w:rsidRPr="00DE2606">
        <w:rPr>
          <w:i/>
          <w:sz w:val="18"/>
          <w:szCs w:val="18"/>
        </w:rPr>
        <w:t>ITTF</w:t>
      </w:r>
      <w:r w:rsidRPr="00DE2606">
        <w:rPr>
          <w:sz w:val="18"/>
          <w:szCs w:val="18"/>
        </w:rPr>
        <w:t>,</w:t>
      </w:r>
      <w:r w:rsidR="004F0573" w:rsidRPr="00DE2606">
        <w:rPr>
          <w:sz w:val="18"/>
          <w:szCs w:val="18"/>
        </w:rPr>
        <w:t xml:space="preserve"> 15 October 2010) </w:t>
      </w:r>
      <w:r w:rsidR="003F22FC">
        <w:rPr>
          <w:sz w:val="18"/>
          <w:szCs w:val="18"/>
        </w:rPr>
        <w:t>[</w:t>
      </w:r>
      <w:hyperlink r:id="rId24" w:history="1">
        <w:r w:rsidRPr="00DE2606">
          <w:rPr>
            <w:rStyle w:val="Hyperlink"/>
            <w:sz w:val="18"/>
            <w:szCs w:val="18"/>
          </w:rPr>
          <w:t>www.ittf.com/_front_page/ittf_full_story2.asp?ID=22286</w:t>
        </w:r>
      </w:hyperlink>
      <w:r w:rsidR="003F22FC">
        <w:rPr>
          <w:rStyle w:val="Hyperlink"/>
          <w:sz w:val="18"/>
          <w:szCs w:val="18"/>
        </w:rPr>
        <w:t>]</w:t>
      </w:r>
      <w:r w:rsidRPr="00DE2606">
        <w:rPr>
          <w:sz w:val="18"/>
          <w:szCs w:val="18"/>
        </w:rPr>
        <w:t>.</w:t>
      </w:r>
    </w:p>
  </w:footnote>
  <w:footnote w:id="44">
    <w:p w14:paraId="6769EF74" w14:textId="1C6E8068" w:rsidR="004120BA" w:rsidRPr="00DE2606" w:rsidRDefault="004120BA" w:rsidP="00DE2606">
      <w:pPr>
        <w:autoSpaceDE w:val="0"/>
        <w:autoSpaceDN w:val="0"/>
        <w:adjustRightInd w:val="0"/>
        <w:spacing w:after="40" w:line="240" w:lineRule="auto"/>
        <w:rPr>
          <w:sz w:val="18"/>
          <w:szCs w:val="18"/>
        </w:rPr>
      </w:pPr>
      <w:r w:rsidRPr="00DE2606">
        <w:rPr>
          <w:rStyle w:val="FootnoteReference"/>
          <w:sz w:val="18"/>
          <w:szCs w:val="18"/>
        </w:rPr>
        <w:footnoteRef/>
      </w:r>
      <w:r w:rsidRPr="00DE2606">
        <w:rPr>
          <w:sz w:val="18"/>
          <w:szCs w:val="18"/>
        </w:rPr>
        <w:t xml:space="preserve"> </w:t>
      </w:r>
      <w:r w:rsidR="003D7860" w:rsidRPr="00DE2606">
        <w:rPr>
          <w:sz w:val="18"/>
          <w:szCs w:val="18"/>
        </w:rPr>
        <w:t xml:space="preserve">Sam </w:t>
      </w:r>
      <w:proofErr w:type="spellStart"/>
      <w:r w:rsidR="003D7860" w:rsidRPr="00DE2606">
        <w:rPr>
          <w:sz w:val="18"/>
          <w:szCs w:val="18"/>
        </w:rPr>
        <w:t>Saramatunga</w:t>
      </w:r>
      <w:proofErr w:type="spellEnd"/>
      <w:r w:rsidR="003D7860" w:rsidRPr="00DE2606">
        <w:rPr>
          <w:sz w:val="18"/>
          <w:szCs w:val="18"/>
        </w:rPr>
        <w:t>, ‘Uphill Struggle’ (2011) 155 Solicitors</w:t>
      </w:r>
      <w:r w:rsidR="003D7860" w:rsidRPr="00DE2606">
        <w:rPr>
          <w:i/>
          <w:sz w:val="18"/>
          <w:szCs w:val="18"/>
        </w:rPr>
        <w:t xml:space="preserve"> </w:t>
      </w:r>
      <w:r w:rsidR="003D7860" w:rsidRPr="00DE2606">
        <w:rPr>
          <w:sz w:val="18"/>
          <w:szCs w:val="18"/>
        </w:rPr>
        <w:t xml:space="preserve">Journal 14. </w:t>
      </w:r>
      <w:r w:rsidRPr="00DE2606">
        <w:rPr>
          <w:sz w:val="18"/>
          <w:szCs w:val="18"/>
        </w:rPr>
        <w:t xml:space="preserve">To an extent this </w:t>
      </w:r>
      <w:r w:rsidR="001E61CB" w:rsidRPr="00DE2606">
        <w:rPr>
          <w:sz w:val="18"/>
          <w:szCs w:val="18"/>
        </w:rPr>
        <w:t xml:space="preserve">issue </w:t>
      </w:r>
      <w:r w:rsidRPr="00DE2606">
        <w:rPr>
          <w:sz w:val="18"/>
          <w:szCs w:val="18"/>
        </w:rPr>
        <w:t xml:space="preserve">has been addressed by </w:t>
      </w:r>
      <w:r w:rsidR="0061110F" w:rsidRPr="00DE2606">
        <w:rPr>
          <w:sz w:val="18"/>
          <w:szCs w:val="18"/>
        </w:rPr>
        <w:t xml:space="preserve">the </w:t>
      </w:r>
      <w:r w:rsidRPr="00DE2606">
        <w:rPr>
          <w:sz w:val="18"/>
          <w:szCs w:val="18"/>
        </w:rPr>
        <w:t>revised Article 3.2.1 in WADC 2015</w:t>
      </w:r>
      <w:r w:rsidR="0061110F" w:rsidRPr="00DE2606">
        <w:rPr>
          <w:sz w:val="18"/>
          <w:szCs w:val="18"/>
        </w:rPr>
        <w:t xml:space="preserve"> (n4)</w:t>
      </w:r>
      <w:r w:rsidRPr="00DE2606">
        <w:rPr>
          <w:sz w:val="18"/>
          <w:szCs w:val="18"/>
        </w:rPr>
        <w:t xml:space="preserve"> which </w:t>
      </w:r>
      <w:r w:rsidR="004D0BC7" w:rsidRPr="00DE2606">
        <w:rPr>
          <w:sz w:val="18"/>
          <w:szCs w:val="18"/>
        </w:rPr>
        <w:t>states: “</w:t>
      </w:r>
      <w:r w:rsidR="004D0BC7" w:rsidRPr="00DE2606">
        <w:rPr>
          <w:rFonts w:cs="DINOT-Light"/>
          <w:sz w:val="18"/>
          <w:szCs w:val="18"/>
        </w:rPr>
        <w:t>Analytical methods or decision limits approved by WADA</w:t>
      </w:r>
      <w:r w:rsidR="004D0BC7" w:rsidRPr="00DE2606">
        <w:rPr>
          <w:rFonts w:cs="DINOT-LightItalic"/>
          <w:i/>
          <w:iCs/>
          <w:sz w:val="18"/>
          <w:szCs w:val="18"/>
        </w:rPr>
        <w:t xml:space="preserve"> </w:t>
      </w:r>
      <w:r w:rsidR="004D0BC7" w:rsidRPr="00DE2606">
        <w:rPr>
          <w:rFonts w:cs="DINOT-Light"/>
          <w:sz w:val="18"/>
          <w:szCs w:val="18"/>
        </w:rPr>
        <w:t>after consultation within the relevant scientific community and which have been the subject of peer review are presumed to be scientifically valid</w:t>
      </w:r>
      <w:r w:rsidR="004D0BC7" w:rsidRPr="00DE2606">
        <w:rPr>
          <w:sz w:val="18"/>
          <w:szCs w:val="18"/>
        </w:rPr>
        <w:t>.”</w:t>
      </w:r>
    </w:p>
  </w:footnote>
  <w:footnote w:id="45">
    <w:p w14:paraId="6726DF7C" w14:textId="333E183B" w:rsidR="00880598" w:rsidRPr="00DE2606" w:rsidRDefault="00880598" w:rsidP="00DE2606">
      <w:pPr>
        <w:autoSpaceDE w:val="0"/>
        <w:autoSpaceDN w:val="0"/>
        <w:adjustRightInd w:val="0"/>
        <w:spacing w:after="40" w:line="240" w:lineRule="auto"/>
        <w:rPr>
          <w:sz w:val="18"/>
          <w:szCs w:val="18"/>
        </w:rPr>
      </w:pPr>
      <w:r w:rsidRPr="00DE2606">
        <w:rPr>
          <w:rStyle w:val="FootnoteReference"/>
          <w:sz w:val="18"/>
          <w:szCs w:val="18"/>
        </w:rPr>
        <w:footnoteRef/>
      </w:r>
      <w:r w:rsidRPr="00DE2606">
        <w:rPr>
          <w:sz w:val="18"/>
          <w:szCs w:val="18"/>
        </w:rPr>
        <w:t xml:space="preserve"> Mario </w:t>
      </w:r>
      <w:proofErr w:type="spellStart"/>
      <w:r w:rsidRPr="00DE2606">
        <w:rPr>
          <w:sz w:val="18"/>
          <w:szCs w:val="18"/>
        </w:rPr>
        <w:t>Thevis</w:t>
      </w:r>
      <w:proofErr w:type="spellEnd"/>
      <w:r w:rsidRPr="00DE2606">
        <w:rPr>
          <w:sz w:val="18"/>
          <w:szCs w:val="18"/>
        </w:rPr>
        <w:t xml:space="preserve"> et al., ‘</w:t>
      </w:r>
      <w:r w:rsidRPr="00DE2606">
        <w:rPr>
          <w:rFonts w:cs="AdvTTb357327d.B"/>
          <w:sz w:val="18"/>
          <w:szCs w:val="18"/>
        </w:rPr>
        <w:t xml:space="preserve">Does the analysis of the </w:t>
      </w:r>
      <w:proofErr w:type="spellStart"/>
      <w:r w:rsidRPr="00DE2606">
        <w:rPr>
          <w:rFonts w:cs="AdvTTb357327d.B"/>
          <w:sz w:val="18"/>
          <w:szCs w:val="18"/>
        </w:rPr>
        <w:t>enantiomeric</w:t>
      </w:r>
      <w:proofErr w:type="spellEnd"/>
      <w:r w:rsidRPr="00DE2606">
        <w:rPr>
          <w:rFonts w:cs="AdvTTb357327d.B"/>
          <w:sz w:val="18"/>
          <w:szCs w:val="18"/>
        </w:rPr>
        <w:t xml:space="preserve"> composition of clenbuterol in human urine enable the differentiation of illicit clenbuterol administration from food contamination in sports drug testing?’</w:t>
      </w:r>
      <w:r w:rsidRPr="00DE2606">
        <w:rPr>
          <w:sz w:val="18"/>
          <w:szCs w:val="18"/>
        </w:rPr>
        <w:t xml:space="preserve"> (2013) </w:t>
      </w:r>
      <w:r w:rsidRPr="00DE2606">
        <w:rPr>
          <w:rFonts w:cs="AdvTT8cd5c63f.I"/>
          <w:sz w:val="18"/>
          <w:szCs w:val="18"/>
        </w:rPr>
        <w:t>27</w:t>
      </w:r>
      <w:r w:rsidRPr="00DE2606">
        <w:rPr>
          <w:rFonts w:cs="AdvTT3f7679ab"/>
          <w:sz w:val="18"/>
          <w:szCs w:val="18"/>
        </w:rPr>
        <w:t xml:space="preserve"> Rapid Communications in Mass Spectrometry 507</w:t>
      </w:r>
      <w:r w:rsidRPr="00DE2606">
        <w:rPr>
          <w:rFonts w:cs="AdvTT3f7679ab+20"/>
          <w:sz w:val="18"/>
          <w:szCs w:val="18"/>
        </w:rPr>
        <w:t>–</w:t>
      </w:r>
      <w:r w:rsidRPr="00DE2606">
        <w:rPr>
          <w:rFonts w:cs="AdvTT3f7679ab"/>
          <w:sz w:val="18"/>
          <w:szCs w:val="18"/>
        </w:rPr>
        <w:t>512</w:t>
      </w:r>
      <w:r w:rsidRPr="00DE2606">
        <w:rPr>
          <w:sz w:val="18"/>
          <w:szCs w:val="18"/>
        </w:rPr>
        <w:t>.</w:t>
      </w:r>
    </w:p>
  </w:footnote>
  <w:footnote w:id="46">
    <w:p w14:paraId="59588298" w14:textId="27F91868"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WADC 2009 (n5)</w:t>
      </w:r>
      <w:r w:rsidR="003F22FC">
        <w:rPr>
          <w:sz w:val="18"/>
          <w:szCs w:val="18"/>
        </w:rPr>
        <w:t>,</w:t>
      </w:r>
      <w:r w:rsidR="0015195D" w:rsidRPr="00DE2606">
        <w:rPr>
          <w:sz w:val="18"/>
          <w:szCs w:val="18"/>
        </w:rPr>
        <w:t xml:space="preserve"> art 10.5</w:t>
      </w:r>
      <w:r w:rsidRPr="00DE2606">
        <w:rPr>
          <w:sz w:val="18"/>
          <w:szCs w:val="18"/>
        </w:rPr>
        <w:t>.</w:t>
      </w:r>
      <w:r w:rsidR="003B57CE" w:rsidRPr="00DE2606">
        <w:rPr>
          <w:sz w:val="18"/>
          <w:szCs w:val="18"/>
        </w:rPr>
        <w:t xml:space="preserve"> See comment to Article 10.5 for the scope of its application.</w:t>
      </w:r>
    </w:p>
  </w:footnote>
  <w:footnote w:id="47">
    <w:p w14:paraId="3396E64C" w14:textId="45C58C4F"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ibid. This was compounded by the Panel’s decision to accept the ‘contaminated supplement’ theory since the comment to Article 10.5 expressly rules out its application in such circumstances. The comment to </w:t>
      </w:r>
      <w:r w:rsidR="0060222A" w:rsidRPr="00DE2606">
        <w:rPr>
          <w:sz w:val="18"/>
          <w:szCs w:val="18"/>
        </w:rPr>
        <w:t>A</w:t>
      </w:r>
      <w:r w:rsidRPr="00DE2606">
        <w:rPr>
          <w:sz w:val="18"/>
          <w:szCs w:val="18"/>
        </w:rPr>
        <w:t>rt</w:t>
      </w:r>
      <w:r w:rsidR="00820D60" w:rsidRPr="00DE2606">
        <w:rPr>
          <w:sz w:val="18"/>
          <w:szCs w:val="18"/>
        </w:rPr>
        <w:t>icle</w:t>
      </w:r>
      <w:r w:rsidRPr="00DE2606">
        <w:rPr>
          <w:sz w:val="18"/>
          <w:szCs w:val="18"/>
        </w:rPr>
        <w:t xml:space="preserve"> 10.5 states: “...a sanction could not be completely eliminated...in the following circumstances: (a) a positive test resulting from a mislabelled or contaminated vitamin or nutritional supplement...”</w:t>
      </w:r>
    </w:p>
  </w:footnote>
  <w:footnote w:id="48">
    <w:p w14:paraId="3F0DCCB9" w14:textId="2253384A"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Pr="00DE2606">
        <w:rPr>
          <w:i/>
          <w:sz w:val="18"/>
          <w:szCs w:val="18"/>
        </w:rPr>
        <w:t xml:space="preserve">Contador </w:t>
      </w:r>
      <w:r w:rsidR="00E328BF" w:rsidRPr="00DE2606">
        <w:rPr>
          <w:sz w:val="18"/>
          <w:szCs w:val="18"/>
        </w:rPr>
        <w:t>(n6</w:t>
      </w:r>
      <w:r w:rsidRPr="00DE2606">
        <w:rPr>
          <w:sz w:val="18"/>
          <w:szCs w:val="18"/>
        </w:rPr>
        <w:t>)</w:t>
      </w:r>
      <w:r w:rsidR="003F22FC">
        <w:rPr>
          <w:sz w:val="18"/>
          <w:szCs w:val="18"/>
        </w:rPr>
        <w:t xml:space="preserve">, </w:t>
      </w:r>
      <w:r w:rsidR="00D41E2E" w:rsidRPr="00DE2606">
        <w:rPr>
          <w:sz w:val="18"/>
          <w:szCs w:val="18"/>
        </w:rPr>
        <w:t>para 359</w:t>
      </w:r>
      <w:r w:rsidRPr="00DE2606">
        <w:rPr>
          <w:sz w:val="18"/>
          <w:szCs w:val="18"/>
        </w:rPr>
        <w:t xml:space="preserve">. </w:t>
      </w:r>
      <w:r w:rsidR="005235E2" w:rsidRPr="00DE2606">
        <w:rPr>
          <w:sz w:val="18"/>
          <w:szCs w:val="18"/>
        </w:rPr>
        <w:t>The Panel noted: “no evidence has</w:t>
      </w:r>
      <w:r w:rsidR="00B975DD" w:rsidRPr="00DE2606">
        <w:rPr>
          <w:sz w:val="18"/>
          <w:szCs w:val="18"/>
        </w:rPr>
        <w:t xml:space="preserve"> been adduced proving that the athlete acted with no fault or negligence or no s</w:t>
      </w:r>
      <w:r w:rsidR="005235E2" w:rsidRPr="00DE2606">
        <w:rPr>
          <w:sz w:val="18"/>
          <w:szCs w:val="18"/>
        </w:rPr>
        <w:t xml:space="preserve">ignificant fault or negligence.” </w:t>
      </w:r>
      <w:r w:rsidRPr="00DE2606">
        <w:rPr>
          <w:sz w:val="18"/>
          <w:szCs w:val="18"/>
        </w:rPr>
        <w:t xml:space="preserve">See also: Jorge </w:t>
      </w:r>
      <w:proofErr w:type="spellStart"/>
      <w:r w:rsidRPr="00DE2606">
        <w:rPr>
          <w:sz w:val="18"/>
          <w:szCs w:val="18"/>
        </w:rPr>
        <w:t>Ibarrola</w:t>
      </w:r>
      <w:proofErr w:type="spellEnd"/>
      <w:r w:rsidRPr="00DE2606">
        <w:rPr>
          <w:sz w:val="18"/>
          <w:szCs w:val="18"/>
        </w:rPr>
        <w:t>, ‘Doping: Contador: Burden of proof and Presumption of Culpability’ (2012) 10 4 WSLR. Indeed it is unclear how the Panel reached the view that no evidence had been put forward as to Contador’s fault or negligence, particularly in rel</w:t>
      </w:r>
      <w:r w:rsidR="00AB062C" w:rsidRPr="00DE2606">
        <w:rPr>
          <w:sz w:val="18"/>
          <w:szCs w:val="18"/>
        </w:rPr>
        <w:t>ation to his use of supplements – s</w:t>
      </w:r>
      <w:r w:rsidRPr="00DE2606">
        <w:rPr>
          <w:sz w:val="18"/>
          <w:szCs w:val="18"/>
        </w:rPr>
        <w:t xml:space="preserve">ee </w:t>
      </w:r>
      <w:r w:rsidRPr="00DE2606">
        <w:rPr>
          <w:i/>
          <w:sz w:val="18"/>
          <w:szCs w:val="18"/>
        </w:rPr>
        <w:t>Contador</w:t>
      </w:r>
      <w:r w:rsidRPr="00DE2606">
        <w:rPr>
          <w:sz w:val="18"/>
          <w:szCs w:val="18"/>
        </w:rPr>
        <w:t xml:space="preserve"> </w:t>
      </w:r>
      <w:r w:rsidR="00AB062C" w:rsidRPr="00DE2606">
        <w:rPr>
          <w:sz w:val="18"/>
          <w:szCs w:val="18"/>
        </w:rPr>
        <w:t>(n6)</w:t>
      </w:r>
      <w:r w:rsidR="003F22FC">
        <w:rPr>
          <w:sz w:val="18"/>
          <w:szCs w:val="18"/>
        </w:rPr>
        <w:t>,</w:t>
      </w:r>
      <w:r w:rsidR="00AB062C" w:rsidRPr="00DE2606">
        <w:rPr>
          <w:sz w:val="18"/>
          <w:szCs w:val="18"/>
        </w:rPr>
        <w:t xml:space="preserve"> paras 315-324</w:t>
      </w:r>
      <w:r w:rsidRPr="00DE2606">
        <w:rPr>
          <w:sz w:val="18"/>
          <w:szCs w:val="18"/>
        </w:rPr>
        <w:t>.</w:t>
      </w:r>
    </w:p>
  </w:footnote>
  <w:footnote w:id="49">
    <w:p w14:paraId="0F73AA41" w14:textId="2CF041B1"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Pr="00DE2606">
        <w:rPr>
          <w:i/>
          <w:sz w:val="18"/>
          <w:szCs w:val="18"/>
        </w:rPr>
        <w:t>CAS 2009/A/1870 World Anti-Doping Agency (WADA) v. Jessica Hardy &amp; United States Anti-Doping Agency (USADA),</w:t>
      </w:r>
      <w:r w:rsidR="00820D60" w:rsidRPr="00DE2606">
        <w:rPr>
          <w:sz w:val="18"/>
          <w:szCs w:val="18"/>
        </w:rPr>
        <w:t xml:space="preserve"> award of 21 May 2010 </w:t>
      </w:r>
      <w:r w:rsidR="003F22FC">
        <w:rPr>
          <w:sz w:val="18"/>
          <w:szCs w:val="18"/>
        </w:rPr>
        <w:t>[</w:t>
      </w:r>
      <w:hyperlink r:id="rId25" w:history="1">
        <w:r w:rsidRPr="00DE2606">
          <w:rPr>
            <w:rStyle w:val="Hyperlink"/>
            <w:sz w:val="18"/>
            <w:szCs w:val="18"/>
          </w:rPr>
          <w:t>www.tas-cas.org/d2wfiles/document/4218/5048/0/Award20187020FINAL.pdf</w:t>
        </w:r>
      </w:hyperlink>
      <w:r w:rsidR="003F22FC">
        <w:rPr>
          <w:sz w:val="18"/>
          <w:szCs w:val="18"/>
        </w:rPr>
        <w:t>]</w:t>
      </w:r>
    </w:p>
  </w:footnote>
  <w:footnote w:id="50">
    <w:p w14:paraId="6357394E" w14:textId="77777777"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WADC 2015 (n4). </w:t>
      </w:r>
    </w:p>
  </w:footnote>
  <w:footnote w:id="51">
    <w:p w14:paraId="243E604C" w14:textId="50DB4F46"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ibid, art 10.2.1.1</w:t>
      </w:r>
    </w:p>
  </w:footnote>
  <w:footnote w:id="52">
    <w:p w14:paraId="0800F9DC" w14:textId="396948D0"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820D60" w:rsidRPr="00DE2606">
        <w:rPr>
          <w:sz w:val="18"/>
          <w:szCs w:val="18"/>
        </w:rPr>
        <w:t>WADC 2015 (n4)</w:t>
      </w:r>
      <w:r w:rsidR="005E4F19">
        <w:rPr>
          <w:sz w:val="18"/>
          <w:szCs w:val="18"/>
        </w:rPr>
        <w:t>,</w:t>
      </w:r>
      <w:r w:rsidRPr="00DE2606">
        <w:rPr>
          <w:sz w:val="18"/>
          <w:szCs w:val="18"/>
        </w:rPr>
        <w:t xml:space="preserve"> art 10.2.3</w:t>
      </w:r>
    </w:p>
  </w:footnote>
  <w:footnote w:id="53">
    <w:p w14:paraId="287E33E1" w14:textId="7F0499A3"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820D60" w:rsidRPr="00DE2606">
        <w:rPr>
          <w:sz w:val="18"/>
          <w:szCs w:val="18"/>
        </w:rPr>
        <w:t>WADC 2015 (n4)</w:t>
      </w:r>
      <w:r w:rsidR="005E4F19">
        <w:rPr>
          <w:sz w:val="18"/>
          <w:szCs w:val="18"/>
        </w:rPr>
        <w:t>,</w:t>
      </w:r>
      <w:r w:rsidR="00820D60" w:rsidRPr="00DE2606">
        <w:rPr>
          <w:sz w:val="18"/>
          <w:szCs w:val="18"/>
        </w:rPr>
        <w:t xml:space="preserve"> </w:t>
      </w:r>
      <w:r w:rsidRPr="00DE2606">
        <w:rPr>
          <w:sz w:val="18"/>
          <w:szCs w:val="18"/>
        </w:rPr>
        <w:t>art 10.4</w:t>
      </w:r>
    </w:p>
  </w:footnote>
  <w:footnote w:id="54">
    <w:p w14:paraId="47D425A7" w14:textId="7D9BA460" w:rsidR="005C2941" w:rsidRPr="00DE2606" w:rsidRDefault="005C2941" w:rsidP="00DE2606">
      <w:pPr>
        <w:autoSpaceDE w:val="0"/>
        <w:autoSpaceDN w:val="0"/>
        <w:adjustRightInd w:val="0"/>
        <w:spacing w:after="40" w:line="240" w:lineRule="auto"/>
        <w:rPr>
          <w:sz w:val="18"/>
          <w:szCs w:val="18"/>
        </w:rPr>
      </w:pPr>
      <w:r w:rsidRPr="00DE2606">
        <w:rPr>
          <w:rStyle w:val="FootnoteReference"/>
          <w:sz w:val="18"/>
          <w:szCs w:val="18"/>
        </w:rPr>
        <w:footnoteRef/>
      </w:r>
      <w:r w:rsidRPr="00DE2606">
        <w:rPr>
          <w:sz w:val="18"/>
          <w:szCs w:val="18"/>
        </w:rPr>
        <w:t xml:space="preserve"> Ibid. The comment to Article 10.4 states: “</w:t>
      </w:r>
      <w:r w:rsidRPr="00DE2606">
        <w:rPr>
          <w:rFonts w:cs="DINOT-MediumItalic"/>
          <w:iCs/>
          <w:sz w:val="18"/>
          <w:szCs w:val="18"/>
        </w:rPr>
        <w:t xml:space="preserve">No fault or negligence would not apply in the following circumstances: (a) a positive test resulting from a </w:t>
      </w:r>
      <w:r w:rsidR="007340E0" w:rsidRPr="00DE2606">
        <w:rPr>
          <w:rFonts w:cs="DINOT-MediumItalic"/>
          <w:iCs/>
          <w:sz w:val="18"/>
          <w:szCs w:val="18"/>
        </w:rPr>
        <w:t>mislabelled</w:t>
      </w:r>
      <w:r w:rsidRPr="00DE2606">
        <w:rPr>
          <w:rFonts w:cs="DINOT-MediumItalic"/>
          <w:iCs/>
          <w:sz w:val="18"/>
          <w:szCs w:val="18"/>
        </w:rPr>
        <w:t xml:space="preserve"> or contaminated vitamin or nutritional supplement…”</w:t>
      </w:r>
    </w:p>
  </w:footnote>
  <w:footnote w:id="55">
    <w:p w14:paraId="0C99191B" w14:textId="3569383D"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820D60" w:rsidRPr="00DE2606">
        <w:rPr>
          <w:sz w:val="18"/>
          <w:szCs w:val="18"/>
        </w:rPr>
        <w:t>WADC 2015 (n4)</w:t>
      </w:r>
      <w:r w:rsidR="005E4F19">
        <w:rPr>
          <w:sz w:val="18"/>
          <w:szCs w:val="18"/>
        </w:rPr>
        <w:t>,</w:t>
      </w:r>
      <w:r w:rsidRPr="00DE2606">
        <w:rPr>
          <w:sz w:val="18"/>
          <w:szCs w:val="18"/>
        </w:rPr>
        <w:t xml:space="preserve"> art 10.5.1.2</w:t>
      </w:r>
    </w:p>
  </w:footnote>
  <w:footnote w:id="56">
    <w:p w14:paraId="6864D688" w14:textId="76FD2DB1"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820D60" w:rsidRPr="00DE2606">
        <w:rPr>
          <w:sz w:val="18"/>
          <w:szCs w:val="18"/>
        </w:rPr>
        <w:t>WADC 2015 (n4)</w:t>
      </w:r>
      <w:r w:rsidR="005E4F19">
        <w:rPr>
          <w:sz w:val="18"/>
          <w:szCs w:val="18"/>
        </w:rPr>
        <w:t>,</w:t>
      </w:r>
      <w:r w:rsidR="00820D60" w:rsidRPr="00DE2606">
        <w:rPr>
          <w:sz w:val="18"/>
          <w:szCs w:val="18"/>
        </w:rPr>
        <w:t xml:space="preserve"> </w:t>
      </w:r>
      <w:r w:rsidRPr="00DE2606">
        <w:rPr>
          <w:sz w:val="18"/>
          <w:szCs w:val="18"/>
        </w:rPr>
        <w:t>art 10.5.2</w:t>
      </w:r>
    </w:p>
  </w:footnote>
  <w:footnote w:id="57">
    <w:p w14:paraId="7F87024F" w14:textId="4CCD438E"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WADC 2015 (n4)</w:t>
      </w:r>
      <w:r w:rsidR="005E4F19">
        <w:rPr>
          <w:sz w:val="18"/>
          <w:szCs w:val="18"/>
        </w:rPr>
        <w:t>,</w:t>
      </w:r>
      <w:r w:rsidRPr="00DE2606">
        <w:rPr>
          <w:sz w:val="18"/>
          <w:szCs w:val="18"/>
        </w:rPr>
        <w:t xml:space="preserve"> Appendix 2: Examples of the Application of Article 10 (Example 3). While</w:t>
      </w:r>
      <w:r w:rsidR="00E328BF" w:rsidRPr="00DE2606">
        <w:rPr>
          <w:sz w:val="18"/>
          <w:szCs w:val="18"/>
        </w:rPr>
        <w:t xml:space="preserve"> the circumstances described are</w:t>
      </w:r>
      <w:r w:rsidRPr="00DE2606">
        <w:rPr>
          <w:sz w:val="18"/>
          <w:szCs w:val="18"/>
        </w:rPr>
        <w:t xml:space="preserve"> not exactly the same as </w:t>
      </w:r>
      <w:r w:rsidRPr="00DE2606">
        <w:rPr>
          <w:i/>
          <w:sz w:val="18"/>
          <w:szCs w:val="18"/>
        </w:rPr>
        <w:t>Contador</w:t>
      </w:r>
      <w:r w:rsidRPr="00DE2606">
        <w:rPr>
          <w:sz w:val="18"/>
          <w:szCs w:val="18"/>
        </w:rPr>
        <w:t>, the example is based on an adverse analytical finding (out of competition) for a prohibited substance. The athlete in the example is able to demonstrate no significant fault and establish that the adverse finding is caused by a contaminated supplement</w:t>
      </w:r>
      <w:r w:rsidR="00E328BF" w:rsidRPr="00DE2606">
        <w:rPr>
          <w:sz w:val="18"/>
          <w:szCs w:val="18"/>
        </w:rPr>
        <w:t xml:space="preserve"> so as to engage Article 10.5.1.2</w:t>
      </w:r>
      <w:r w:rsidRPr="00DE2606">
        <w:rPr>
          <w:sz w:val="18"/>
          <w:szCs w:val="18"/>
        </w:rPr>
        <w:t>.</w:t>
      </w:r>
    </w:p>
  </w:footnote>
  <w:footnote w:id="58">
    <w:p w14:paraId="797087E8" w14:textId="77777777"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ibid. </w:t>
      </w:r>
    </w:p>
  </w:footnote>
  <w:footnote w:id="59">
    <w:p w14:paraId="6D1ACF2E" w14:textId="607074D4"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E328BF" w:rsidRPr="00DE2606">
        <w:rPr>
          <w:sz w:val="18"/>
          <w:szCs w:val="18"/>
        </w:rPr>
        <w:t>Compare A</w:t>
      </w:r>
      <w:r w:rsidRPr="00DE2606">
        <w:rPr>
          <w:sz w:val="18"/>
          <w:szCs w:val="18"/>
        </w:rPr>
        <w:t>rticle 10.5.2 in WADC 2009 and WADC 2015 respectively.</w:t>
      </w:r>
    </w:p>
  </w:footnote>
  <w:footnote w:id="60">
    <w:p w14:paraId="55794613" w14:textId="71163BBE" w:rsidR="00353C0C" w:rsidRPr="00DE2606" w:rsidRDefault="00353C0C" w:rsidP="00DE2606">
      <w:pPr>
        <w:pStyle w:val="FootnoteText"/>
        <w:spacing w:after="40"/>
        <w:rPr>
          <w:sz w:val="18"/>
          <w:szCs w:val="18"/>
        </w:rPr>
      </w:pPr>
      <w:r w:rsidRPr="00DE2606">
        <w:rPr>
          <w:rStyle w:val="FootnoteReference"/>
          <w:sz w:val="18"/>
          <w:szCs w:val="18"/>
        </w:rPr>
        <w:footnoteRef/>
      </w:r>
      <w:r w:rsidRPr="00DE2606">
        <w:rPr>
          <w:sz w:val="18"/>
          <w:szCs w:val="18"/>
        </w:rPr>
        <w:t xml:space="preserve"> WADC 2015 (n4)</w:t>
      </w:r>
      <w:r w:rsidR="005E4F19">
        <w:rPr>
          <w:sz w:val="18"/>
          <w:szCs w:val="18"/>
        </w:rPr>
        <w:t>,</w:t>
      </w:r>
      <w:r w:rsidRPr="00DE2606">
        <w:rPr>
          <w:sz w:val="18"/>
          <w:szCs w:val="18"/>
        </w:rPr>
        <w:t xml:space="preserve"> art 10.5.1.2.</w:t>
      </w:r>
    </w:p>
  </w:footnote>
  <w:footnote w:id="61">
    <w:p w14:paraId="388B1A50" w14:textId="5CE9F52E"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5F4355" w:rsidRPr="00DE2606">
        <w:rPr>
          <w:sz w:val="18"/>
          <w:szCs w:val="18"/>
        </w:rPr>
        <w:t xml:space="preserve">See </w:t>
      </w:r>
      <w:r w:rsidR="005E4F19">
        <w:rPr>
          <w:sz w:val="18"/>
          <w:szCs w:val="18"/>
        </w:rPr>
        <w:t>(</w:t>
      </w:r>
      <w:r w:rsidR="005F4355" w:rsidRPr="00DE2606">
        <w:rPr>
          <w:sz w:val="18"/>
          <w:szCs w:val="18"/>
        </w:rPr>
        <w:t>n41</w:t>
      </w:r>
      <w:r w:rsidR="005E4F19">
        <w:rPr>
          <w:sz w:val="18"/>
          <w:szCs w:val="18"/>
        </w:rPr>
        <w:t>)</w:t>
      </w:r>
      <w:r w:rsidRPr="00DE2606">
        <w:rPr>
          <w:sz w:val="18"/>
          <w:szCs w:val="18"/>
        </w:rPr>
        <w:t>. It could be argued that Contador deliberately pursued the ‘contaminated steak’ theory precisely because of the lack of evidence pointing to a contaminated supplement and because it</w:t>
      </w:r>
      <w:r w:rsidR="004C1BE7" w:rsidRPr="00DE2606">
        <w:rPr>
          <w:sz w:val="18"/>
          <w:szCs w:val="18"/>
        </w:rPr>
        <w:t xml:space="preserve"> therefore</w:t>
      </w:r>
      <w:r w:rsidRPr="00DE2606">
        <w:rPr>
          <w:sz w:val="18"/>
          <w:szCs w:val="18"/>
        </w:rPr>
        <w:t xml:space="preserve"> represented his only means of escaping without a sa</w:t>
      </w:r>
      <w:r w:rsidR="004C1BE7" w:rsidRPr="00DE2606">
        <w:rPr>
          <w:sz w:val="18"/>
          <w:szCs w:val="18"/>
        </w:rPr>
        <w:t>nction (</w:t>
      </w:r>
      <w:r w:rsidR="00E328BF" w:rsidRPr="00DE2606">
        <w:rPr>
          <w:sz w:val="18"/>
          <w:szCs w:val="18"/>
        </w:rPr>
        <w:t xml:space="preserve">i.e. </w:t>
      </w:r>
      <w:r w:rsidR="004C1BE7" w:rsidRPr="00DE2606">
        <w:rPr>
          <w:sz w:val="18"/>
          <w:szCs w:val="18"/>
        </w:rPr>
        <w:t xml:space="preserve">under </w:t>
      </w:r>
      <w:r w:rsidR="00E328BF" w:rsidRPr="00DE2606">
        <w:rPr>
          <w:sz w:val="18"/>
          <w:szCs w:val="18"/>
        </w:rPr>
        <w:t>A</w:t>
      </w:r>
      <w:r w:rsidR="004C1BE7" w:rsidRPr="00DE2606">
        <w:rPr>
          <w:sz w:val="18"/>
          <w:szCs w:val="18"/>
        </w:rPr>
        <w:t xml:space="preserve">rticle 10.5.2 </w:t>
      </w:r>
      <w:r w:rsidRPr="00DE2606">
        <w:rPr>
          <w:sz w:val="18"/>
          <w:szCs w:val="18"/>
        </w:rPr>
        <w:t>WADC 2009). While this argument may have some validity, it was nonetheless a high-risk strategy and one that ultimately failed.</w:t>
      </w:r>
    </w:p>
  </w:footnote>
  <w:footnote w:id="62">
    <w:p w14:paraId="3BAD8536" w14:textId="712B6D80"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WADC 2015 (n4)</w:t>
      </w:r>
      <w:r w:rsidR="005E4F19">
        <w:rPr>
          <w:sz w:val="18"/>
          <w:szCs w:val="18"/>
        </w:rPr>
        <w:t>,</w:t>
      </w:r>
      <w:r w:rsidR="005F4355" w:rsidRPr="00DE2606">
        <w:rPr>
          <w:sz w:val="18"/>
          <w:szCs w:val="18"/>
        </w:rPr>
        <w:t xml:space="preserve"> art 10.2.1.1</w:t>
      </w:r>
      <w:r w:rsidRPr="00DE2606">
        <w:rPr>
          <w:sz w:val="18"/>
          <w:szCs w:val="18"/>
        </w:rPr>
        <w:t>.</w:t>
      </w:r>
    </w:p>
  </w:footnote>
  <w:footnote w:id="63">
    <w:p w14:paraId="1DDFAE33" w14:textId="6839F4CD"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6E0419" w:rsidRPr="00DE2606">
        <w:rPr>
          <w:sz w:val="18"/>
          <w:szCs w:val="18"/>
        </w:rPr>
        <w:t>WADC 2015 (n4)</w:t>
      </w:r>
      <w:r w:rsidR="005E4F19">
        <w:rPr>
          <w:sz w:val="18"/>
          <w:szCs w:val="18"/>
        </w:rPr>
        <w:t>,</w:t>
      </w:r>
      <w:r w:rsidR="006E0419" w:rsidRPr="00DE2606">
        <w:rPr>
          <w:sz w:val="18"/>
          <w:szCs w:val="18"/>
        </w:rPr>
        <w:t xml:space="preserve"> art 10.5.2.</w:t>
      </w:r>
      <w:r w:rsidR="00A75F26" w:rsidRPr="00DE2606">
        <w:rPr>
          <w:sz w:val="18"/>
          <w:szCs w:val="18"/>
        </w:rPr>
        <w:t xml:space="preserve"> </w:t>
      </w:r>
      <w:r w:rsidR="00353C0C" w:rsidRPr="00DE2606">
        <w:rPr>
          <w:sz w:val="18"/>
          <w:szCs w:val="18"/>
        </w:rPr>
        <w:t>U</w:t>
      </w:r>
      <w:r w:rsidR="00E328BF" w:rsidRPr="00DE2606">
        <w:rPr>
          <w:sz w:val="18"/>
          <w:szCs w:val="18"/>
        </w:rPr>
        <w:t>nder A</w:t>
      </w:r>
      <w:r w:rsidR="00A75F26" w:rsidRPr="00DE2606">
        <w:rPr>
          <w:sz w:val="18"/>
          <w:szCs w:val="18"/>
        </w:rPr>
        <w:t>rt</w:t>
      </w:r>
      <w:r w:rsidR="00E328BF" w:rsidRPr="00DE2606">
        <w:rPr>
          <w:sz w:val="18"/>
          <w:szCs w:val="18"/>
        </w:rPr>
        <w:t>icle</w:t>
      </w:r>
      <w:r w:rsidR="00A75F26" w:rsidRPr="00DE2606">
        <w:rPr>
          <w:sz w:val="18"/>
          <w:szCs w:val="18"/>
        </w:rPr>
        <w:t xml:space="preserve"> 10.5.2 a panel may only reduce the base sanction provided for in </w:t>
      </w:r>
      <w:r w:rsidR="00E328BF" w:rsidRPr="00DE2606">
        <w:rPr>
          <w:sz w:val="18"/>
          <w:szCs w:val="18"/>
        </w:rPr>
        <w:t>Article</w:t>
      </w:r>
      <w:r w:rsidR="006E0419" w:rsidRPr="00DE2606">
        <w:rPr>
          <w:sz w:val="18"/>
          <w:szCs w:val="18"/>
        </w:rPr>
        <w:t xml:space="preserve"> 2.1 by up to a half.</w:t>
      </w:r>
    </w:p>
  </w:footnote>
  <w:footnote w:id="64">
    <w:p w14:paraId="70766388" w14:textId="63B5EE5B"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WADC 2015 (n4). </w:t>
      </w:r>
      <w:r w:rsidR="007603A0" w:rsidRPr="00DE2606">
        <w:rPr>
          <w:sz w:val="18"/>
          <w:szCs w:val="18"/>
        </w:rPr>
        <w:t xml:space="preserve">While </w:t>
      </w:r>
      <w:r w:rsidRPr="00DE2606">
        <w:rPr>
          <w:sz w:val="18"/>
          <w:szCs w:val="18"/>
        </w:rPr>
        <w:t xml:space="preserve">Article 10.4 </w:t>
      </w:r>
      <w:r w:rsidR="007603A0" w:rsidRPr="00DE2606">
        <w:rPr>
          <w:sz w:val="18"/>
          <w:szCs w:val="18"/>
        </w:rPr>
        <w:t>allows for an elimination of any sanction where no fault or negligence can be shown, the associated commentary makes</w:t>
      </w:r>
      <w:r w:rsidRPr="00DE2606">
        <w:rPr>
          <w:sz w:val="18"/>
          <w:szCs w:val="18"/>
        </w:rPr>
        <w:t xml:space="preserve"> clear that it is only likely to be engaged in circumstances </w:t>
      </w:r>
      <w:r w:rsidR="003F7538" w:rsidRPr="00DE2606">
        <w:rPr>
          <w:sz w:val="18"/>
          <w:szCs w:val="18"/>
        </w:rPr>
        <w:t>involving</w:t>
      </w:r>
      <w:r w:rsidR="007603A0" w:rsidRPr="00DE2606">
        <w:rPr>
          <w:sz w:val="18"/>
          <w:szCs w:val="18"/>
        </w:rPr>
        <w:t xml:space="preserve"> acts of deliberate sabotage. This</w:t>
      </w:r>
      <w:r w:rsidRPr="00DE2606">
        <w:rPr>
          <w:sz w:val="18"/>
          <w:szCs w:val="18"/>
        </w:rPr>
        <w:t xml:space="preserve"> </w:t>
      </w:r>
      <w:r w:rsidR="002E1574" w:rsidRPr="00DE2606">
        <w:rPr>
          <w:sz w:val="18"/>
          <w:szCs w:val="18"/>
        </w:rPr>
        <w:t>would imply</w:t>
      </w:r>
      <w:r w:rsidRPr="00DE2606">
        <w:rPr>
          <w:sz w:val="18"/>
          <w:szCs w:val="18"/>
        </w:rPr>
        <w:t xml:space="preserve"> </w:t>
      </w:r>
      <w:r w:rsidR="002E1574" w:rsidRPr="00DE2606">
        <w:rPr>
          <w:sz w:val="18"/>
          <w:szCs w:val="18"/>
        </w:rPr>
        <w:t>an</w:t>
      </w:r>
      <w:r w:rsidRPr="00DE2606">
        <w:rPr>
          <w:sz w:val="18"/>
          <w:szCs w:val="18"/>
        </w:rPr>
        <w:t xml:space="preserve"> athlete </w:t>
      </w:r>
      <w:r w:rsidR="007A4861" w:rsidRPr="00DE2606">
        <w:rPr>
          <w:sz w:val="18"/>
          <w:szCs w:val="18"/>
        </w:rPr>
        <w:t xml:space="preserve">would need to </w:t>
      </w:r>
      <w:r w:rsidRPr="00DE2606">
        <w:rPr>
          <w:sz w:val="18"/>
          <w:szCs w:val="18"/>
        </w:rPr>
        <w:t xml:space="preserve">be </w:t>
      </w:r>
      <w:r w:rsidR="003F7538" w:rsidRPr="00DE2606">
        <w:rPr>
          <w:sz w:val="18"/>
          <w:szCs w:val="18"/>
        </w:rPr>
        <w:t xml:space="preserve">able to </w:t>
      </w:r>
      <w:r w:rsidR="007A4861" w:rsidRPr="00DE2606">
        <w:rPr>
          <w:sz w:val="18"/>
          <w:szCs w:val="18"/>
        </w:rPr>
        <w:t>produce corroborating evidence indicating the</w:t>
      </w:r>
      <w:r w:rsidR="005C7E09" w:rsidRPr="00DE2606">
        <w:rPr>
          <w:sz w:val="18"/>
          <w:szCs w:val="18"/>
        </w:rPr>
        <w:t xml:space="preserve"> </w:t>
      </w:r>
      <w:r w:rsidR="007603A0" w:rsidRPr="00DE2606">
        <w:rPr>
          <w:sz w:val="18"/>
          <w:szCs w:val="18"/>
        </w:rPr>
        <w:t>likely</w:t>
      </w:r>
      <w:r w:rsidR="003F7538" w:rsidRPr="00DE2606">
        <w:rPr>
          <w:sz w:val="18"/>
          <w:szCs w:val="18"/>
        </w:rPr>
        <w:t xml:space="preserve"> source of ingestion</w:t>
      </w:r>
      <w:r w:rsidRPr="00DE2606">
        <w:rPr>
          <w:sz w:val="18"/>
          <w:szCs w:val="18"/>
        </w:rPr>
        <w:t>.</w:t>
      </w:r>
    </w:p>
  </w:footnote>
  <w:footnote w:id="65">
    <w:p w14:paraId="5001C55E" w14:textId="1BCF8548" w:rsidR="00880598" w:rsidRPr="00DE2606" w:rsidRDefault="00880598" w:rsidP="00DE2606">
      <w:pPr>
        <w:autoSpaceDE w:val="0"/>
        <w:autoSpaceDN w:val="0"/>
        <w:adjustRightInd w:val="0"/>
        <w:spacing w:after="40" w:line="240" w:lineRule="auto"/>
        <w:rPr>
          <w:sz w:val="18"/>
          <w:szCs w:val="18"/>
        </w:rPr>
      </w:pPr>
      <w:r w:rsidRPr="00DE2606">
        <w:rPr>
          <w:rStyle w:val="FootnoteReference"/>
          <w:sz w:val="18"/>
          <w:szCs w:val="18"/>
        </w:rPr>
        <w:footnoteRef/>
      </w:r>
      <w:r w:rsidRPr="00DE2606">
        <w:rPr>
          <w:sz w:val="18"/>
          <w:szCs w:val="18"/>
        </w:rPr>
        <w:t xml:space="preserve"> </w:t>
      </w:r>
      <w:r w:rsidRPr="00DE2606">
        <w:rPr>
          <w:rFonts w:cs="Times-Bold"/>
          <w:bCs/>
          <w:i/>
          <w:sz w:val="18"/>
          <w:szCs w:val="18"/>
        </w:rPr>
        <w:t>CAS 2014/A/3487 Veronica Campbell-Brown v. the Jamaica Athletics Administrative Association (JAAA) &amp; the International Association of Athletics Federations (IAAF)</w:t>
      </w:r>
      <w:r w:rsidR="005C7E09" w:rsidRPr="00DE2606">
        <w:rPr>
          <w:rFonts w:cs="Times-Bold"/>
          <w:bCs/>
          <w:sz w:val="18"/>
          <w:szCs w:val="18"/>
        </w:rPr>
        <w:t xml:space="preserve">, </w:t>
      </w:r>
      <w:r w:rsidRPr="00DE2606">
        <w:rPr>
          <w:rFonts w:cs="Times-Bold"/>
          <w:bCs/>
          <w:sz w:val="18"/>
          <w:szCs w:val="18"/>
        </w:rPr>
        <w:t>award of 24 February 2014</w:t>
      </w:r>
      <w:r w:rsidR="005E4F19">
        <w:rPr>
          <w:rFonts w:cs="Times-Bold"/>
          <w:bCs/>
          <w:sz w:val="18"/>
          <w:szCs w:val="18"/>
        </w:rPr>
        <w:t>. [</w:t>
      </w:r>
      <w:hyperlink r:id="rId26" w:history="1">
        <w:r w:rsidRPr="00DE2606">
          <w:rPr>
            <w:rStyle w:val="Hyperlink"/>
            <w:rFonts w:cs="Times-Bold"/>
            <w:bCs/>
            <w:sz w:val="18"/>
            <w:szCs w:val="18"/>
          </w:rPr>
          <w:t>www.tas-cas.org/fileadmin/user_upload/Award20348720_internet_.pdf</w:t>
        </w:r>
      </w:hyperlink>
      <w:r w:rsidR="005E4F19">
        <w:rPr>
          <w:rFonts w:cs="Times-Bold"/>
          <w:bCs/>
          <w:sz w:val="18"/>
          <w:szCs w:val="18"/>
        </w:rPr>
        <w:t>]</w:t>
      </w:r>
      <w:r w:rsidR="005C7E09" w:rsidRPr="00DE2606">
        <w:rPr>
          <w:rFonts w:cs="Times-Bold"/>
          <w:bCs/>
          <w:sz w:val="18"/>
          <w:szCs w:val="18"/>
        </w:rPr>
        <w:t xml:space="preserve"> </w:t>
      </w:r>
    </w:p>
  </w:footnote>
  <w:footnote w:id="66">
    <w:p w14:paraId="5EB5361A" w14:textId="6D81DE0E" w:rsidR="007A4861" w:rsidRPr="00DE2606" w:rsidRDefault="007A4861"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35149A" w:rsidRPr="00DE2606">
        <w:rPr>
          <w:sz w:val="18"/>
          <w:szCs w:val="18"/>
        </w:rPr>
        <w:t>ibid.</w:t>
      </w:r>
    </w:p>
  </w:footnote>
  <w:footnote w:id="67">
    <w:p w14:paraId="3FB20E1B" w14:textId="75CC8266" w:rsidR="00282906" w:rsidRPr="00DE2606" w:rsidRDefault="00282906" w:rsidP="00DE2606">
      <w:pPr>
        <w:pStyle w:val="FootnoteText"/>
        <w:spacing w:after="40"/>
        <w:rPr>
          <w:sz w:val="18"/>
          <w:szCs w:val="18"/>
        </w:rPr>
      </w:pPr>
      <w:r w:rsidRPr="00DE2606">
        <w:rPr>
          <w:rStyle w:val="FootnoteReference"/>
          <w:sz w:val="18"/>
          <w:szCs w:val="18"/>
        </w:rPr>
        <w:footnoteRef/>
      </w:r>
      <w:r w:rsidRPr="00DE2606">
        <w:rPr>
          <w:sz w:val="18"/>
          <w:szCs w:val="18"/>
        </w:rPr>
        <w:t xml:space="preserve"> ibid.</w:t>
      </w:r>
    </w:p>
  </w:footnote>
  <w:footnote w:id="68">
    <w:p w14:paraId="303581E0" w14:textId="26E225B4" w:rsidR="00880598" w:rsidRPr="00DE2606" w:rsidRDefault="00880598" w:rsidP="00DE2606">
      <w:pPr>
        <w:pStyle w:val="FootnoteText"/>
        <w:spacing w:after="40"/>
        <w:rPr>
          <w:sz w:val="18"/>
          <w:szCs w:val="18"/>
          <w:highlight w:val="yellow"/>
        </w:rPr>
      </w:pPr>
      <w:r w:rsidRPr="00DE2606">
        <w:rPr>
          <w:rStyle w:val="FootnoteReference"/>
          <w:sz w:val="18"/>
          <w:szCs w:val="18"/>
        </w:rPr>
        <w:footnoteRef/>
      </w:r>
      <w:r w:rsidR="00A75F26" w:rsidRPr="00DE2606">
        <w:rPr>
          <w:sz w:val="18"/>
          <w:szCs w:val="18"/>
        </w:rPr>
        <w:t xml:space="preserve"> ibid.</w:t>
      </w:r>
      <w:r w:rsidR="0035149A" w:rsidRPr="00DE2606">
        <w:rPr>
          <w:sz w:val="18"/>
          <w:szCs w:val="18"/>
        </w:rPr>
        <w:t xml:space="preserve"> For a detailed discussion of the </w:t>
      </w:r>
      <w:r w:rsidR="00BB0A1E" w:rsidRPr="00DE2606">
        <w:rPr>
          <w:i/>
          <w:sz w:val="18"/>
          <w:szCs w:val="18"/>
        </w:rPr>
        <w:t xml:space="preserve">Campbell-Brown </w:t>
      </w:r>
      <w:r w:rsidR="0035149A" w:rsidRPr="00DE2606">
        <w:rPr>
          <w:sz w:val="18"/>
          <w:szCs w:val="18"/>
        </w:rPr>
        <w:t>decision see</w:t>
      </w:r>
      <w:r w:rsidR="00AB062C" w:rsidRPr="00DE2606">
        <w:rPr>
          <w:sz w:val="18"/>
          <w:szCs w:val="18"/>
        </w:rPr>
        <w:t>:</w:t>
      </w:r>
      <w:r w:rsidR="0035149A" w:rsidRPr="00DE2606">
        <w:rPr>
          <w:sz w:val="18"/>
          <w:szCs w:val="18"/>
        </w:rPr>
        <w:t xml:space="preserve"> </w:t>
      </w:r>
      <w:proofErr w:type="spellStart"/>
      <w:r w:rsidR="00BB0A1E" w:rsidRPr="00DE2606">
        <w:rPr>
          <w:rFonts w:cs="Arial"/>
          <w:iCs/>
          <w:sz w:val="18"/>
          <w:szCs w:val="18"/>
          <w:lang w:val="en-US"/>
        </w:rPr>
        <w:t>Marjolaine</w:t>
      </w:r>
      <w:proofErr w:type="spellEnd"/>
      <w:r w:rsidR="00BB0A1E" w:rsidRPr="00DE2606">
        <w:rPr>
          <w:rFonts w:cs="Arial"/>
          <w:iCs/>
          <w:sz w:val="18"/>
          <w:szCs w:val="18"/>
          <w:lang w:val="en-US"/>
        </w:rPr>
        <w:t xml:space="preserve"> </w:t>
      </w:r>
      <w:proofErr w:type="spellStart"/>
      <w:r w:rsidR="00BB0A1E" w:rsidRPr="00DE2606">
        <w:rPr>
          <w:rFonts w:cs="Arial"/>
          <w:iCs/>
          <w:sz w:val="18"/>
          <w:szCs w:val="18"/>
          <w:lang w:val="en-US"/>
        </w:rPr>
        <w:t>Viret</w:t>
      </w:r>
      <w:proofErr w:type="spellEnd"/>
      <w:r w:rsidR="00BB0A1E" w:rsidRPr="00DE2606">
        <w:rPr>
          <w:rFonts w:cs="Arial"/>
          <w:iCs/>
          <w:sz w:val="18"/>
          <w:szCs w:val="18"/>
          <w:lang w:val="en-US"/>
        </w:rPr>
        <w:t xml:space="preserve"> and Emily </w:t>
      </w:r>
      <w:proofErr w:type="spellStart"/>
      <w:r w:rsidR="00BB0A1E" w:rsidRPr="00DE2606">
        <w:rPr>
          <w:rFonts w:cs="Arial"/>
          <w:iCs/>
          <w:sz w:val="18"/>
          <w:szCs w:val="18"/>
          <w:lang w:val="en-US"/>
        </w:rPr>
        <w:t>Wisnosky</w:t>
      </w:r>
      <w:proofErr w:type="spellEnd"/>
      <w:r w:rsidR="00BB0A1E" w:rsidRPr="00DE2606">
        <w:rPr>
          <w:rFonts w:cs="Arial"/>
          <w:iCs/>
          <w:sz w:val="18"/>
          <w:szCs w:val="18"/>
          <w:lang w:val="en-US"/>
        </w:rPr>
        <w:t>,</w:t>
      </w:r>
      <w:r w:rsidR="0035149A" w:rsidRPr="00DE2606">
        <w:rPr>
          <w:sz w:val="18"/>
          <w:szCs w:val="18"/>
        </w:rPr>
        <w:t xml:space="preserve"> ‘Strict liability swings both ways: Campbell-Brown award expects ADOs to match exacting standards imposed on athletes’ (</w:t>
      </w:r>
      <w:r w:rsidR="0035149A" w:rsidRPr="00DE2606">
        <w:rPr>
          <w:i/>
          <w:sz w:val="18"/>
          <w:szCs w:val="18"/>
        </w:rPr>
        <w:t>World Anti-Doping Code Commentary</w:t>
      </w:r>
      <w:r w:rsidR="005C7E09" w:rsidRPr="00DE2606">
        <w:rPr>
          <w:sz w:val="18"/>
          <w:szCs w:val="18"/>
        </w:rPr>
        <w:t>, 24 May 2014)</w:t>
      </w:r>
      <w:r w:rsidR="005E4F19">
        <w:rPr>
          <w:sz w:val="18"/>
          <w:szCs w:val="18"/>
        </w:rPr>
        <w:t xml:space="preserve"> [</w:t>
      </w:r>
      <w:hyperlink r:id="rId27" w:history="1">
        <w:r w:rsidR="0035149A" w:rsidRPr="00DE2606">
          <w:rPr>
            <w:rStyle w:val="Hyperlink"/>
            <w:sz w:val="18"/>
            <w:szCs w:val="18"/>
          </w:rPr>
          <w:t>http://wadc-commentary.com/campbell-brown/</w:t>
        </w:r>
      </w:hyperlink>
      <w:r w:rsidR="005E4F19">
        <w:rPr>
          <w:sz w:val="18"/>
          <w:szCs w:val="18"/>
        </w:rPr>
        <w:t>]</w:t>
      </w:r>
    </w:p>
  </w:footnote>
  <w:footnote w:id="69">
    <w:p w14:paraId="1E1831FA" w14:textId="011232A6" w:rsidR="00880598" w:rsidRPr="00DE2606" w:rsidRDefault="00880598" w:rsidP="00DE2606">
      <w:pPr>
        <w:pStyle w:val="FootnoteText"/>
        <w:spacing w:after="40"/>
        <w:rPr>
          <w:sz w:val="18"/>
          <w:szCs w:val="18"/>
        </w:rPr>
      </w:pPr>
      <w:r w:rsidRPr="00DE2606">
        <w:rPr>
          <w:rStyle w:val="FootnoteReference"/>
          <w:sz w:val="18"/>
          <w:szCs w:val="18"/>
        </w:rPr>
        <w:footnoteRef/>
      </w:r>
      <w:r w:rsidRPr="00DE2606">
        <w:rPr>
          <w:sz w:val="18"/>
          <w:szCs w:val="18"/>
        </w:rPr>
        <w:t xml:space="preserve"> ‘Not proven’ is a well-established concept in Scottish criminal law. </w:t>
      </w:r>
      <w:r w:rsidR="003B2B95" w:rsidRPr="00DE2606">
        <w:rPr>
          <w:sz w:val="18"/>
          <w:szCs w:val="18"/>
        </w:rPr>
        <w:t>I</w:t>
      </w:r>
      <w:r w:rsidRPr="00DE2606">
        <w:rPr>
          <w:sz w:val="18"/>
          <w:szCs w:val="18"/>
        </w:rPr>
        <w:t xml:space="preserve">t represents a </w:t>
      </w:r>
      <w:r w:rsidR="003B2B95" w:rsidRPr="00DE2606">
        <w:rPr>
          <w:sz w:val="18"/>
          <w:szCs w:val="18"/>
        </w:rPr>
        <w:t xml:space="preserve">verdict </w:t>
      </w:r>
      <w:r w:rsidR="0099235C" w:rsidRPr="00DE2606">
        <w:rPr>
          <w:sz w:val="18"/>
          <w:szCs w:val="18"/>
        </w:rPr>
        <w:t>where</w:t>
      </w:r>
      <w:r w:rsidR="003B2B95" w:rsidRPr="00DE2606">
        <w:rPr>
          <w:sz w:val="18"/>
          <w:szCs w:val="18"/>
        </w:rPr>
        <w:t xml:space="preserve"> the evidence </w:t>
      </w:r>
      <w:r w:rsidR="0099235C" w:rsidRPr="00DE2606">
        <w:rPr>
          <w:sz w:val="18"/>
          <w:szCs w:val="18"/>
        </w:rPr>
        <w:t>is</w:t>
      </w:r>
      <w:r w:rsidR="003B2B95" w:rsidRPr="00DE2606">
        <w:rPr>
          <w:sz w:val="18"/>
          <w:szCs w:val="18"/>
        </w:rPr>
        <w:t xml:space="preserve"> insufficient </w:t>
      </w:r>
      <w:r w:rsidR="003B2B95" w:rsidRPr="00DE2606">
        <w:rPr>
          <w:rFonts w:cs="Arial"/>
          <w:sz w:val="18"/>
          <w:szCs w:val="18"/>
        </w:rPr>
        <w:t xml:space="preserve">to prove a case beyond reasonable doubt, or </w:t>
      </w:r>
      <w:r w:rsidR="0099235C" w:rsidRPr="00DE2606">
        <w:rPr>
          <w:rFonts w:cs="Arial"/>
          <w:sz w:val="18"/>
          <w:szCs w:val="18"/>
        </w:rPr>
        <w:t>where there exist</w:t>
      </w:r>
      <w:r w:rsidR="003B2B95" w:rsidRPr="00DE2606">
        <w:rPr>
          <w:rFonts w:cs="Arial"/>
          <w:sz w:val="18"/>
          <w:szCs w:val="18"/>
        </w:rPr>
        <w:t xml:space="preserve"> other reasons for not finding the accused </w:t>
      </w:r>
      <w:r w:rsidR="0099235C" w:rsidRPr="00DE2606">
        <w:rPr>
          <w:rFonts w:cs="Arial"/>
          <w:sz w:val="18"/>
          <w:szCs w:val="18"/>
        </w:rPr>
        <w:t xml:space="preserve">party </w:t>
      </w:r>
      <w:r w:rsidR="003B2B95" w:rsidRPr="00DE2606">
        <w:rPr>
          <w:rFonts w:cs="Arial"/>
          <w:sz w:val="18"/>
          <w:szCs w:val="18"/>
        </w:rPr>
        <w:t>guilty</w:t>
      </w:r>
      <w:r w:rsidR="00736E1C" w:rsidRPr="00DE2606">
        <w:rPr>
          <w:sz w:val="18"/>
          <w:szCs w:val="18"/>
        </w:rPr>
        <w:t>. See</w:t>
      </w:r>
      <w:r w:rsidR="00E328BF" w:rsidRPr="00DE2606">
        <w:rPr>
          <w:sz w:val="18"/>
          <w:szCs w:val="18"/>
        </w:rPr>
        <w:t>:</w:t>
      </w:r>
      <w:r w:rsidR="00736E1C" w:rsidRPr="00DE2606">
        <w:rPr>
          <w:sz w:val="18"/>
          <w:szCs w:val="18"/>
        </w:rPr>
        <w:t xml:space="preserve"> </w:t>
      </w:r>
      <w:r w:rsidR="007F661B">
        <w:rPr>
          <w:sz w:val="18"/>
          <w:szCs w:val="18"/>
        </w:rPr>
        <w:t>[</w:t>
      </w:r>
      <w:hyperlink r:id="rId28" w:anchor="N" w:history="1">
        <w:r w:rsidR="003B2B95" w:rsidRPr="00DE2606">
          <w:rPr>
            <w:rStyle w:val="Hyperlink"/>
            <w:sz w:val="18"/>
            <w:szCs w:val="18"/>
          </w:rPr>
          <w:t>www.copfs.gov.uk/glossary-of-legal-terms#N</w:t>
        </w:r>
      </w:hyperlink>
      <w:r w:rsidR="007F661B">
        <w:rPr>
          <w:sz w:val="18"/>
          <w:szCs w:val="18"/>
        </w:rPr>
        <w:t>]</w:t>
      </w:r>
    </w:p>
  </w:footnote>
  <w:footnote w:id="70">
    <w:p w14:paraId="3B5904F9" w14:textId="1F94F806" w:rsidR="009B76BE" w:rsidRPr="00DE2606" w:rsidRDefault="009B76BE" w:rsidP="00DE2606">
      <w:pPr>
        <w:pStyle w:val="FootnoteText"/>
        <w:spacing w:after="40"/>
        <w:rPr>
          <w:sz w:val="18"/>
          <w:szCs w:val="18"/>
        </w:rPr>
      </w:pPr>
      <w:r w:rsidRPr="00DE2606">
        <w:rPr>
          <w:rStyle w:val="FootnoteReference"/>
          <w:sz w:val="18"/>
          <w:szCs w:val="18"/>
        </w:rPr>
        <w:footnoteRef/>
      </w:r>
      <w:r w:rsidRPr="00DE2606">
        <w:rPr>
          <w:sz w:val="18"/>
          <w:szCs w:val="18"/>
        </w:rPr>
        <w:t xml:space="preserve"> For a chronological summary of the main events see</w:t>
      </w:r>
      <w:r w:rsidR="00E328BF" w:rsidRPr="00DE2606">
        <w:rPr>
          <w:sz w:val="18"/>
          <w:szCs w:val="18"/>
        </w:rPr>
        <w:t>:</w:t>
      </w:r>
      <w:r w:rsidRPr="00DE2606">
        <w:rPr>
          <w:sz w:val="18"/>
          <w:szCs w:val="18"/>
        </w:rPr>
        <w:t xml:space="preserve"> ‘Timeline of events in </w:t>
      </w:r>
      <w:r w:rsidR="007340E0">
        <w:rPr>
          <w:sz w:val="18"/>
          <w:szCs w:val="18"/>
        </w:rPr>
        <w:t xml:space="preserve">the </w:t>
      </w:r>
      <w:proofErr w:type="spellStart"/>
      <w:r w:rsidR="007340E0">
        <w:rPr>
          <w:sz w:val="18"/>
          <w:szCs w:val="18"/>
        </w:rPr>
        <w:t>Essendon</w:t>
      </w:r>
      <w:proofErr w:type="spellEnd"/>
      <w:r w:rsidR="007340E0">
        <w:rPr>
          <w:sz w:val="18"/>
          <w:szCs w:val="18"/>
        </w:rPr>
        <w:t xml:space="preserve"> supplements saga’ </w:t>
      </w:r>
      <w:r w:rsidRPr="00DE2606">
        <w:rPr>
          <w:i/>
          <w:sz w:val="18"/>
          <w:szCs w:val="18"/>
        </w:rPr>
        <w:t>Herald Sun</w:t>
      </w:r>
      <w:r w:rsidR="007340E0">
        <w:rPr>
          <w:sz w:val="18"/>
          <w:szCs w:val="18"/>
        </w:rPr>
        <w:t xml:space="preserve"> (</w:t>
      </w:r>
      <w:r w:rsidRPr="00DE2606">
        <w:rPr>
          <w:sz w:val="18"/>
          <w:szCs w:val="18"/>
        </w:rPr>
        <w:t xml:space="preserve">31 March 2015) </w:t>
      </w:r>
      <w:r w:rsidR="007F661B">
        <w:rPr>
          <w:sz w:val="18"/>
          <w:szCs w:val="18"/>
        </w:rPr>
        <w:t>[</w:t>
      </w:r>
      <w:hyperlink r:id="rId29" w:history="1">
        <w:r w:rsidRPr="00DE2606">
          <w:rPr>
            <w:rStyle w:val="Hyperlink"/>
            <w:sz w:val="18"/>
            <w:szCs w:val="18"/>
          </w:rPr>
          <w:t>www.heraldsun.com.au/sport/afl/timeline-of-events-in-the-essendon-supplements-saga/story-fni5f6kv-1226774541366</w:t>
        </w:r>
      </w:hyperlink>
      <w:r w:rsidR="007F661B">
        <w:rPr>
          <w:sz w:val="18"/>
          <w:szCs w:val="18"/>
        </w:rPr>
        <w:t>]</w:t>
      </w:r>
      <w:r w:rsidR="00736E1C" w:rsidRPr="00DE2606">
        <w:rPr>
          <w:sz w:val="18"/>
          <w:szCs w:val="18"/>
        </w:rPr>
        <w:t xml:space="preserve"> </w:t>
      </w:r>
      <w:r w:rsidRPr="00DE2606">
        <w:rPr>
          <w:sz w:val="18"/>
          <w:szCs w:val="18"/>
        </w:rPr>
        <w:t xml:space="preserve"> </w:t>
      </w:r>
    </w:p>
  </w:footnote>
  <w:footnote w:id="71">
    <w:p w14:paraId="11D27142" w14:textId="0B6A50C5" w:rsidR="00A1709A" w:rsidRPr="00DE2606" w:rsidRDefault="00A1709A" w:rsidP="00DE2606">
      <w:pPr>
        <w:pStyle w:val="FootnoteText"/>
        <w:spacing w:after="40"/>
        <w:rPr>
          <w:sz w:val="18"/>
          <w:szCs w:val="18"/>
        </w:rPr>
      </w:pPr>
      <w:r w:rsidRPr="00DE2606">
        <w:rPr>
          <w:rStyle w:val="FootnoteReference"/>
          <w:sz w:val="18"/>
          <w:szCs w:val="18"/>
        </w:rPr>
        <w:footnoteRef/>
      </w:r>
      <w:r w:rsidR="007340E0">
        <w:rPr>
          <w:sz w:val="18"/>
          <w:szCs w:val="18"/>
        </w:rPr>
        <w:t xml:space="preserve"> ‘</w:t>
      </w:r>
      <w:proofErr w:type="spellStart"/>
      <w:r w:rsidR="007340E0">
        <w:rPr>
          <w:sz w:val="18"/>
          <w:szCs w:val="18"/>
        </w:rPr>
        <w:t>Dr.</w:t>
      </w:r>
      <w:proofErr w:type="spellEnd"/>
      <w:r w:rsidR="007340E0">
        <w:rPr>
          <w:sz w:val="18"/>
          <w:szCs w:val="18"/>
        </w:rPr>
        <w:t xml:space="preserve"> Ziggy </w:t>
      </w:r>
      <w:proofErr w:type="spellStart"/>
      <w:r w:rsidR="007340E0">
        <w:rPr>
          <w:sz w:val="18"/>
          <w:szCs w:val="18"/>
        </w:rPr>
        <w:t>Switkowski</w:t>
      </w:r>
      <w:proofErr w:type="spellEnd"/>
      <w:r w:rsidR="007340E0">
        <w:rPr>
          <w:sz w:val="18"/>
          <w:szCs w:val="18"/>
        </w:rPr>
        <w:t xml:space="preserve"> Report’ </w:t>
      </w:r>
      <w:proofErr w:type="spellStart"/>
      <w:r w:rsidRPr="00DE2606">
        <w:rPr>
          <w:i/>
          <w:sz w:val="18"/>
          <w:szCs w:val="18"/>
        </w:rPr>
        <w:t>Essendon</w:t>
      </w:r>
      <w:proofErr w:type="spellEnd"/>
      <w:r w:rsidRPr="00DE2606">
        <w:rPr>
          <w:i/>
          <w:sz w:val="18"/>
          <w:szCs w:val="18"/>
        </w:rPr>
        <w:t xml:space="preserve"> FC</w:t>
      </w:r>
      <w:r w:rsidR="007340E0">
        <w:rPr>
          <w:sz w:val="18"/>
          <w:szCs w:val="18"/>
        </w:rPr>
        <w:t xml:space="preserve"> (</w:t>
      </w:r>
      <w:r w:rsidR="007F661B">
        <w:rPr>
          <w:sz w:val="18"/>
          <w:szCs w:val="18"/>
        </w:rPr>
        <w:t>6 May 2013) [</w:t>
      </w:r>
      <w:hyperlink r:id="rId30" w:history="1">
        <w:r w:rsidRPr="00DE2606">
          <w:rPr>
            <w:rStyle w:val="Hyperlink"/>
            <w:sz w:val="18"/>
            <w:szCs w:val="18"/>
          </w:rPr>
          <w:t>www.essendonfc.com.au/news/2013-05-06/dr-ziggy-switskowski-report</w:t>
        </w:r>
      </w:hyperlink>
      <w:r w:rsidR="007F661B">
        <w:rPr>
          <w:sz w:val="18"/>
          <w:szCs w:val="18"/>
        </w:rPr>
        <w:t>]</w:t>
      </w:r>
    </w:p>
  </w:footnote>
  <w:footnote w:id="72">
    <w:p w14:paraId="2555BD1B" w14:textId="4AA41D65" w:rsidR="004B7F97" w:rsidRPr="00DE2606" w:rsidRDefault="004B7F97"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2264A1">
        <w:rPr>
          <w:sz w:val="18"/>
          <w:szCs w:val="18"/>
        </w:rPr>
        <w:t xml:space="preserve">Grant Baker, </w:t>
      </w:r>
      <w:r w:rsidRPr="00DE2606">
        <w:rPr>
          <w:sz w:val="18"/>
          <w:szCs w:val="18"/>
        </w:rPr>
        <w:t>‘</w:t>
      </w:r>
      <w:r w:rsidRPr="00DE2606">
        <w:rPr>
          <w:sz w:val="18"/>
          <w:szCs w:val="18"/>
          <w:lang w:val="en"/>
        </w:rPr>
        <w:t xml:space="preserve">AFL issues </w:t>
      </w:r>
      <w:proofErr w:type="spellStart"/>
      <w:r w:rsidRPr="00DE2606">
        <w:rPr>
          <w:sz w:val="18"/>
          <w:szCs w:val="18"/>
          <w:lang w:val="en"/>
        </w:rPr>
        <w:t>Essendon</w:t>
      </w:r>
      <w:proofErr w:type="spellEnd"/>
      <w:r w:rsidRPr="00DE2606">
        <w:rPr>
          <w:sz w:val="18"/>
          <w:szCs w:val="18"/>
          <w:lang w:val="en"/>
        </w:rPr>
        <w:t xml:space="preserve"> 34 with infraction notices, Bombers accused of</w:t>
      </w:r>
      <w:r w:rsidR="002264A1">
        <w:rPr>
          <w:sz w:val="18"/>
          <w:szCs w:val="18"/>
          <w:lang w:val="en"/>
        </w:rPr>
        <w:t xml:space="preserve"> using banned </w:t>
      </w:r>
      <w:proofErr w:type="spellStart"/>
      <w:r w:rsidR="002264A1">
        <w:rPr>
          <w:sz w:val="18"/>
          <w:szCs w:val="18"/>
          <w:lang w:val="en"/>
        </w:rPr>
        <w:t>Thymosin</w:t>
      </w:r>
      <w:proofErr w:type="spellEnd"/>
      <w:r w:rsidR="002264A1">
        <w:rPr>
          <w:sz w:val="18"/>
          <w:szCs w:val="18"/>
          <w:lang w:val="en"/>
        </w:rPr>
        <w:t xml:space="preserve"> beta-4’ </w:t>
      </w:r>
      <w:r w:rsidRPr="00DE2606">
        <w:rPr>
          <w:i/>
          <w:sz w:val="18"/>
          <w:szCs w:val="18"/>
          <w:lang w:val="en"/>
        </w:rPr>
        <w:t>Herald Sun</w:t>
      </w:r>
      <w:r w:rsidR="002264A1">
        <w:rPr>
          <w:sz w:val="18"/>
          <w:szCs w:val="18"/>
          <w:lang w:val="en"/>
        </w:rPr>
        <w:t xml:space="preserve"> (</w:t>
      </w:r>
      <w:r w:rsidRPr="00DE2606">
        <w:rPr>
          <w:sz w:val="18"/>
          <w:szCs w:val="18"/>
          <w:lang w:val="en"/>
        </w:rPr>
        <w:t xml:space="preserve">14 November 2014) </w:t>
      </w:r>
      <w:r w:rsidR="007F661B">
        <w:rPr>
          <w:sz w:val="18"/>
          <w:szCs w:val="18"/>
          <w:lang w:val="en"/>
        </w:rPr>
        <w:t>[</w:t>
      </w:r>
      <w:hyperlink r:id="rId31" w:history="1">
        <w:r w:rsidRPr="00DE2606">
          <w:rPr>
            <w:rStyle w:val="Hyperlink"/>
            <w:sz w:val="18"/>
            <w:szCs w:val="18"/>
            <w:lang w:val="en"/>
          </w:rPr>
          <w:t>www.heraldsun.com.au/sport/afl/afl-issues-essendon-34-with-infraction-notices-bombers-accused-of-using-banned-thymosin-beta4/story-fni5f6kv-1227121859160</w:t>
        </w:r>
      </w:hyperlink>
      <w:r w:rsidR="007F661B">
        <w:rPr>
          <w:sz w:val="18"/>
          <w:szCs w:val="18"/>
          <w:lang w:val="en"/>
        </w:rPr>
        <w:t xml:space="preserve">] </w:t>
      </w:r>
    </w:p>
  </w:footnote>
  <w:footnote w:id="73">
    <w:p w14:paraId="389F7FFB" w14:textId="3E157240" w:rsidR="00994CB9" w:rsidRPr="00DE2606" w:rsidRDefault="00994CB9" w:rsidP="00DE2606">
      <w:pPr>
        <w:pStyle w:val="FootnoteText"/>
        <w:spacing w:after="40"/>
        <w:rPr>
          <w:sz w:val="18"/>
          <w:szCs w:val="18"/>
        </w:rPr>
      </w:pPr>
      <w:r w:rsidRPr="00DE2606">
        <w:rPr>
          <w:rStyle w:val="FootnoteReference"/>
          <w:sz w:val="18"/>
          <w:szCs w:val="18"/>
        </w:rPr>
        <w:footnoteRef/>
      </w:r>
      <w:r w:rsidRPr="00DE2606">
        <w:rPr>
          <w:sz w:val="18"/>
          <w:szCs w:val="18"/>
        </w:rPr>
        <w:t xml:space="preserve"> </w:t>
      </w:r>
      <w:r w:rsidR="004356AC" w:rsidRPr="00DE2606">
        <w:rPr>
          <w:sz w:val="18"/>
          <w:szCs w:val="18"/>
        </w:rPr>
        <w:t>‘Full statement from the AFL’s Anti-Doping Tribunal’ (</w:t>
      </w:r>
      <w:r w:rsidR="004356AC" w:rsidRPr="00DE2606">
        <w:rPr>
          <w:i/>
          <w:sz w:val="18"/>
          <w:szCs w:val="18"/>
        </w:rPr>
        <w:t>AFL</w:t>
      </w:r>
      <w:r w:rsidR="007F661B">
        <w:rPr>
          <w:sz w:val="18"/>
          <w:szCs w:val="18"/>
        </w:rPr>
        <w:t>, 31 March 2015) [</w:t>
      </w:r>
      <w:hyperlink r:id="rId32" w:history="1">
        <w:r w:rsidR="00102F3C" w:rsidRPr="00DE2606">
          <w:rPr>
            <w:rStyle w:val="Hyperlink"/>
            <w:sz w:val="18"/>
            <w:szCs w:val="18"/>
          </w:rPr>
          <w:t>www.afl.com.au/news/2015-03-31/full-tribunal-statement</w:t>
        </w:r>
      </w:hyperlink>
      <w:r w:rsidR="007F661B">
        <w:rPr>
          <w:sz w:val="18"/>
          <w:szCs w:val="18"/>
        </w:rPr>
        <w:t>]</w:t>
      </w:r>
    </w:p>
  </w:footnote>
  <w:footnote w:id="74">
    <w:p w14:paraId="412D1013" w14:textId="5770936C" w:rsidR="00736E1C" w:rsidRPr="00DE2606" w:rsidRDefault="00736E1C" w:rsidP="00DE2606">
      <w:pPr>
        <w:pStyle w:val="FootnoteText"/>
        <w:spacing w:after="40"/>
        <w:rPr>
          <w:sz w:val="18"/>
          <w:szCs w:val="18"/>
        </w:rPr>
      </w:pPr>
      <w:r w:rsidRPr="00DE2606">
        <w:rPr>
          <w:rStyle w:val="FootnoteReference"/>
          <w:sz w:val="18"/>
          <w:szCs w:val="18"/>
        </w:rPr>
        <w:footnoteRef/>
      </w:r>
      <w:r w:rsidRPr="00DE2606">
        <w:rPr>
          <w:sz w:val="18"/>
          <w:szCs w:val="18"/>
        </w:rPr>
        <w:t xml:space="preserve"> Jake Niall, ‘</w:t>
      </w:r>
      <w:r w:rsidRPr="00DE2606">
        <w:rPr>
          <w:rFonts w:cs="Arial"/>
          <w:color w:val="000000"/>
          <w:sz w:val="18"/>
          <w:szCs w:val="18"/>
          <w:lang w:val="en-AU"/>
        </w:rPr>
        <w:t xml:space="preserve">The Essendon verdict: the inside story of the anti-doping tribunal hearing’ </w:t>
      </w:r>
      <w:r w:rsidRPr="00DE2606">
        <w:rPr>
          <w:rFonts w:cs="Arial"/>
          <w:i/>
          <w:color w:val="000000"/>
          <w:sz w:val="18"/>
          <w:szCs w:val="18"/>
          <w:lang w:val="en-AU"/>
        </w:rPr>
        <w:t>The Age</w:t>
      </w:r>
      <w:r w:rsidRPr="00DE2606">
        <w:rPr>
          <w:rFonts w:cs="Arial"/>
          <w:color w:val="000000"/>
          <w:sz w:val="18"/>
          <w:szCs w:val="18"/>
          <w:lang w:val="en-AU"/>
        </w:rPr>
        <w:t xml:space="preserve"> </w:t>
      </w:r>
      <w:r w:rsidR="007340E0">
        <w:rPr>
          <w:rFonts w:cs="Arial"/>
          <w:color w:val="000000"/>
          <w:sz w:val="18"/>
          <w:szCs w:val="18"/>
          <w:lang w:val="en-AU"/>
        </w:rPr>
        <w:t>(</w:t>
      </w:r>
      <w:r w:rsidRPr="00DE2606">
        <w:rPr>
          <w:rFonts w:cs="Arial"/>
          <w:color w:val="000000"/>
          <w:sz w:val="18"/>
          <w:szCs w:val="18"/>
          <w:lang w:val="en-AU"/>
        </w:rPr>
        <w:t xml:space="preserve">31 March 2015) </w:t>
      </w:r>
      <w:r w:rsidR="007F661B">
        <w:rPr>
          <w:rFonts w:cs="Arial"/>
          <w:color w:val="000000"/>
          <w:sz w:val="18"/>
          <w:szCs w:val="18"/>
          <w:lang w:val="en-AU"/>
        </w:rPr>
        <w:t>[</w:t>
      </w:r>
      <w:hyperlink r:id="rId33" w:history="1">
        <w:r w:rsidRPr="00DE2606">
          <w:rPr>
            <w:rStyle w:val="Hyperlink"/>
            <w:rFonts w:cs="Arial"/>
            <w:sz w:val="18"/>
            <w:szCs w:val="18"/>
            <w:lang w:val="en-AU"/>
          </w:rPr>
          <w:t>www.theage.com.au/afl/afl-news/the-essendon-verdict-the-inside-story-of-the-antidoping-tribunal-hearing-20150331-1mc2nb.html</w:t>
        </w:r>
      </w:hyperlink>
      <w:r w:rsidR="007F661B">
        <w:rPr>
          <w:rFonts w:cs="Arial"/>
          <w:color w:val="000000"/>
          <w:sz w:val="18"/>
          <w:szCs w:val="18"/>
          <w:lang w:val="en-AU"/>
        </w:rPr>
        <w:t>]</w:t>
      </w:r>
    </w:p>
  </w:footnote>
  <w:footnote w:id="75">
    <w:p w14:paraId="116816C1" w14:textId="500859DE" w:rsidR="009A6804" w:rsidRPr="00DE2606" w:rsidRDefault="009A6804" w:rsidP="00DE2606">
      <w:pPr>
        <w:pStyle w:val="FootnoteText"/>
        <w:spacing w:after="40"/>
        <w:rPr>
          <w:sz w:val="18"/>
          <w:szCs w:val="18"/>
        </w:rPr>
      </w:pPr>
      <w:r w:rsidRPr="00DE2606">
        <w:rPr>
          <w:rStyle w:val="FootnoteReference"/>
          <w:sz w:val="18"/>
          <w:szCs w:val="18"/>
        </w:rPr>
        <w:footnoteRef/>
      </w:r>
      <w:r w:rsidRPr="00DE2606">
        <w:rPr>
          <w:sz w:val="18"/>
          <w:szCs w:val="18"/>
        </w:rPr>
        <w:t xml:space="preserve"> ‘WADA statement on AFL cases’ (</w:t>
      </w:r>
      <w:r w:rsidRPr="00DE2606">
        <w:rPr>
          <w:i/>
          <w:sz w:val="18"/>
          <w:szCs w:val="18"/>
        </w:rPr>
        <w:t>World Anti-Doping Agency</w:t>
      </w:r>
      <w:r w:rsidR="007F661B">
        <w:rPr>
          <w:sz w:val="18"/>
          <w:szCs w:val="18"/>
        </w:rPr>
        <w:t>, May 2015) [</w:t>
      </w:r>
      <w:hyperlink r:id="rId34" w:history="1">
        <w:r w:rsidRPr="00DE2606">
          <w:rPr>
            <w:rStyle w:val="Hyperlink"/>
            <w:sz w:val="18"/>
            <w:szCs w:val="18"/>
          </w:rPr>
          <w:t>www.wada-ama.org/en/media/news/2015-05/wada-statement-on-afl-cases</w:t>
        </w:r>
      </w:hyperlink>
      <w:r w:rsidR="007F661B">
        <w:rPr>
          <w:sz w:val="18"/>
          <w:szCs w:val="18"/>
        </w:rPr>
        <w:t>]</w:t>
      </w:r>
    </w:p>
  </w:footnote>
  <w:footnote w:id="76">
    <w:p w14:paraId="6B204F6F" w14:textId="3B01AF4C" w:rsidR="009A6804" w:rsidRPr="00DE2606" w:rsidRDefault="009A6804" w:rsidP="00DE2606">
      <w:pPr>
        <w:pStyle w:val="FootnoteText"/>
        <w:spacing w:after="40"/>
        <w:rPr>
          <w:sz w:val="18"/>
          <w:szCs w:val="18"/>
        </w:rPr>
      </w:pPr>
      <w:r w:rsidRPr="00DE2606">
        <w:rPr>
          <w:rStyle w:val="FootnoteReference"/>
          <w:sz w:val="18"/>
          <w:szCs w:val="18"/>
        </w:rPr>
        <w:footnoteRef/>
      </w:r>
      <w:r w:rsidRPr="00DE2606">
        <w:rPr>
          <w:sz w:val="18"/>
          <w:szCs w:val="18"/>
        </w:rPr>
        <w:t xml:space="preserve"> Niall (n72).</w:t>
      </w:r>
      <w:r w:rsidR="006F0802" w:rsidRPr="00DE2606">
        <w:rPr>
          <w:sz w:val="18"/>
          <w:szCs w:val="18"/>
        </w:rPr>
        <w:t xml:space="preserve"> See also </w:t>
      </w:r>
      <w:r w:rsidR="007F661B">
        <w:rPr>
          <w:sz w:val="18"/>
          <w:szCs w:val="18"/>
        </w:rPr>
        <w:t>(</w:t>
      </w:r>
      <w:r w:rsidR="006F0802" w:rsidRPr="00DE2606">
        <w:rPr>
          <w:sz w:val="18"/>
          <w:szCs w:val="18"/>
        </w:rPr>
        <w:t>n69</w:t>
      </w:r>
      <w:r w:rsidR="007F661B">
        <w:rPr>
          <w:sz w:val="18"/>
          <w:szCs w:val="18"/>
        </w:rPr>
        <w:t>)</w:t>
      </w:r>
      <w:r w:rsidR="006F0802" w:rsidRPr="00DE2606">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34177" w14:textId="77777777" w:rsidR="00D7483D" w:rsidRDefault="00D74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22603"/>
      <w:docPartObj>
        <w:docPartGallery w:val="Page Numbers (Top of Page)"/>
        <w:docPartUnique/>
      </w:docPartObj>
    </w:sdtPr>
    <w:sdtEndPr/>
    <w:sdtContent>
      <w:p w14:paraId="6C967DB9" w14:textId="77777777" w:rsidR="00060B7E" w:rsidRDefault="00060B7E" w:rsidP="00060B7E">
        <w:pPr>
          <w:pStyle w:val="Header"/>
          <w:tabs>
            <w:tab w:val="left" w:pos="7938"/>
          </w:tabs>
          <w:jc w:val="right"/>
          <w:rPr>
            <w:b/>
            <w:bCs/>
            <w:sz w:val="24"/>
            <w:szCs w:val="24"/>
          </w:rPr>
        </w:pPr>
        <w:r>
          <w:rPr>
            <w:noProof/>
            <w:lang w:eastAsia="en-GB"/>
          </w:rPr>
          <w:drawing>
            <wp:anchor distT="0" distB="0" distL="114300" distR="114300" simplePos="0" relativeHeight="251671040" behindDoc="1" locked="0" layoutInCell="1" allowOverlap="0" wp14:anchorId="62ACD6AA" wp14:editId="1BB42A7A">
              <wp:simplePos x="0" y="0"/>
              <wp:positionH relativeFrom="page">
                <wp:posOffset>-28575</wp:posOffset>
              </wp:positionH>
              <wp:positionV relativeFrom="page">
                <wp:posOffset>250190</wp:posOffset>
              </wp:positionV>
              <wp:extent cx="7560000" cy="722299"/>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titl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22299"/>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D7483D">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483D">
          <w:rPr>
            <w:b/>
            <w:bCs/>
            <w:noProof/>
          </w:rPr>
          <w:t>17</w:t>
        </w:r>
        <w:r>
          <w:rPr>
            <w:b/>
            <w:bCs/>
            <w:sz w:val="24"/>
            <w:szCs w:val="24"/>
          </w:rPr>
          <w:fldChar w:fldCharType="end"/>
        </w:r>
      </w:p>
      <w:p w14:paraId="646206C2" w14:textId="77777777" w:rsidR="00060B7E" w:rsidRDefault="00060B7E" w:rsidP="00DE2606">
        <w:pPr>
          <w:pStyle w:val="Header"/>
          <w:jc w:val="right"/>
          <w:rPr>
            <w:b/>
            <w:bCs/>
            <w:sz w:val="24"/>
            <w:szCs w:val="24"/>
          </w:rPr>
        </w:pPr>
      </w:p>
      <w:p w14:paraId="1FAA37B1" w14:textId="4B5E98CC" w:rsidR="00060B7E" w:rsidRDefault="00D7483D" w:rsidP="00D7483D">
        <w:pPr>
          <w:pStyle w:val="Header"/>
          <w:tabs>
            <w:tab w:val="left" w:pos="5820"/>
          </w:tabs>
          <w:rPr>
            <w:b/>
            <w:bCs/>
            <w:sz w:val="24"/>
            <w:szCs w:val="24"/>
          </w:rPr>
        </w:pPr>
        <w:r>
          <w:rPr>
            <w:b/>
            <w:bCs/>
            <w:sz w:val="24"/>
            <w:szCs w:val="24"/>
          </w:rPr>
          <w:tab/>
        </w:r>
        <w:r>
          <w:rPr>
            <w:b/>
            <w:bCs/>
            <w:sz w:val="24"/>
            <w:szCs w:val="24"/>
          </w:rPr>
          <w:tab/>
        </w:r>
        <w:r>
          <w:rPr>
            <w:b/>
            <w:bCs/>
            <w:sz w:val="24"/>
            <w:szCs w:val="24"/>
          </w:rPr>
          <w:tab/>
        </w:r>
      </w:p>
      <w:p w14:paraId="60273466" w14:textId="77777777" w:rsidR="00060B7E" w:rsidRDefault="00D7483D" w:rsidP="00DE2606">
        <w:pPr>
          <w:pStyle w:val="Header"/>
        </w:pPr>
      </w:p>
    </w:sdtContent>
  </w:sdt>
  <w:p w14:paraId="5B12289C" w14:textId="77777777" w:rsidR="00060B7E" w:rsidRPr="00DE2606" w:rsidRDefault="00060B7E" w:rsidP="00DE26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B65EF" w14:textId="77777777" w:rsidR="00060B7E" w:rsidRDefault="00060B7E" w:rsidP="00DE2606">
    <w:pPr>
      <w:spacing w:after="0"/>
      <w:ind w:right="2246"/>
      <w:rPr>
        <w:b/>
        <w:sz w:val="32"/>
        <w:u w:val="single"/>
      </w:rPr>
    </w:pPr>
  </w:p>
  <w:p w14:paraId="45024E67" w14:textId="77777777" w:rsidR="00060B7E" w:rsidRDefault="00060B7E" w:rsidP="00DE2606">
    <w:pPr>
      <w:spacing w:after="0"/>
      <w:ind w:right="2246"/>
      <w:rPr>
        <w:b/>
        <w:sz w:val="32"/>
        <w:u w:val="single"/>
      </w:rPr>
    </w:pPr>
    <w:bookmarkStart w:id="0" w:name="_GoBack"/>
    <w:r>
      <w:rPr>
        <w:b/>
        <w:noProof/>
        <w:sz w:val="32"/>
        <w:u w:val="single"/>
        <w:lang w:eastAsia="en-GB"/>
      </w:rPr>
      <w:drawing>
        <wp:anchor distT="0" distB="0" distL="114300" distR="114300" simplePos="0" relativeHeight="251699712" behindDoc="0" locked="0" layoutInCell="1" allowOverlap="1" wp14:anchorId="0587A68A" wp14:editId="400CB78D">
          <wp:simplePos x="0" y="0"/>
          <wp:positionH relativeFrom="page">
            <wp:posOffset>0</wp:posOffset>
          </wp:positionH>
          <wp:positionV relativeFrom="page">
            <wp:posOffset>144145</wp:posOffset>
          </wp:positionV>
          <wp:extent cx="7560000" cy="1618116"/>
          <wp:effectExtent l="0" t="0" r="952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 for International Sports Law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618116"/>
                  </a:xfrm>
                  <a:prstGeom prst="rect">
                    <a:avLst/>
                  </a:prstGeom>
                </pic:spPr>
              </pic:pic>
            </a:graphicData>
          </a:graphic>
        </wp:anchor>
      </w:drawing>
    </w:r>
    <w:bookmarkEnd w:id="0"/>
  </w:p>
  <w:p w14:paraId="04869153" w14:textId="77777777" w:rsidR="00060B7E" w:rsidRDefault="00060B7E" w:rsidP="00DE2606">
    <w:pPr>
      <w:spacing w:after="0"/>
      <w:ind w:right="2246"/>
      <w:rPr>
        <w:b/>
        <w:sz w:val="32"/>
        <w:u w:val="single"/>
      </w:rPr>
    </w:pPr>
  </w:p>
  <w:p w14:paraId="3981D0B4" w14:textId="77777777" w:rsidR="00060B7E" w:rsidRDefault="00060B7E" w:rsidP="00DE2606">
    <w:pPr>
      <w:spacing w:after="0"/>
      <w:ind w:right="2246"/>
      <w:rPr>
        <w:b/>
        <w:sz w:val="32"/>
        <w:u w:val="single"/>
      </w:rPr>
    </w:pPr>
  </w:p>
  <w:p w14:paraId="44306208" w14:textId="77777777" w:rsidR="00060B7E" w:rsidRDefault="00060B7E" w:rsidP="00DE2606">
    <w:pPr>
      <w:spacing w:after="0"/>
      <w:ind w:right="2246"/>
      <w:rPr>
        <w:b/>
        <w:sz w:val="32"/>
        <w:u w:val="single"/>
      </w:rPr>
    </w:pPr>
  </w:p>
  <w:p w14:paraId="0F2DA22E" w14:textId="77777777" w:rsidR="00060B7E" w:rsidRPr="008F6097" w:rsidRDefault="00060B7E" w:rsidP="00DE2606">
    <w:pPr>
      <w:spacing w:after="0"/>
      <w:ind w:right="-602"/>
      <w:rPr>
        <w:sz w:val="10"/>
      </w:rPr>
    </w:pP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r w:rsidRPr="008F6097">
      <w:rPr>
        <w:sz w:val="10"/>
      </w:rPr>
      <w:tab/>
    </w:r>
  </w:p>
  <w:p w14:paraId="64B366F2" w14:textId="77777777" w:rsidR="00060B7E" w:rsidRDefault="00060B7E" w:rsidP="00DE2606">
    <w:pPr>
      <w:spacing w:after="0"/>
      <w:ind w:right="-319"/>
      <w:rPr>
        <w:i/>
        <w:sz w:val="20"/>
        <w:szCs w:val="20"/>
      </w:rPr>
    </w:pPr>
    <w:r w:rsidRPr="002F02F8">
      <w:rPr>
        <w:sz w:val="20"/>
        <w:szCs w:val="20"/>
      </w:rPr>
      <w:t xml:space="preserve">(Cite as: </w:t>
    </w:r>
    <w:r>
      <w:rPr>
        <w:i/>
        <w:sz w:val="20"/>
        <w:szCs w:val="20"/>
      </w:rPr>
      <w:t>Laws of the Game,</w:t>
    </w:r>
    <w:r w:rsidRPr="002F02F8">
      <w:rPr>
        <w:sz w:val="20"/>
        <w:szCs w:val="20"/>
      </w:rPr>
      <w:t xml:space="preserve"> </w:t>
    </w:r>
    <w:r w:rsidRPr="00CC2788">
      <w:rPr>
        <w:sz w:val="20"/>
        <w:szCs w:val="20"/>
      </w:rPr>
      <w:t xml:space="preserve">ISSN: </w:t>
    </w:r>
    <w:r w:rsidRPr="007654D2">
      <w:rPr>
        <w:sz w:val="20"/>
        <w:szCs w:val="20"/>
      </w:rPr>
      <w:t>2058-7244</w:t>
    </w:r>
    <w:r w:rsidRPr="007654D2">
      <w:rPr>
        <w:i/>
        <w:sz w:val="20"/>
        <w:szCs w:val="20"/>
      </w:rPr>
      <w:t>)</w:t>
    </w:r>
    <w:r w:rsidRPr="00A47585">
      <w:t xml:space="preserve"> </w:t>
    </w:r>
  </w:p>
  <w:p w14:paraId="51814082" w14:textId="77777777" w:rsidR="00060B7E" w:rsidRDefault="00060B7E" w:rsidP="00DE2606">
    <w:pPr>
      <w:spacing w:after="0"/>
      <w:ind w:right="-602"/>
      <w:rPr>
        <w:i/>
        <w:color w:val="00B0F0"/>
        <w:sz w:val="12"/>
        <w:szCs w:val="12"/>
      </w:rPr>
    </w:pPr>
  </w:p>
  <w:p w14:paraId="669498F6" w14:textId="77777777" w:rsidR="00060B7E" w:rsidRDefault="00060B7E" w:rsidP="00DE2606">
    <w:pPr>
      <w:pStyle w:val="Header"/>
    </w:pPr>
  </w:p>
  <w:p w14:paraId="6DBCF81F" w14:textId="77777777" w:rsidR="00060B7E" w:rsidRDefault="00060B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C4611"/>
    <w:multiLevelType w:val="hybridMultilevel"/>
    <w:tmpl w:val="DCCC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D1DF1"/>
    <w:multiLevelType w:val="hybridMultilevel"/>
    <w:tmpl w:val="B5EC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16C8A"/>
    <w:multiLevelType w:val="hybridMultilevel"/>
    <w:tmpl w:val="669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80C1E"/>
    <w:multiLevelType w:val="hybridMultilevel"/>
    <w:tmpl w:val="266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24ADF"/>
    <w:multiLevelType w:val="hybridMultilevel"/>
    <w:tmpl w:val="3E326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43C1C"/>
    <w:multiLevelType w:val="hybridMultilevel"/>
    <w:tmpl w:val="6674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6149F"/>
    <w:multiLevelType w:val="hybridMultilevel"/>
    <w:tmpl w:val="A1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4C71DC"/>
    <w:multiLevelType w:val="hybridMultilevel"/>
    <w:tmpl w:val="C8CE3B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F37545"/>
    <w:multiLevelType w:val="hybridMultilevel"/>
    <w:tmpl w:val="6F46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E499F"/>
    <w:multiLevelType w:val="hybridMultilevel"/>
    <w:tmpl w:val="4BC2E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2536A"/>
    <w:multiLevelType w:val="hybridMultilevel"/>
    <w:tmpl w:val="A074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B2E0B"/>
    <w:multiLevelType w:val="hybridMultilevel"/>
    <w:tmpl w:val="0D329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245F0"/>
    <w:multiLevelType w:val="hybridMultilevel"/>
    <w:tmpl w:val="8748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D07CC"/>
    <w:multiLevelType w:val="hybridMultilevel"/>
    <w:tmpl w:val="8AE6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E74E56"/>
    <w:multiLevelType w:val="hybridMultilevel"/>
    <w:tmpl w:val="03FE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843259"/>
    <w:multiLevelType w:val="hybridMultilevel"/>
    <w:tmpl w:val="76B6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D808DD"/>
    <w:multiLevelType w:val="hybridMultilevel"/>
    <w:tmpl w:val="5352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6"/>
  </w:num>
  <w:num w:numId="5">
    <w:abstractNumId w:val="13"/>
  </w:num>
  <w:num w:numId="6">
    <w:abstractNumId w:val="12"/>
  </w:num>
  <w:num w:numId="7">
    <w:abstractNumId w:val="8"/>
  </w:num>
  <w:num w:numId="8">
    <w:abstractNumId w:val="10"/>
  </w:num>
  <w:num w:numId="9">
    <w:abstractNumId w:val="15"/>
  </w:num>
  <w:num w:numId="10">
    <w:abstractNumId w:val="2"/>
  </w:num>
  <w:num w:numId="11">
    <w:abstractNumId w:val="14"/>
  </w:num>
  <w:num w:numId="12">
    <w:abstractNumId w:val="11"/>
  </w:num>
  <w:num w:numId="13">
    <w:abstractNumId w:val="7"/>
  </w:num>
  <w:num w:numId="14">
    <w:abstractNumId w:val="0"/>
  </w:num>
  <w:num w:numId="15">
    <w:abstractNumId w:val="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o:colormenu v:ext="edit" fill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B7"/>
    <w:rsid w:val="00005A8E"/>
    <w:rsid w:val="00017079"/>
    <w:rsid w:val="000338D9"/>
    <w:rsid w:val="00041113"/>
    <w:rsid w:val="000479C8"/>
    <w:rsid w:val="000533BC"/>
    <w:rsid w:val="00056CCE"/>
    <w:rsid w:val="00060B7E"/>
    <w:rsid w:val="00067697"/>
    <w:rsid w:val="00070D15"/>
    <w:rsid w:val="00074E91"/>
    <w:rsid w:val="00093913"/>
    <w:rsid w:val="000A081C"/>
    <w:rsid w:val="000B71F6"/>
    <w:rsid w:val="000C2AE0"/>
    <w:rsid w:val="000C4C5B"/>
    <w:rsid w:val="000C5AA6"/>
    <w:rsid w:val="000E15DE"/>
    <w:rsid w:val="000E3E75"/>
    <w:rsid w:val="000E4A50"/>
    <w:rsid w:val="000F2208"/>
    <w:rsid w:val="000F4AD4"/>
    <w:rsid w:val="001011F5"/>
    <w:rsid w:val="0010152C"/>
    <w:rsid w:val="00102F3C"/>
    <w:rsid w:val="00106DB7"/>
    <w:rsid w:val="00117C67"/>
    <w:rsid w:val="00125578"/>
    <w:rsid w:val="00126A27"/>
    <w:rsid w:val="00144A14"/>
    <w:rsid w:val="0015195D"/>
    <w:rsid w:val="0016143A"/>
    <w:rsid w:val="00171E20"/>
    <w:rsid w:val="00183431"/>
    <w:rsid w:val="001840A8"/>
    <w:rsid w:val="00184B9F"/>
    <w:rsid w:val="0019052A"/>
    <w:rsid w:val="00191405"/>
    <w:rsid w:val="00196042"/>
    <w:rsid w:val="001A1F3C"/>
    <w:rsid w:val="001D510B"/>
    <w:rsid w:val="001E61CB"/>
    <w:rsid w:val="002044C3"/>
    <w:rsid w:val="002158C7"/>
    <w:rsid w:val="002264A1"/>
    <w:rsid w:val="00242BB7"/>
    <w:rsid w:val="00252EF2"/>
    <w:rsid w:val="002638CD"/>
    <w:rsid w:val="00272D54"/>
    <w:rsid w:val="00274B1F"/>
    <w:rsid w:val="002759D0"/>
    <w:rsid w:val="00282906"/>
    <w:rsid w:val="002A0AA6"/>
    <w:rsid w:val="002A469D"/>
    <w:rsid w:val="002B0A45"/>
    <w:rsid w:val="002B4B5D"/>
    <w:rsid w:val="002D260A"/>
    <w:rsid w:val="002D7D69"/>
    <w:rsid w:val="002E1574"/>
    <w:rsid w:val="002E41F1"/>
    <w:rsid w:val="002E5EF3"/>
    <w:rsid w:val="002E6A33"/>
    <w:rsid w:val="002F02F8"/>
    <w:rsid w:val="00316924"/>
    <w:rsid w:val="00340242"/>
    <w:rsid w:val="00345500"/>
    <w:rsid w:val="0035149A"/>
    <w:rsid w:val="00353C0C"/>
    <w:rsid w:val="00353F79"/>
    <w:rsid w:val="00374A4E"/>
    <w:rsid w:val="003963E2"/>
    <w:rsid w:val="003B2B95"/>
    <w:rsid w:val="003B2DB4"/>
    <w:rsid w:val="003B57CE"/>
    <w:rsid w:val="003C1384"/>
    <w:rsid w:val="003C1AEF"/>
    <w:rsid w:val="003D639C"/>
    <w:rsid w:val="003D7860"/>
    <w:rsid w:val="003F22FC"/>
    <w:rsid w:val="003F685B"/>
    <w:rsid w:val="003F7538"/>
    <w:rsid w:val="003F79CE"/>
    <w:rsid w:val="004120BA"/>
    <w:rsid w:val="00413257"/>
    <w:rsid w:val="004223B5"/>
    <w:rsid w:val="0042254C"/>
    <w:rsid w:val="004356AC"/>
    <w:rsid w:val="00435A17"/>
    <w:rsid w:val="00437495"/>
    <w:rsid w:val="00446F19"/>
    <w:rsid w:val="0047344C"/>
    <w:rsid w:val="0047557B"/>
    <w:rsid w:val="00476FE0"/>
    <w:rsid w:val="00492B24"/>
    <w:rsid w:val="0049472E"/>
    <w:rsid w:val="00496324"/>
    <w:rsid w:val="004A1CF2"/>
    <w:rsid w:val="004B3841"/>
    <w:rsid w:val="004B47EC"/>
    <w:rsid w:val="004B4B67"/>
    <w:rsid w:val="004B7F97"/>
    <w:rsid w:val="004C1BE7"/>
    <w:rsid w:val="004D0BC7"/>
    <w:rsid w:val="004D1B3B"/>
    <w:rsid w:val="004F0573"/>
    <w:rsid w:val="00500566"/>
    <w:rsid w:val="00501C38"/>
    <w:rsid w:val="0050516F"/>
    <w:rsid w:val="00511416"/>
    <w:rsid w:val="005235E2"/>
    <w:rsid w:val="00524837"/>
    <w:rsid w:val="005342AD"/>
    <w:rsid w:val="00555263"/>
    <w:rsid w:val="005632AD"/>
    <w:rsid w:val="00564554"/>
    <w:rsid w:val="00582AFC"/>
    <w:rsid w:val="00591824"/>
    <w:rsid w:val="005A1465"/>
    <w:rsid w:val="005A7410"/>
    <w:rsid w:val="005B6729"/>
    <w:rsid w:val="005C2941"/>
    <w:rsid w:val="005C7E09"/>
    <w:rsid w:val="005E1221"/>
    <w:rsid w:val="005E4F19"/>
    <w:rsid w:val="005E56AB"/>
    <w:rsid w:val="005F123F"/>
    <w:rsid w:val="005F4355"/>
    <w:rsid w:val="005F57A1"/>
    <w:rsid w:val="00601959"/>
    <w:rsid w:val="0060222A"/>
    <w:rsid w:val="0061110F"/>
    <w:rsid w:val="006159C7"/>
    <w:rsid w:val="00616368"/>
    <w:rsid w:val="00621C2A"/>
    <w:rsid w:val="00624DC5"/>
    <w:rsid w:val="00625F9F"/>
    <w:rsid w:val="00631A06"/>
    <w:rsid w:val="00635496"/>
    <w:rsid w:val="00641CD6"/>
    <w:rsid w:val="00646F2D"/>
    <w:rsid w:val="00651FB4"/>
    <w:rsid w:val="006711CD"/>
    <w:rsid w:val="00685164"/>
    <w:rsid w:val="006E0419"/>
    <w:rsid w:val="006E69A4"/>
    <w:rsid w:val="006F0802"/>
    <w:rsid w:val="006F1A9E"/>
    <w:rsid w:val="006F5D72"/>
    <w:rsid w:val="00712DA5"/>
    <w:rsid w:val="00714D28"/>
    <w:rsid w:val="007340E0"/>
    <w:rsid w:val="00736B72"/>
    <w:rsid w:val="00736E1C"/>
    <w:rsid w:val="00747FC7"/>
    <w:rsid w:val="007519F2"/>
    <w:rsid w:val="007603A0"/>
    <w:rsid w:val="00765EF1"/>
    <w:rsid w:val="0079372B"/>
    <w:rsid w:val="007A2BDF"/>
    <w:rsid w:val="007A4861"/>
    <w:rsid w:val="007A48F3"/>
    <w:rsid w:val="007A60DA"/>
    <w:rsid w:val="007C6792"/>
    <w:rsid w:val="007F26D4"/>
    <w:rsid w:val="007F306F"/>
    <w:rsid w:val="007F661B"/>
    <w:rsid w:val="008044A3"/>
    <w:rsid w:val="00820D60"/>
    <w:rsid w:val="00824680"/>
    <w:rsid w:val="0083182C"/>
    <w:rsid w:val="0083406A"/>
    <w:rsid w:val="0084340A"/>
    <w:rsid w:val="00854C94"/>
    <w:rsid w:val="00860A35"/>
    <w:rsid w:val="008762B5"/>
    <w:rsid w:val="00880598"/>
    <w:rsid w:val="0089338C"/>
    <w:rsid w:val="008A69CE"/>
    <w:rsid w:val="008E3425"/>
    <w:rsid w:val="008E467C"/>
    <w:rsid w:val="008F15BD"/>
    <w:rsid w:val="008F6400"/>
    <w:rsid w:val="00902C1A"/>
    <w:rsid w:val="00923828"/>
    <w:rsid w:val="0092443A"/>
    <w:rsid w:val="009331F0"/>
    <w:rsid w:val="009400B9"/>
    <w:rsid w:val="009445B9"/>
    <w:rsid w:val="00950B72"/>
    <w:rsid w:val="00951430"/>
    <w:rsid w:val="0095436A"/>
    <w:rsid w:val="00966435"/>
    <w:rsid w:val="00967151"/>
    <w:rsid w:val="00971CAF"/>
    <w:rsid w:val="00973C78"/>
    <w:rsid w:val="0099165D"/>
    <w:rsid w:val="0099235C"/>
    <w:rsid w:val="00994CB9"/>
    <w:rsid w:val="009A0AE4"/>
    <w:rsid w:val="009A18B7"/>
    <w:rsid w:val="009A25AC"/>
    <w:rsid w:val="009A6804"/>
    <w:rsid w:val="009B76BE"/>
    <w:rsid w:val="009C36EB"/>
    <w:rsid w:val="009C7A74"/>
    <w:rsid w:val="00A06ECE"/>
    <w:rsid w:val="00A07A8F"/>
    <w:rsid w:val="00A1709A"/>
    <w:rsid w:val="00A268AC"/>
    <w:rsid w:val="00A30217"/>
    <w:rsid w:val="00A33938"/>
    <w:rsid w:val="00A34C07"/>
    <w:rsid w:val="00A5320A"/>
    <w:rsid w:val="00A62556"/>
    <w:rsid w:val="00A7437B"/>
    <w:rsid w:val="00A74998"/>
    <w:rsid w:val="00A75F26"/>
    <w:rsid w:val="00A81C15"/>
    <w:rsid w:val="00AA6333"/>
    <w:rsid w:val="00AA7B6D"/>
    <w:rsid w:val="00AB062C"/>
    <w:rsid w:val="00AC23B9"/>
    <w:rsid w:val="00AC3E58"/>
    <w:rsid w:val="00AD2B92"/>
    <w:rsid w:val="00AD6676"/>
    <w:rsid w:val="00AE1891"/>
    <w:rsid w:val="00AF0AC7"/>
    <w:rsid w:val="00B11EC3"/>
    <w:rsid w:val="00B4414C"/>
    <w:rsid w:val="00B47500"/>
    <w:rsid w:val="00B8169A"/>
    <w:rsid w:val="00B81C00"/>
    <w:rsid w:val="00B93EF3"/>
    <w:rsid w:val="00B96279"/>
    <w:rsid w:val="00B975DD"/>
    <w:rsid w:val="00BA7F0E"/>
    <w:rsid w:val="00BB0A1E"/>
    <w:rsid w:val="00BB1C5E"/>
    <w:rsid w:val="00BB2EBC"/>
    <w:rsid w:val="00BC3187"/>
    <w:rsid w:val="00BD1C36"/>
    <w:rsid w:val="00BE0B3B"/>
    <w:rsid w:val="00BE767C"/>
    <w:rsid w:val="00BF06D0"/>
    <w:rsid w:val="00BF3E13"/>
    <w:rsid w:val="00BF6849"/>
    <w:rsid w:val="00BF6E0C"/>
    <w:rsid w:val="00C21564"/>
    <w:rsid w:val="00C25E0A"/>
    <w:rsid w:val="00C26985"/>
    <w:rsid w:val="00C42BBF"/>
    <w:rsid w:val="00C507AB"/>
    <w:rsid w:val="00C54DA1"/>
    <w:rsid w:val="00C71733"/>
    <w:rsid w:val="00C752C8"/>
    <w:rsid w:val="00C8565F"/>
    <w:rsid w:val="00C871AB"/>
    <w:rsid w:val="00CB40B1"/>
    <w:rsid w:val="00CC69B5"/>
    <w:rsid w:val="00CF05FD"/>
    <w:rsid w:val="00CF47AC"/>
    <w:rsid w:val="00CF6AC2"/>
    <w:rsid w:val="00D15A12"/>
    <w:rsid w:val="00D20235"/>
    <w:rsid w:val="00D20837"/>
    <w:rsid w:val="00D219CA"/>
    <w:rsid w:val="00D22DD3"/>
    <w:rsid w:val="00D41E2E"/>
    <w:rsid w:val="00D447EE"/>
    <w:rsid w:val="00D47527"/>
    <w:rsid w:val="00D519D7"/>
    <w:rsid w:val="00D52601"/>
    <w:rsid w:val="00D72014"/>
    <w:rsid w:val="00D7483D"/>
    <w:rsid w:val="00D92B58"/>
    <w:rsid w:val="00DA386D"/>
    <w:rsid w:val="00DA63BE"/>
    <w:rsid w:val="00DA66C4"/>
    <w:rsid w:val="00DC0DD1"/>
    <w:rsid w:val="00DC2C65"/>
    <w:rsid w:val="00DE2606"/>
    <w:rsid w:val="00DE2898"/>
    <w:rsid w:val="00DE5938"/>
    <w:rsid w:val="00DE680A"/>
    <w:rsid w:val="00DE71EE"/>
    <w:rsid w:val="00E23CBB"/>
    <w:rsid w:val="00E31504"/>
    <w:rsid w:val="00E328BF"/>
    <w:rsid w:val="00E555FF"/>
    <w:rsid w:val="00E55D9F"/>
    <w:rsid w:val="00E6432D"/>
    <w:rsid w:val="00E66092"/>
    <w:rsid w:val="00E77687"/>
    <w:rsid w:val="00EA025F"/>
    <w:rsid w:val="00EA36BC"/>
    <w:rsid w:val="00EA6F7E"/>
    <w:rsid w:val="00EB1024"/>
    <w:rsid w:val="00EB590C"/>
    <w:rsid w:val="00ED037A"/>
    <w:rsid w:val="00ED3DB1"/>
    <w:rsid w:val="00EE4136"/>
    <w:rsid w:val="00EE6719"/>
    <w:rsid w:val="00EF6A86"/>
    <w:rsid w:val="00F0246F"/>
    <w:rsid w:val="00F06B15"/>
    <w:rsid w:val="00F17134"/>
    <w:rsid w:val="00F3565B"/>
    <w:rsid w:val="00F409BF"/>
    <w:rsid w:val="00F941AF"/>
    <w:rsid w:val="00F95DA9"/>
    <w:rsid w:val="00F978BB"/>
    <w:rsid w:val="00FB3773"/>
    <w:rsid w:val="00FB7A2A"/>
    <w:rsid w:val="00FC07DE"/>
    <w:rsid w:val="00FC14AD"/>
    <w:rsid w:val="00FD071E"/>
    <w:rsid w:val="00FE0EA9"/>
    <w:rsid w:val="00FE6207"/>
    <w:rsid w:val="00FE6C41"/>
    <w:rsid w:val="00FE72B8"/>
    <w:rsid w:val="00FF5692"/>
    <w:rsid w:val="00FF76B7"/>
    <w:rsid w:val="165B3837"/>
    <w:rsid w:val="750896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enu v:ext="edit" fillcolor="none [2732]"/>
    </o:shapedefaults>
    <o:shapelayout v:ext="edit">
      <o:idmap v:ext="edit" data="1"/>
    </o:shapelayout>
  </w:shapeDefaults>
  <w:decimalSymbol w:val="."/>
  <w:listSeparator w:val=","/>
  <w14:docId w14:val="0C9ADE6E"/>
  <w15:docId w15:val="{400AD110-3D04-4442-97CA-34F69070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9CE"/>
  </w:style>
  <w:style w:type="paragraph" w:styleId="Heading1">
    <w:name w:val="heading 1"/>
    <w:basedOn w:val="Normal"/>
    <w:link w:val="Heading1Char"/>
    <w:uiPriority w:val="9"/>
    <w:qFormat/>
    <w:rsid w:val="009A18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60A"/>
  </w:style>
  <w:style w:type="paragraph" w:styleId="Footer">
    <w:name w:val="footer"/>
    <w:basedOn w:val="Normal"/>
    <w:link w:val="FooterChar"/>
    <w:uiPriority w:val="99"/>
    <w:unhideWhenUsed/>
    <w:rsid w:val="002D2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60A"/>
  </w:style>
  <w:style w:type="paragraph" w:styleId="BalloonText">
    <w:name w:val="Balloon Text"/>
    <w:basedOn w:val="Normal"/>
    <w:link w:val="BalloonTextChar"/>
    <w:uiPriority w:val="99"/>
    <w:semiHidden/>
    <w:unhideWhenUsed/>
    <w:rsid w:val="002D2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60A"/>
    <w:rPr>
      <w:rFonts w:ascii="Tahoma" w:hAnsi="Tahoma" w:cs="Tahoma"/>
      <w:sz w:val="16"/>
      <w:szCs w:val="16"/>
    </w:rPr>
  </w:style>
  <w:style w:type="table" w:styleId="TableGrid">
    <w:name w:val="Table Grid"/>
    <w:basedOn w:val="TableNormal"/>
    <w:uiPriority w:val="59"/>
    <w:rsid w:val="00D5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5EF3"/>
    <w:rPr>
      <w:sz w:val="16"/>
      <w:szCs w:val="16"/>
    </w:rPr>
  </w:style>
  <w:style w:type="paragraph" w:styleId="CommentText">
    <w:name w:val="annotation text"/>
    <w:basedOn w:val="Normal"/>
    <w:link w:val="CommentTextChar"/>
    <w:uiPriority w:val="99"/>
    <w:semiHidden/>
    <w:unhideWhenUsed/>
    <w:rsid w:val="002E5EF3"/>
    <w:pPr>
      <w:spacing w:line="240" w:lineRule="auto"/>
    </w:pPr>
    <w:rPr>
      <w:sz w:val="20"/>
      <w:szCs w:val="20"/>
    </w:rPr>
  </w:style>
  <w:style w:type="character" w:customStyle="1" w:styleId="CommentTextChar">
    <w:name w:val="Comment Text Char"/>
    <w:basedOn w:val="DefaultParagraphFont"/>
    <w:link w:val="CommentText"/>
    <w:uiPriority w:val="99"/>
    <w:semiHidden/>
    <w:rsid w:val="002E5EF3"/>
    <w:rPr>
      <w:sz w:val="20"/>
      <w:szCs w:val="20"/>
    </w:rPr>
  </w:style>
  <w:style w:type="paragraph" w:styleId="CommentSubject">
    <w:name w:val="annotation subject"/>
    <w:basedOn w:val="CommentText"/>
    <w:next w:val="CommentText"/>
    <w:link w:val="CommentSubjectChar"/>
    <w:uiPriority w:val="99"/>
    <w:semiHidden/>
    <w:unhideWhenUsed/>
    <w:rsid w:val="002E5EF3"/>
    <w:rPr>
      <w:b/>
      <w:bCs/>
    </w:rPr>
  </w:style>
  <w:style w:type="character" w:customStyle="1" w:styleId="CommentSubjectChar">
    <w:name w:val="Comment Subject Char"/>
    <w:basedOn w:val="CommentTextChar"/>
    <w:link w:val="CommentSubject"/>
    <w:uiPriority w:val="99"/>
    <w:semiHidden/>
    <w:rsid w:val="002E5EF3"/>
    <w:rPr>
      <w:b/>
      <w:bCs/>
      <w:sz w:val="20"/>
      <w:szCs w:val="20"/>
    </w:rPr>
  </w:style>
  <w:style w:type="character" w:styleId="Hyperlink">
    <w:name w:val="Hyperlink"/>
    <w:basedOn w:val="DefaultParagraphFont"/>
    <w:uiPriority w:val="99"/>
    <w:unhideWhenUsed/>
    <w:rsid w:val="00625F9F"/>
    <w:rPr>
      <w:color w:val="0000FF" w:themeColor="hyperlink"/>
      <w:u w:val="single"/>
    </w:rPr>
  </w:style>
  <w:style w:type="paragraph" w:styleId="NormalWeb">
    <w:name w:val="Normal (Web)"/>
    <w:basedOn w:val="Normal"/>
    <w:uiPriority w:val="99"/>
    <w:unhideWhenUsed/>
    <w:rsid w:val="002B0A45"/>
    <w:pPr>
      <w:spacing w:after="210" w:line="210" w:lineRule="atLeast"/>
      <w:jc w:val="both"/>
    </w:pPr>
    <w:rPr>
      <w:rFonts w:ascii="Times New Roman" w:eastAsia="Times New Roman" w:hAnsi="Times New Roman" w:cs="Times New Roman"/>
      <w:sz w:val="17"/>
      <w:szCs w:val="17"/>
      <w:lang w:eastAsia="en-GB"/>
    </w:rPr>
  </w:style>
  <w:style w:type="paragraph" w:styleId="FootnoteText">
    <w:name w:val="footnote text"/>
    <w:basedOn w:val="Normal"/>
    <w:link w:val="FootnoteTextChar"/>
    <w:uiPriority w:val="99"/>
    <w:unhideWhenUsed/>
    <w:rsid w:val="002B0A45"/>
    <w:pPr>
      <w:spacing w:after="0" w:line="240" w:lineRule="auto"/>
    </w:pPr>
    <w:rPr>
      <w:sz w:val="20"/>
      <w:szCs w:val="20"/>
    </w:rPr>
  </w:style>
  <w:style w:type="character" w:customStyle="1" w:styleId="FootnoteTextChar">
    <w:name w:val="Footnote Text Char"/>
    <w:basedOn w:val="DefaultParagraphFont"/>
    <w:link w:val="FootnoteText"/>
    <w:uiPriority w:val="99"/>
    <w:rsid w:val="002B0A45"/>
    <w:rPr>
      <w:sz w:val="20"/>
      <w:szCs w:val="20"/>
    </w:rPr>
  </w:style>
  <w:style w:type="character" w:styleId="FootnoteReference">
    <w:name w:val="footnote reference"/>
    <w:basedOn w:val="DefaultParagraphFont"/>
    <w:uiPriority w:val="99"/>
    <w:semiHidden/>
    <w:unhideWhenUsed/>
    <w:rsid w:val="002B0A45"/>
    <w:rPr>
      <w:vertAlign w:val="superscript"/>
    </w:rPr>
  </w:style>
  <w:style w:type="character" w:customStyle="1" w:styleId="Heading1Char">
    <w:name w:val="Heading 1 Char"/>
    <w:basedOn w:val="DefaultParagraphFont"/>
    <w:link w:val="Heading1"/>
    <w:uiPriority w:val="9"/>
    <w:rsid w:val="009A18B7"/>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F57A1"/>
    <w:pPr>
      <w:ind w:left="720"/>
      <w:contextualSpacing/>
    </w:pPr>
  </w:style>
  <w:style w:type="character" w:styleId="FollowedHyperlink">
    <w:name w:val="FollowedHyperlink"/>
    <w:basedOn w:val="DefaultParagraphFont"/>
    <w:uiPriority w:val="99"/>
    <w:semiHidden/>
    <w:unhideWhenUsed/>
    <w:rsid w:val="00E660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914714">
      <w:bodyDiv w:val="1"/>
      <w:marLeft w:val="0"/>
      <w:marRight w:val="0"/>
      <w:marTop w:val="0"/>
      <w:marBottom w:val="0"/>
      <w:divBdr>
        <w:top w:val="none" w:sz="0" w:space="0" w:color="auto"/>
        <w:left w:val="none" w:sz="0" w:space="0" w:color="auto"/>
        <w:bottom w:val="none" w:sz="0" w:space="0" w:color="auto"/>
        <w:right w:val="none" w:sz="0" w:space="0" w:color="auto"/>
      </w:divBdr>
      <w:divsChild>
        <w:div w:id="927932702">
          <w:marLeft w:val="0"/>
          <w:marRight w:val="0"/>
          <w:marTop w:val="0"/>
          <w:marBottom w:val="0"/>
          <w:divBdr>
            <w:top w:val="none" w:sz="0" w:space="0" w:color="auto"/>
            <w:left w:val="none" w:sz="0" w:space="0" w:color="auto"/>
            <w:bottom w:val="none" w:sz="0" w:space="0" w:color="auto"/>
            <w:right w:val="none" w:sz="0" w:space="0" w:color="auto"/>
          </w:divBdr>
          <w:divsChild>
            <w:div w:id="22735181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932054883">
      <w:bodyDiv w:val="1"/>
      <w:marLeft w:val="0"/>
      <w:marRight w:val="0"/>
      <w:marTop w:val="0"/>
      <w:marBottom w:val="0"/>
      <w:divBdr>
        <w:top w:val="none" w:sz="0" w:space="0" w:color="auto"/>
        <w:left w:val="none" w:sz="0" w:space="0" w:color="auto"/>
        <w:bottom w:val="none" w:sz="0" w:space="0" w:color="auto"/>
        <w:right w:val="none" w:sz="0" w:space="0" w:color="auto"/>
      </w:divBdr>
    </w:div>
    <w:div w:id="1721589111">
      <w:bodyDiv w:val="1"/>
      <w:marLeft w:val="0"/>
      <w:marRight w:val="0"/>
      <w:marTop w:val="0"/>
      <w:marBottom w:val="0"/>
      <w:divBdr>
        <w:top w:val="none" w:sz="0" w:space="0" w:color="auto"/>
        <w:left w:val="none" w:sz="0" w:space="0" w:color="auto"/>
        <w:bottom w:val="none" w:sz="0" w:space="0" w:color="auto"/>
        <w:right w:val="none" w:sz="0" w:space="0" w:color="auto"/>
      </w:divBdr>
      <w:divsChild>
        <w:div w:id="731465824">
          <w:marLeft w:val="547"/>
          <w:marRight w:val="0"/>
          <w:marTop w:val="0"/>
          <w:marBottom w:val="0"/>
          <w:divBdr>
            <w:top w:val="none" w:sz="0" w:space="0" w:color="auto"/>
            <w:left w:val="none" w:sz="0" w:space="0" w:color="auto"/>
            <w:bottom w:val="none" w:sz="0" w:space="0" w:color="auto"/>
            <w:right w:val="none" w:sz="0" w:space="0" w:color="auto"/>
          </w:divBdr>
        </w:div>
        <w:div w:id="1375732712">
          <w:marLeft w:val="547"/>
          <w:marRight w:val="0"/>
          <w:marTop w:val="0"/>
          <w:marBottom w:val="0"/>
          <w:divBdr>
            <w:top w:val="none" w:sz="0" w:space="0" w:color="auto"/>
            <w:left w:val="none" w:sz="0" w:space="0" w:color="auto"/>
            <w:bottom w:val="none" w:sz="0" w:space="0" w:color="auto"/>
            <w:right w:val="none" w:sz="0" w:space="0" w:color="auto"/>
          </w:divBdr>
        </w:div>
      </w:divsChild>
    </w:div>
    <w:div w:id="177020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ffs.ac.uk/cislawrev/edn1f.html" TargetMode="Externa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yperlink" Target="http://www.heraldsun.com.au/sport/afl/timeline-of-events-in-the-essendon-supplements-saga/story-fni5f6kv-1226774541366" TargetMode="External"/><Relationship Id="rId39" Type="http://schemas.openxmlformats.org/officeDocument/2006/relationships/hyperlink" Target="http://wadc-commentary.com/campbell-brown/" TargetMode="External"/><Relationship Id="rId3" Type="http://schemas.openxmlformats.org/officeDocument/2006/relationships/styles" Target="styles.xml"/><Relationship Id="rId21" Type="http://schemas.openxmlformats.org/officeDocument/2006/relationships/hyperlink" Target="http://sports.espn.go.com/oly/cycling/news/story?id=5632256" TargetMode="External"/><Relationship Id="rId34" Type="http://schemas.openxmlformats.org/officeDocument/2006/relationships/hyperlink" Target="http://www.nytimes.com/2010/07/26/sports/cycling/26cycling.html?pagewanted=all&amp;_r=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hyperlink" Target="http://sports.espn.go.com/oly/cycling/news/story?id=6111856" TargetMode="External"/><Relationship Id="rId33" Type="http://schemas.openxmlformats.org/officeDocument/2006/relationships/hyperlink" Target="http://velonews.competitor.com/2007/07/news/on-the-list-off-the-list-alberto-contador-and-operacion-puerto_12964" TargetMode="External"/><Relationship Id="rId38" Type="http://schemas.openxmlformats.org/officeDocument/2006/relationships/hyperlink" Target="http://http:/www.usada.org/us-cycling-athlete-godby-accepts-loss-of-result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www.heraldsun.com.au/sport/afl/afl-issues-essendon-34-with-infraction-notices-bombers-accused-of-using-banned-thymosin-beta4/story-fni5f6kv-122712185916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cyclingnews.com/news/nielsen-not-sanctioned-for-clenbuterol-positive" TargetMode="External"/><Relationship Id="rId32" Type="http://schemas.openxmlformats.org/officeDocument/2006/relationships/hyperlink" Target="http://www.velonation.com/Photos/Photo-Album/mmid/614/mediaid/574.aspx" TargetMode="External"/><Relationship Id="rId37" Type="http://schemas.openxmlformats.org/officeDocument/2006/relationships/hyperlink" Target="http://nyvelocity.com/content/interviews/2012/behind-scenes-contador-cas-hearing-michael-ashenden" TargetMode="External"/><Relationship Id="rId40" Type="http://schemas.openxmlformats.org/officeDocument/2006/relationships/hyperlink" Target="http://www.wada-ama.org/en/media/news/2015-05/wada-statement-on-afl-case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plymouthherald.co.uk/EXCLUSIVE-Jon-Tiernan-Locke-t-afford-clear/story-22783784-detail/story.html" TargetMode="External"/><Relationship Id="rId28" Type="http://schemas.openxmlformats.org/officeDocument/2006/relationships/hyperlink" Target="http://www.velonation.com/News/ID/7220/Alberto-Contador-given-one-year-ban-by-Spanish-Federation.aspx" TargetMode="External"/><Relationship Id="rId36" Type="http://schemas.openxmlformats.org/officeDocument/2006/relationships/hyperlink" Target="http://www.theage.com.au/afl/afl-news/the-essendon-verdict-the-inside-story-of-the-antidoping-tribunal-hearing-20150331-1mc2nb.html" TargetMode="Externa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hyperlink" Target="http://www.albertocontadornotebook.info/ResolutionContador.pdf" TargetMode="External"/><Relationship Id="rId4" Type="http://schemas.openxmlformats.org/officeDocument/2006/relationships/settings" Target="settings.xml"/><Relationship Id="rId9" Type="http://schemas.openxmlformats.org/officeDocument/2006/relationships/hyperlink" Target="http://www.staffs.ac.uk/lawsofthegame" TargetMode="External"/><Relationship Id="rId14" Type="http://schemas.openxmlformats.org/officeDocument/2006/relationships/header" Target="header3.xml"/><Relationship Id="rId22" Type="http://schemas.openxmlformats.org/officeDocument/2006/relationships/hyperlink" Target="http://www.essendonfc.com.au/news/2013-05-06/dr-ziggy-switskowski-report" TargetMode="External"/><Relationship Id="rId27" Type="http://schemas.openxmlformats.org/officeDocument/2006/relationships/hyperlink" Target="http://www.afl.com.au/news/2015-03-31/full-tribunal-statement" TargetMode="External"/><Relationship Id="rId30" Type="http://schemas.openxmlformats.org/officeDocument/2006/relationships/hyperlink" Target="http://www.lionelbirnie.com/the-boys-who-cried-wolf/" TargetMode="External"/><Relationship Id="rId35" Type="http://schemas.openxmlformats.org/officeDocument/2006/relationships/hyperlink" Target="http://www.ittf.com/_front_page/ittf_full_story2.asp?ID=22286"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jurisprudence.tas-cas.org/sites/CaseLaw/Shared%20Documents/2384,%202386.pdf%20" TargetMode="External"/><Relationship Id="rId13" Type="http://schemas.openxmlformats.org/officeDocument/2006/relationships/hyperlink" Target="http://www.velonation.com/News/ID/7220/Alberto-Contador-given-one-year-ban-by-Spanish-Federation.aspx" TargetMode="External"/><Relationship Id="rId18" Type="http://schemas.openxmlformats.org/officeDocument/2006/relationships/hyperlink" Target="http://www.econlib.org/library/Enc/OpportunityCost.html" TargetMode="External"/><Relationship Id="rId26" Type="http://schemas.openxmlformats.org/officeDocument/2006/relationships/hyperlink" Target="http://www.tas-cas.org/fileadmin/user_upload/Award20348720_internet_.pdf" TargetMode="External"/><Relationship Id="rId3" Type="http://schemas.openxmlformats.org/officeDocument/2006/relationships/hyperlink" Target="http://www.tas-cas.org/d2wfiles/document/5649/5048/0/Media20Release20_English_2012.02.06.pdf" TargetMode="External"/><Relationship Id="rId21" Type="http://schemas.openxmlformats.org/officeDocument/2006/relationships/hyperlink" Target="https://wada-main-prod.s3.amazonaws.com/resources/files/cas_stanic.pdf" TargetMode="External"/><Relationship Id="rId34" Type="http://schemas.openxmlformats.org/officeDocument/2006/relationships/hyperlink" Target="http://www.wada-ama.org/en/media/news/2015-05/wada-statement-on-afl-cases" TargetMode="External"/><Relationship Id="rId7" Type="http://schemas.openxmlformats.org/officeDocument/2006/relationships/hyperlink" Target="http://stage.wada-ama.org/Documents/World_Anti-Doping_Program/WADP-The-Code/WADA_Anti-Doping_CODE_2009_EN.pdf" TargetMode="External"/><Relationship Id="rId12" Type="http://schemas.openxmlformats.org/officeDocument/2006/relationships/hyperlink" Target="http://sports.espn.go.com/oly/cycling/news/story?id=5632256" TargetMode="External"/><Relationship Id="rId17" Type="http://schemas.openxmlformats.org/officeDocument/2006/relationships/hyperlink" Target="http://www.velonation.com/Photos/Photo-Album/mmid/614/mediaid/574.aspx" TargetMode="External"/><Relationship Id="rId25" Type="http://schemas.openxmlformats.org/officeDocument/2006/relationships/hyperlink" Target="http://www.tas-cas.org/d2wfiles/document/4218/5048/0/Award20187020FINAL.pdf" TargetMode="External"/><Relationship Id="rId33" Type="http://schemas.openxmlformats.org/officeDocument/2006/relationships/hyperlink" Target="http://www.theage.com.au/afl/afl-news/the-essendon-verdict-the-inside-story-of-the-antidoping-tribunal-hearing-20150331-1mc2nb.html" TargetMode="External"/><Relationship Id="rId2" Type="http://schemas.openxmlformats.org/officeDocument/2006/relationships/hyperlink" Target="http://www.uci.ch/Modules/ENews/ENewsDetails.asp?id=NzA4MA&amp;MenuId=MTYxNw&amp;LangId=1&amp;BackLink=%2FTempla..." TargetMode="External"/><Relationship Id="rId16" Type="http://schemas.openxmlformats.org/officeDocument/2006/relationships/hyperlink" Target="http://www.tas-cas.org/d2wfiles/document/5077/5048/0/Media20Release20_English_2026.07.pdf" TargetMode="External"/><Relationship Id="rId20" Type="http://schemas.openxmlformats.org/officeDocument/2006/relationships/hyperlink" Target="https://wada-main-prod.s3.amazonaws.com/resources/files/cas_2008_a_1515_daubney.pdf" TargetMode="External"/><Relationship Id="rId29" Type="http://schemas.openxmlformats.org/officeDocument/2006/relationships/hyperlink" Target="http://www.heraldsun.com.au/sport/afl/timeline-of-events-in-the-essendon-supplements-saga/story-fni5f6kv-1226774541366" TargetMode="External"/><Relationship Id="rId1" Type="http://schemas.openxmlformats.org/officeDocument/2006/relationships/hyperlink" Target="http://www.nytimes.com/2010/07/26/sports/cycling/26cycling.html?pagewanted=all&amp;_r=0" TargetMode="External"/><Relationship Id="rId6" Type="http://schemas.openxmlformats.org/officeDocument/2006/relationships/hyperlink" Target="http://nyvelocity.com/content/interviews/2012/behind-scenes-contador-cas-hearing-michael-ashenden" TargetMode="External"/><Relationship Id="rId11" Type="http://schemas.openxmlformats.org/officeDocument/2006/relationships/hyperlink" Target="http://velonews.competitor.com/2007/07/news/on-the-list-off-the-list-alberto-contador-and-operacion-puerto_12964" TargetMode="External"/><Relationship Id="rId24" Type="http://schemas.openxmlformats.org/officeDocument/2006/relationships/hyperlink" Target="http://www.ittf.com/_front_page/ittf_full_story2.asp?ID=22286" TargetMode="External"/><Relationship Id="rId32" Type="http://schemas.openxmlformats.org/officeDocument/2006/relationships/hyperlink" Target="http://www.afl.com.au/news/2015-03-31/full-tribunal-statement" TargetMode="External"/><Relationship Id="rId5" Type="http://schemas.openxmlformats.org/officeDocument/2006/relationships/hyperlink" Target="http://www.lionelbirnie.com/the-boys-who-cried-wolf/" TargetMode="External"/><Relationship Id="rId15" Type="http://schemas.openxmlformats.org/officeDocument/2006/relationships/hyperlink" Target="http://www.albertocontadornotebook.info/ResolutionContador.pdf" TargetMode="External"/><Relationship Id="rId23" Type="http://schemas.openxmlformats.org/officeDocument/2006/relationships/hyperlink" Target="http://www.cyclingnews.com/news/nielsen-not-sanctioned-for-clenbuterol-positive" TargetMode="External"/><Relationship Id="rId28" Type="http://schemas.openxmlformats.org/officeDocument/2006/relationships/hyperlink" Target="http://www.copfs.gov.uk/glossary-of-legal-terms" TargetMode="External"/><Relationship Id="rId10" Type="http://schemas.openxmlformats.org/officeDocument/2006/relationships/hyperlink" Target="http://www.uci.ch/Modules/BUILTIN/getObject.asp?MenuId=&amp;ObjTypeCode=FILE&amp;type=FILE&amp;id=NDc3MDk&amp;LangId=1" TargetMode="External"/><Relationship Id="rId19" Type="http://schemas.openxmlformats.org/officeDocument/2006/relationships/hyperlink" Target="http://www.plymouthherald.co.uk/EXCLUSIVE-Jon-Tiernan-Locke-t-afford-clear/story-22783784-detail/story.html" TargetMode="External"/><Relationship Id="rId31" Type="http://schemas.openxmlformats.org/officeDocument/2006/relationships/hyperlink" Target="http://www.heraldsun.com.au/sport/afl/afl-issues-essendon-34-with-infraction-notices-bombers-accused-of-using-banned-thymosin-beta4/story-fni5f6kv-1227121859160" TargetMode="External"/><Relationship Id="rId4" Type="http://schemas.openxmlformats.org/officeDocument/2006/relationships/hyperlink" Target="https://wada-main-prod.s3.amazonaws.com/resources/files/wada-2015-world-anti-doping-code.pdf" TargetMode="External"/><Relationship Id="rId9" Type="http://schemas.openxmlformats.org/officeDocument/2006/relationships/hyperlink" Target="http://www.cyclingnews.com/news/alberto-contador-suspended-over-traces-of-clenbuterol-from-tour-de-france-test" TargetMode="External"/><Relationship Id="rId14" Type="http://schemas.openxmlformats.org/officeDocument/2006/relationships/hyperlink" Target="http://sports.espn.go.com/oly/cycling/news/story?id=6111856" TargetMode="External"/><Relationship Id="rId22" Type="http://schemas.openxmlformats.org/officeDocument/2006/relationships/hyperlink" Target="http://http:/www.usada.org/us-cycling-athlete-godby-accepts-loss-of-results/" TargetMode="External"/><Relationship Id="rId27" Type="http://schemas.openxmlformats.org/officeDocument/2006/relationships/hyperlink" Target="http://wadc-commentary.com/campbell-brown/" TargetMode="External"/><Relationship Id="rId30" Type="http://schemas.openxmlformats.org/officeDocument/2006/relationships/hyperlink" Target="http://www.essendonfc.com.au/news/2013-05-06/dr-ziggy-switskowski-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F26DE3-08ED-4A85-A4C1-F9A68B2F563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8D0FAE8-1647-46BF-8DE3-882F4A90F8E6}">
      <dgm:prSet phldrT="[Text]" custT="1"/>
      <dgm:spPr/>
      <dgm:t>
        <a:bodyPr/>
        <a:lstStyle/>
        <a:p>
          <a:r>
            <a:rPr lang="en-GB" sz="800"/>
            <a:t>Article 2.1 </a:t>
          </a:r>
        </a:p>
        <a:p>
          <a:r>
            <a:rPr lang="en-GB" sz="800"/>
            <a:t>Presence of a prohibited substance (clenbuterol)</a:t>
          </a:r>
        </a:p>
      </dgm:t>
    </dgm:pt>
    <dgm:pt modelId="{0B1124A4-6676-4E14-BBDC-B96444F43996}" type="parTrans" cxnId="{516B10C4-0F33-45A4-99ED-2C0C3185BCF0}">
      <dgm:prSet/>
      <dgm:spPr/>
      <dgm:t>
        <a:bodyPr/>
        <a:lstStyle/>
        <a:p>
          <a:endParaRPr lang="en-GB" sz="2000"/>
        </a:p>
      </dgm:t>
    </dgm:pt>
    <dgm:pt modelId="{40162DE6-497C-4DFF-900E-D9A16A44ACB1}" type="sibTrans" cxnId="{516B10C4-0F33-45A4-99ED-2C0C3185BCF0}">
      <dgm:prSet/>
      <dgm:spPr/>
      <dgm:t>
        <a:bodyPr/>
        <a:lstStyle/>
        <a:p>
          <a:endParaRPr lang="en-GB" sz="2000"/>
        </a:p>
      </dgm:t>
    </dgm:pt>
    <dgm:pt modelId="{47BFA9F8-715E-48CB-8E51-5F11449F0922}">
      <dgm:prSet phldrT="[Text]" custT="1"/>
      <dgm:spPr>
        <a:effectLst/>
      </dgm:spPr>
      <dgm:t>
        <a:bodyPr/>
        <a:lstStyle/>
        <a:p>
          <a:r>
            <a:rPr lang="en-GB" sz="800"/>
            <a:t>Article 3.1</a:t>
          </a:r>
        </a:p>
        <a:p>
          <a:r>
            <a:rPr lang="en-GB" sz="800"/>
            <a:t>Violation proved to  comfortable satisfaction</a:t>
          </a:r>
        </a:p>
      </dgm:t>
    </dgm:pt>
    <dgm:pt modelId="{543AA4AE-D38E-4E8C-AA1E-0ED4971A8696}" type="parTrans" cxnId="{392A65D8-3939-42EA-AC03-2711CCD7A3A6}">
      <dgm:prSet/>
      <dgm:spPr/>
      <dgm:t>
        <a:bodyPr/>
        <a:lstStyle/>
        <a:p>
          <a:endParaRPr lang="en-GB" sz="2000"/>
        </a:p>
      </dgm:t>
    </dgm:pt>
    <dgm:pt modelId="{D9882B80-00EE-48F4-8C8E-3B58C469A905}" type="sibTrans" cxnId="{392A65D8-3939-42EA-AC03-2711CCD7A3A6}">
      <dgm:prSet/>
      <dgm:spPr/>
      <dgm:t>
        <a:bodyPr/>
        <a:lstStyle/>
        <a:p>
          <a:endParaRPr lang="en-GB" sz="2000"/>
        </a:p>
      </dgm:t>
    </dgm:pt>
    <dgm:pt modelId="{64D9034C-CDBC-4C28-9B7A-D64AAF536086}">
      <dgm:prSet phldrT="[Text]" custT="1"/>
      <dgm:spPr/>
      <dgm:t>
        <a:bodyPr/>
        <a:lstStyle/>
        <a:p>
          <a:r>
            <a:rPr lang="en-GB" sz="800"/>
            <a:t>Aricle 10.2.1</a:t>
          </a:r>
        </a:p>
        <a:p>
          <a:r>
            <a:rPr lang="en-GB" sz="800"/>
            <a:t>Presence of a prohibited substance</a:t>
          </a:r>
        </a:p>
        <a:p>
          <a:r>
            <a:rPr lang="en-GB" sz="800"/>
            <a:t>Was violational unintentional?</a:t>
          </a:r>
        </a:p>
        <a:p>
          <a:endParaRPr lang="en-GB" sz="800"/>
        </a:p>
      </dgm:t>
    </dgm:pt>
    <dgm:pt modelId="{8E71E744-C3F7-4335-A7C7-7AE5692D5E5E}" type="parTrans" cxnId="{17DBFAD1-8A7E-466F-B606-A7B9E2B97795}">
      <dgm:prSet/>
      <dgm:spPr/>
      <dgm:t>
        <a:bodyPr/>
        <a:lstStyle/>
        <a:p>
          <a:endParaRPr lang="en-GB" sz="2000"/>
        </a:p>
      </dgm:t>
    </dgm:pt>
    <dgm:pt modelId="{693D9FE9-C1DF-4A35-AEF8-360E154521BA}" type="sibTrans" cxnId="{17DBFAD1-8A7E-466F-B606-A7B9E2B97795}">
      <dgm:prSet/>
      <dgm:spPr/>
      <dgm:t>
        <a:bodyPr/>
        <a:lstStyle/>
        <a:p>
          <a:endParaRPr lang="en-GB" sz="2000"/>
        </a:p>
      </dgm:t>
    </dgm:pt>
    <dgm:pt modelId="{60BD6327-EFD1-4DFA-9F6E-752B41780D7E}">
      <dgm:prSet custT="1">
        <dgm:style>
          <a:lnRef idx="2">
            <a:schemeClr val="accent1"/>
          </a:lnRef>
          <a:fillRef idx="1">
            <a:schemeClr val="lt1"/>
          </a:fillRef>
          <a:effectRef idx="0">
            <a:schemeClr val="accent1"/>
          </a:effectRef>
          <a:fontRef idx="minor">
            <a:schemeClr val="dk1"/>
          </a:fontRef>
        </dgm:style>
      </dgm:prSet>
      <dgm:spPr>
        <a:solidFill>
          <a:schemeClr val="bg1">
            <a:lumMod val="75000"/>
          </a:schemeClr>
        </a:solidFill>
      </dgm:spPr>
      <dgm:t>
        <a:bodyPr/>
        <a:lstStyle/>
        <a:p>
          <a:r>
            <a:rPr lang="en-GB" sz="800"/>
            <a:t>Unintentional</a:t>
          </a:r>
        </a:p>
        <a:p>
          <a:r>
            <a:rPr lang="en-GB" sz="800"/>
            <a:t>Article 10.4</a:t>
          </a:r>
        </a:p>
        <a:p>
          <a:r>
            <a:rPr lang="en-GB" sz="800"/>
            <a:t>No fault or negligence</a:t>
          </a:r>
        </a:p>
        <a:p>
          <a:r>
            <a:rPr lang="en-GB" sz="800"/>
            <a:t>(Does not apply to contaminated supplements</a:t>
          </a:r>
          <a:r>
            <a:rPr lang="en-GB" sz="600"/>
            <a:t>)</a:t>
          </a:r>
        </a:p>
      </dgm:t>
    </dgm:pt>
    <dgm:pt modelId="{9919BA61-6C92-447B-B094-B54CA7289B2A}" type="parTrans" cxnId="{E4D2B677-7DE0-49C7-819B-8556D47296B3}">
      <dgm:prSet/>
      <dgm:spPr/>
      <dgm:t>
        <a:bodyPr/>
        <a:lstStyle/>
        <a:p>
          <a:endParaRPr lang="en-GB" sz="2000"/>
        </a:p>
      </dgm:t>
    </dgm:pt>
    <dgm:pt modelId="{08B247A9-2DA1-4356-8CB4-75E73A6939BE}" type="sibTrans" cxnId="{E4D2B677-7DE0-49C7-819B-8556D47296B3}">
      <dgm:prSet/>
      <dgm:spPr/>
      <dgm:t>
        <a:bodyPr/>
        <a:lstStyle/>
        <a:p>
          <a:endParaRPr lang="en-GB" sz="2000"/>
        </a:p>
      </dgm:t>
    </dgm:pt>
    <dgm:pt modelId="{EFCC635A-AF42-4629-91E0-CC9BE68CEDA1}">
      <dgm:prSet custT="1"/>
      <dgm:spPr/>
      <dgm:t>
        <a:bodyPr/>
        <a:lstStyle/>
        <a:p>
          <a:r>
            <a:rPr lang="en-GB" sz="800"/>
            <a:t>Unintentional</a:t>
          </a:r>
        </a:p>
        <a:p>
          <a:r>
            <a:rPr lang="en-GB" sz="800"/>
            <a:t>Article 10.5.1.2</a:t>
          </a:r>
        </a:p>
        <a:p>
          <a:r>
            <a:rPr lang="en-GB" sz="800"/>
            <a:t>No significant fault or negligence</a:t>
          </a:r>
        </a:p>
        <a:p>
          <a:r>
            <a:rPr lang="en-GB" sz="800"/>
            <a:t>(contaminated product)</a:t>
          </a:r>
        </a:p>
      </dgm:t>
    </dgm:pt>
    <dgm:pt modelId="{3B85180F-094F-4ED4-960F-E058C36484D8}" type="parTrans" cxnId="{EBAA7D96-BD8B-42A7-87EB-E8C25ED669AE}">
      <dgm:prSet/>
      <dgm:spPr/>
      <dgm:t>
        <a:bodyPr/>
        <a:lstStyle/>
        <a:p>
          <a:endParaRPr lang="en-GB" sz="2000"/>
        </a:p>
      </dgm:t>
    </dgm:pt>
    <dgm:pt modelId="{F6EA11A8-C8EF-4F07-A845-40B1DD457150}" type="sibTrans" cxnId="{EBAA7D96-BD8B-42A7-87EB-E8C25ED669AE}">
      <dgm:prSet/>
      <dgm:spPr/>
      <dgm:t>
        <a:bodyPr/>
        <a:lstStyle/>
        <a:p>
          <a:endParaRPr lang="en-GB" sz="2000"/>
        </a:p>
      </dgm:t>
    </dgm:pt>
    <dgm:pt modelId="{1FE2A823-B35A-4B7C-818E-0BC23163D42D}">
      <dgm:prSet custT="1"/>
      <dgm:spPr/>
      <dgm:t>
        <a:bodyPr/>
        <a:lstStyle/>
        <a:p>
          <a:r>
            <a:rPr lang="en-GB" sz="800"/>
            <a:t>Unintentional</a:t>
          </a:r>
        </a:p>
        <a:p>
          <a:r>
            <a:rPr lang="en-GB" sz="800"/>
            <a:t>Article 10.5.2</a:t>
          </a:r>
        </a:p>
        <a:p>
          <a:r>
            <a:rPr lang="en-GB" sz="800"/>
            <a:t>No significant fault or negligence</a:t>
          </a:r>
        </a:p>
        <a:p>
          <a:r>
            <a:rPr lang="en-GB" sz="800"/>
            <a:t>(other circumstances)</a:t>
          </a:r>
        </a:p>
      </dgm:t>
    </dgm:pt>
    <dgm:pt modelId="{2A74E911-2E5D-4D85-9202-0696509A950D}" type="parTrans" cxnId="{9EA487B8-039E-4278-A8AA-B5880654666E}">
      <dgm:prSet/>
      <dgm:spPr/>
      <dgm:t>
        <a:bodyPr/>
        <a:lstStyle/>
        <a:p>
          <a:endParaRPr lang="en-GB" sz="2000"/>
        </a:p>
      </dgm:t>
    </dgm:pt>
    <dgm:pt modelId="{5C88C99C-1712-4561-BA99-AC7DFB477085}" type="sibTrans" cxnId="{9EA487B8-039E-4278-A8AA-B5880654666E}">
      <dgm:prSet/>
      <dgm:spPr/>
      <dgm:t>
        <a:bodyPr/>
        <a:lstStyle/>
        <a:p>
          <a:endParaRPr lang="en-GB" sz="2000"/>
        </a:p>
      </dgm:t>
    </dgm:pt>
    <dgm:pt modelId="{8E403A54-1915-4162-981F-6D9584DF898A}">
      <dgm:prSet custT="1">
        <dgm:style>
          <a:lnRef idx="2">
            <a:schemeClr val="accent1"/>
          </a:lnRef>
          <a:fillRef idx="1">
            <a:schemeClr val="lt1"/>
          </a:fillRef>
          <a:effectRef idx="0">
            <a:schemeClr val="accent1"/>
          </a:effectRef>
          <a:fontRef idx="minor">
            <a:schemeClr val="dk1"/>
          </a:fontRef>
        </dgm:style>
      </dgm:prSet>
      <dgm:spPr>
        <a:solidFill>
          <a:schemeClr val="bg1">
            <a:lumMod val="75000"/>
          </a:schemeClr>
        </a:solidFill>
      </dgm:spPr>
      <dgm:t>
        <a:bodyPr/>
        <a:lstStyle/>
        <a:p>
          <a:r>
            <a:rPr lang="en-GB" sz="800"/>
            <a:t>Intentional </a:t>
          </a:r>
        </a:p>
        <a:p>
          <a:r>
            <a:rPr lang="en-GB" sz="800"/>
            <a:t>Presence a result of e.g. blood transfusion:</a:t>
          </a:r>
        </a:p>
        <a:p>
          <a:r>
            <a:rPr lang="en-GB" sz="800"/>
            <a:t>Sanction: 4 years</a:t>
          </a:r>
        </a:p>
      </dgm:t>
    </dgm:pt>
    <dgm:pt modelId="{C9BB5D99-EDC1-4CA0-8B7B-DB374F749E26}" type="parTrans" cxnId="{8ED6D741-A8FD-4132-8E6B-A949F8FD8232}">
      <dgm:prSet/>
      <dgm:spPr/>
      <dgm:t>
        <a:bodyPr/>
        <a:lstStyle/>
        <a:p>
          <a:endParaRPr lang="en-GB" sz="2000"/>
        </a:p>
      </dgm:t>
    </dgm:pt>
    <dgm:pt modelId="{CAB26981-1EFD-4763-A153-90B55311D110}" type="sibTrans" cxnId="{8ED6D741-A8FD-4132-8E6B-A949F8FD8232}">
      <dgm:prSet/>
      <dgm:spPr/>
      <dgm:t>
        <a:bodyPr/>
        <a:lstStyle/>
        <a:p>
          <a:endParaRPr lang="en-GB" sz="2000"/>
        </a:p>
      </dgm:t>
    </dgm:pt>
    <dgm:pt modelId="{BBCD6B81-3CF6-48A1-B065-95BE48846543}">
      <dgm:prSet custT="1">
        <dgm:style>
          <a:lnRef idx="2">
            <a:schemeClr val="accent3"/>
          </a:lnRef>
          <a:fillRef idx="1">
            <a:schemeClr val="lt1"/>
          </a:fillRef>
          <a:effectRef idx="0">
            <a:schemeClr val="accent3"/>
          </a:effectRef>
          <a:fontRef idx="minor">
            <a:schemeClr val="dk1"/>
          </a:fontRef>
        </dgm:style>
      </dgm:prSet>
      <dgm:spPr>
        <a:solidFill>
          <a:schemeClr val="accent3">
            <a:lumMod val="40000"/>
            <a:lumOff val="60000"/>
          </a:schemeClr>
        </a:solidFill>
      </dgm:spPr>
      <dgm:t>
        <a:bodyPr/>
        <a:lstStyle/>
        <a:p>
          <a:r>
            <a:rPr lang="en-GB" sz="800"/>
            <a:t>Presence a result of a contaminated product:</a:t>
          </a:r>
        </a:p>
        <a:p>
          <a:r>
            <a:rPr lang="en-GB" sz="800"/>
            <a:t>Sanction: 0-2 years</a:t>
          </a:r>
        </a:p>
      </dgm:t>
    </dgm:pt>
    <dgm:pt modelId="{2A828BAD-CAF4-4D1D-8182-699254AF43B7}" type="parTrans" cxnId="{1DA2BD72-38E7-40B2-B86D-9E686EAE6AEB}">
      <dgm:prSet/>
      <dgm:spPr/>
      <dgm:t>
        <a:bodyPr/>
        <a:lstStyle/>
        <a:p>
          <a:endParaRPr lang="en-GB" sz="2000"/>
        </a:p>
      </dgm:t>
    </dgm:pt>
    <dgm:pt modelId="{17F0FAEB-3AC3-4912-A14E-E538B89719E3}" type="sibTrans" cxnId="{1DA2BD72-38E7-40B2-B86D-9E686EAE6AEB}">
      <dgm:prSet/>
      <dgm:spPr/>
      <dgm:t>
        <a:bodyPr/>
        <a:lstStyle/>
        <a:p>
          <a:endParaRPr lang="en-GB" sz="2000"/>
        </a:p>
      </dgm:t>
    </dgm:pt>
    <dgm:pt modelId="{4458C3AD-F6FA-47B2-8917-0035481B655C}">
      <dgm:prSet custT="1">
        <dgm:style>
          <a:lnRef idx="2">
            <a:schemeClr val="accent2"/>
          </a:lnRef>
          <a:fillRef idx="1">
            <a:schemeClr val="lt1"/>
          </a:fillRef>
          <a:effectRef idx="0">
            <a:schemeClr val="accent2"/>
          </a:effectRef>
          <a:fontRef idx="minor">
            <a:schemeClr val="dk1"/>
          </a:fontRef>
        </dgm:style>
      </dgm:prSet>
      <dgm:spPr>
        <a:solidFill>
          <a:schemeClr val="accent2">
            <a:lumMod val="40000"/>
            <a:lumOff val="60000"/>
          </a:schemeClr>
        </a:solidFill>
      </dgm:spPr>
      <dgm:t>
        <a:bodyPr/>
        <a:lstStyle/>
        <a:p>
          <a:r>
            <a:rPr lang="en-GB" sz="800"/>
            <a:t>Presence a result of other circumstances: </a:t>
          </a:r>
        </a:p>
        <a:p>
          <a:r>
            <a:rPr lang="en-GB" sz="800"/>
            <a:t>Sanction: 2-4 years</a:t>
          </a:r>
        </a:p>
      </dgm:t>
    </dgm:pt>
    <dgm:pt modelId="{B6104FA0-E9AC-421E-A4F7-3B4E7B3A8AFF}" type="parTrans" cxnId="{C8C0133E-AD19-49A2-9A20-4F01E3DD4D2C}">
      <dgm:prSet/>
      <dgm:spPr/>
      <dgm:t>
        <a:bodyPr/>
        <a:lstStyle/>
        <a:p>
          <a:endParaRPr lang="en-GB" sz="2000"/>
        </a:p>
      </dgm:t>
    </dgm:pt>
    <dgm:pt modelId="{B31DC684-E615-4DE9-90D0-1C3393CF47B1}" type="sibTrans" cxnId="{C8C0133E-AD19-49A2-9A20-4F01E3DD4D2C}">
      <dgm:prSet/>
      <dgm:spPr/>
      <dgm:t>
        <a:bodyPr/>
        <a:lstStyle/>
        <a:p>
          <a:endParaRPr lang="en-GB" sz="2000"/>
        </a:p>
      </dgm:t>
    </dgm:pt>
    <dgm:pt modelId="{3F521D6B-499B-4F2C-9B5D-514F41F94F46}">
      <dgm:prSet custT="1"/>
      <dgm:spPr>
        <a:solidFill>
          <a:schemeClr val="bg1">
            <a:lumMod val="75000"/>
            <a:alpha val="90000"/>
          </a:schemeClr>
        </a:solidFill>
      </dgm:spPr>
      <dgm:t>
        <a:bodyPr/>
        <a:lstStyle/>
        <a:p>
          <a:r>
            <a:rPr lang="en-GB" sz="800"/>
            <a:t>Presence a result of other circumstances:</a:t>
          </a:r>
        </a:p>
        <a:p>
          <a:r>
            <a:rPr lang="en-GB" sz="800"/>
            <a:t>Sanction: No ineligibility </a:t>
          </a:r>
        </a:p>
      </dgm:t>
    </dgm:pt>
    <dgm:pt modelId="{690914EC-3755-4CA2-A382-B81B52FDE568}" type="parTrans" cxnId="{A5577FA3-9739-4392-9B84-AD7E31D8E65F}">
      <dgm:prSet/>
      <dgm:spPr/>
      <dgm:t>
        <a:bodyPr/>
        <a:lstStyle/>
        <a:p>
          <a:endParaRPr lang="en-GB"/>
        </a:p>
      </dgm:t>
    </dgm:pt>
    <dgm:pt modelId="{7DC77DF7-E6DA-47A6-AC38-FACDA484671B}" type="sibTrans" cxnId="{A5577FA3-9739-4392-9B84-AD7E31D8E65F}">
      <dgm:prSet/>
      <dgm:spPr/>
      <dgm:t>
        <a:bodyPr/>
        <a:lstStyle/>
        <a:p>
          <a:endParaRPr lang="en-GB"/>
        </a:p>
      </dgm:t>
    </dgm:pt>
    <dgm:pt modelId="{D060A7A5-0E5E-4778-BFF4-50DDF45C4245}" type="pres">
      <dgm:prSet presAssocID="{7BF26DE3-08ED-4A85-A4C1-F9A68B2F5632}" presName="hierChild1" presStyleCnt="0">
        <dgm:presLayoutVars>
          <dgm:chPref val="1"/>
          <dgm:dir/>
          <dgm:animOne val="branch"/>
          <dgm:animLvl val="lvl"/>
          <dgm:resizeHandles/>
        </dgm:presLayoutVars>
      </dgm:prSet>
      <dgm:spPr/>
      <dgm:t>
        <a:bodyPr/>
        <a:lstStyle/>
        <a:p>
          <a:endParaRPr lang="en-GB"/>
        </a:p>
      </dgm:t>
    </dgm:pt>
    <dgm:pt modelId="{2503FCFF-EF9C-46BD-938B-5B97FB1CF6CF}" type="pres">
      <dgm:prSet presAssocID="{08D0FAE8-1647-46BF-8DE3-882F4A90F8E6}" presName="hierRoot1" presStyleCnt="0"/>
      <dgm:spPr/>
    </dgm:pt>
    <dgm:pt modelId="{9E0DB58F-2634-49A3-A24E-15844EE6C503}" type="pres">
      <dgm:prSet presAssocID="{08D0FAE8-1647-46BF-8DE3-882F4A90F8E6}" presName="composite" presStyleCnt="0"/>
      <dgm:spPr/>
    </dgm:pt>
    <dgm:pt modelId="{C952FABD-CE4D-4F45-B361-A53E36515C46}" type="pres">
      <dgm:prSet presAssocID="{08D0FAE8-1647-46BF-8DE3-882F4A90F8E6}" presName="background" presStyleLbl="node0" presStyleIdx="0" presStyleCnt="1"/>
      <dgm:spPr>
        <a:effectLst/>
      </dgm:spPr>
      <dgm:t>
        <a:bodyPr/>
        <a:lstStyle/>
        <a:p>
          <a:endParaRPr lang="en-GB"/>
        </a:p>
      </dgm:t>
    </dgm:pt>
    <dgm:pt modelId="{551B26D7-2257-455E-9A27-396E8A89FE8C}" type="pres">
      <dgm:prSet presAssocID="{08D0FAE8-1647-46BF-8DE3-882F4A90F8E6}" presName="text" presStyleLbl="fgAcc0" presStyleIdx="0" presStyleCnt="1" custScaleX="199754" custLinFactNeighborX="-313">
        <dgm:presLayoutVars>
          <dgm:chPref val="3"/>
        </dgm:presLayoutVars>
      </dgm:prSet>
      <dgm:spPr/>
      <dgm:t>
        <a:bodyPr/>
        <a:lstStyle/>
        <a:p>
          <a:endParaRPr lang="en-GB"/>
        </a:p>
      </dgm:t>
    </dgm:pt>
    <dgm:pt modelId="{ADC4E161-0D9B-43EC-84B3-3C06DB20D2D8}" type="pres">
      <dgm:prSet presAssocID="{08D0FAE8-1647-46BF-8DE3-882F4A90F8E6}" presName="hierChild2" presStyleCnt="0"/>
      <dgm:spPr/>
    </dgm:pt>
    <dgm:pt modelId="{6FAC5AAE-BBAB-4DDA-8348-BDBA47C6CF26}" type="pres">
      <dgm:prSet presAssocID="{543AA4AE-D38E-4E8C-AA1E-0ED4971A8696}" presName="Name10" presStyleLbl="parChTrans1D2" presStyleIdx="0" presStyleCnt="1"/>
      <dgm:spPr/>
      <dgm:t>
        <a:bodyPr/>
        <a:lstStyle/>
        <a:p>
          <a:endParaRPr lang="en-GB"/>
        </a:p>
      </dgm:t>
    </dgm:pt>
    <dgm:pt modelId="{90207AC8-EC8C-4BCC-9138-00B1615D1625}" type="pres">
      <dgm:prSet presAssocID="{47BFA9F8-715E-48CB-8E51-5F11449F0922}" presName="hierRoot2" presStyleCnt="0"/>
      <dgm:spPr/>
    </dgm:pt>
    <dgm:pt modelId="{885290C9-628D-4C9A-B195-1111A25CBCC9}" type="pres">
      <dgm:prSet presAssocID="{47BFA9F8-715E-48CB-8E51-5F11449F0922}" presName="composite2" presStyleCnt="0"/>
      <dgm:spPr/>
    </dgm:pt>
    <dgm:pt modelId="{4BD71872-29A7-4A6C-90DC-E972F364BE06}" type="pres">
      <dgm:prSet presAssocID="{47BFA9F8-715E-48CB-8E51-5F11449F0922}" presName="background2" presStyleLbl="node2" presStyleIdx="0" presStyleCnt="1"/>
      <dgm:spPr/>
    </dgm:pt>
    <dgm:pt modelId="{8734EFA6-FC38-4152-9518-B3A4029148ED}" type="pres">
      <dgm:prSet presAssocID="{47BFA9F8-715E-48CB-8E51-5F11449F0922}" presName="text2" presStyleLbl="fgAcc2" presStyleIdx="0" presStyleCnt="1" custScaleX="194370">
        <dgm:presLayoutVars>
          <dgm:chPref val="3"/>
        </dgm:presLayoutVars>
      </dgm:prSet>
      <dgm:spPr/>
      <dgm:t>
        <a:bodyPr/>
        <a:lstStyle/>
        <a:p>
          <a:endParaRPr lang="en-GB"/>
        </a:p>
      </dgm:t>
    </dgm:pt>
    <dgm:pt modelId="{9255584A-DB7E-4904-859E-3D91A56C0EDB}" type="pres">
      <dgm:prSet presAssocID="{47BFA9F8-715E-48CB-8E51-5F11449F0922}" presName="hierChild3" presStyleCnt="0"/>
      <dgm:spPr/>
    </dgm:pt>
    <dgm:pt modelId="{40EBC6DC-9AF0-4887-BE65-4A519B72DF0D}" type="pres">
      <dgm:prSet presAssocID="{8E71E744-C3F7-4335-A7C7-7AE5692D5E5E}" presName="Name17" presStyleLbl="parChTrans1D3" presStyleIdx="0" presStyleCnt="1"/>
      <dgm:spPr/>
      <dgm:t>
        <a:bodyPr/>
        <a:lstStyle/>
        <a:p>
          <a:endParaRPr lang="en-GB"/>
        </a:p>
      </dgm:t>
    </dgm:pt>
    <dgm:pt modelId="{BE455B14-1C81-4BA2-8067-FF65E6A8873A}" type="pres">
      <dgm:prSet presAssocID="{64D9034C-CDBC-4C28-9B7A-D64AAF536086}" presName="hierRoot3" presStyleCnt="0"/>
      <dgm:spPr/>
    </dgm:pt>
    <dgm:pt modelId="{5E176E5B-2CCB-4B46-AC0B-3AF7C25D4B6B}" type="pres">
      <dgm:prSet presAssocID="{64D9034C-CDBC-4C28-9B7A-D64AAF536086}" presName="composite3" presStyleCnt="0"/>
      <dgm:spPr/>
    </dgm:pt>
    <dgm:pt modelId="{1987CDD4-8195-4EA0-A021-6CF91F430DF7}" type="pres">
      <dgm:prSet presAssocID="{64D9034C-CDBC-4C28-9B7A-D64AAF536086}" presName="background3" presStyleLbl="node3" presStyleIdx="0" presStyleCnt="1"/>
      <dgm:spPr>
        <a:effectLst>
          <a:outerShdw blurRad="50800" dist="50800" dir="5400000" algn="ctr" rotWithShape="0">
            <a:schemeClr val="bg1"/>
          </a:outerShdw>
        </a:effectLst>
      </dgm:spPr>
      <dgm:t>
        <a:bodyPr/>
        <a:lstStyle/>
        <a:p>
          <a:endParaRPr lang="en-GB"/>
        </a:p>
      </dgm:t>
    </dgm:pt>
    <dgm:pt modelId="{F0261107-F94A-457F-93EF-583F8412307B}" type="pres">
      <dgm:prSet presAssocID="{64D9034C-CDBC-4C28-9B7A-D64AAF536086}" presName="text3" presStyleLbl="fgAcc3" presStyleIdx="0" presStyleCnt="1" custScaleX="192783">
        <dgm:presLayoutVars>
          <dgm:chPref val="3"/>
        </dgm:presLayoutVars>
      </dgm:prSet>
      <dgm:spPr/>
      <dgm:t>
        <a:bodyPr/>
        <a:lstStyle/>
        <a:p>
          <a:endParaRPr lang="en-GB"/>
        </a:p>
      </dgm:t>
    </dgm:pt>
    <dgm:pt modelId="{0F1B55E6-547C-46ED-B2C4-1979E40F2445}" type="pres">
      <dgm:prSet presAssocID="{64D9034C-CDBC-4C28-9B7A-D64AAF536086}" presName="hierChild4" presStyleCnt="0"/>
      <dgm:spPr/>
    </dgm:pt>
    <dgm:pt modelId="{98FE3219-BB85-4A98-9C66-90F0DDD807D6}" type="pres">
      <dgm:prSet presAssocID="{9919BA61-6C92-447B-B094-B54CA7289B2A}" presName="Name23" presStyleLbl="parChTrans1D4" presStyleIdx="0" presStyleCnt="7"/>
      <dgm:spPr/>
      <dgm:t>
        <a:bodyPr/>
        <a:lstStyle/>
        <a:p>
          <a:endParaRPr lang="en-GB"/>
        </a:p>
      </dgm:t>
    </dgm:pt>
    <dgm:pt modelId="{5186E0B0-6589-4860-9D75-562D711E4E66}" type="pres">
      <dgm:prSet presAssocID="{60BD6327-EFD1-4DFA-9F6E-752B41780D7E}" presName="hierRoot4" presStyleCnt="0"/>
      <dgm:spPr/>
    </dgm:pt>
    <dgm:pt modelId="{9CA43D06-29CE-4AEF-BA53-317B0A817055}" type="pres">
      <dgm:prSet presAssocID="{60BD6327-EFD1-4DFA-9F6E-752B41780D7E}" presName="composite4" presStyleCnt="0"/>
      <dgm:spPr/>
    </dgm:pt>
    <dgm:pt modelId="{3B87E6CE-47DF-4F08-895F-57EF6A603E28}" type="pres">
      <dgm:prSet presAssocID="{60BD6327-EFD1-4DFA-9F6E-752B41780D7E}" presName="background4" presStyleLbl="node4" presStyleIdx="0" presStyleCnt="7"/>
      <dgm:spPr/>
    </dgm:pt>
    <dgm:pt modelId="{3C4269CD-AA62-4B5C-BE73-0D616A010EB3}" type="pres">
      <dgm:prSet presAssocID="{60BD6327-EFD1-4DFA-9F6E-752B41780D7E}" presName="text4" presStyleLbl="fgAcc4" presStyleIdx="0" presStyleCnt="7" custScaleX="149927" custScaleY="100109" custLinFactNeighborX="-11255" custLinFactNeighborY="10831">
        <dgm:presLayoutVars>
          <dgm:chPref val="3"/>
        </dgm:presLayoutVars>
      </dgm:prSet>
      <dgm:spPr/>
      <dgm:t>
        <a:bodyPr/>
        <a:lstStyle/>
        <a:p>
          <a:endParaRPr lang="en-GB"/>
        </a:p>
      </dgm:t>
    </dgm:pt>
    <dgm:pt modelId="{335F8D89-9E91-4F30-845A-F735D9B3471E}" type="pres">
      <dgm:prSet presAssocID="{60BD6327-EFD1-4DFA-9F6E-752B41780D7E}" presName="hierChild5" presStyleCnt="0"/>
      <dgm:spPr/>
    </dgm:pt>
    <dgm:pt modelId="{96FC2181-3358-4CE5-BCF0-99AD4FA8AE11}" type="pres">
      <dgm:prSet presAssocID="{690914EC-3755-4CA2-A382-B81B52FDE568}" presName="Name23" presStyleLbl="parChTrans1D4" presStyleIdx="1" presStyleCnt="7"/>
      <dgm:spPr/>
      <dgm:t>
        <a:bodyPr/>
        <a:lstStyle/>
        <a:p>
          <a:endParaRPr lang="en-GB"/>
        </a:p>
      </dgm:t>
    </dgm:pt>
    <dgm:pt modelId="{E936E0D3-C5BC-4804-8464-C3D31CE24257}" type="pres">
      <dgm:prSet presAssocID="{3F521D6B-499B-4F2C-9B5D-514F41F94F46}" presName="hierRoot4" presStyleCnt="0"/>
      <dgm:spPr/>
    </dgm:pt>
    <dgm:pt modelId="{F58BBC59-78AE-40E5-BB20-9FFFF389F485}" type="pres">
      <dgm:prSet presAssocID="{3F521D6B-499B-4F2C-9B5D-514F41F94F46}" presName="composite4" presStyleCnt="0"/>
      <dgm:spPr/>
    </dgm:pt>
    <dgm:pt modelId="{7F320C80-B7BB-4950-BD6B-2C92812550E5}" type="pres">
      <dgm:prSet presAssocID="{3F521D6B-499B-4F2C-9B5D-514F41F94F46}" presName="background4" presStyleLbl="node4" presStyleIdx="1" presStyleCnt="7"/>
      <dgm:spPr/>
    </dgm:pt>
    <dgm:pt modelId="{77FE04A1-E83C-4D69-9C24-58BB41300FCE}" type="pres">
      <dgm:prSet presAssocID="{3F521D6B-499B-4F2C-9B5D-514F41F94F46}" presName="text4" presStyleLbl="fgAcc4" presStyleIdx="1" presStyleCnt="7" custLinFactNeighborX="-11723" custLinFactNeighborY="72">
        <dgm:presLayoutVars>
          <dgm:chPref val="3"/>
        </dgm:presLayoutVars>
      </dgm:prSet>
      <dgm:spPr/>
      <dgm:t>
        <a:bodyPr/>
        <a:lstStyle/>
        <a:p>
          <a:endParaRPr lang="en-GB"/>
        </a:p>
      </dgm:t>
    </dgm:pt>
    <dgm:pt modelId="{79CD7108-ACE7-49F9-A52A-DC0E32D5932A}" type="pres">
      <dgm:prSet presAssocID="{3F521D6B-499B-4F2C-9B5D-514F41F94F46}" presName="hierChild5" presStyleCnt="0"/>
      <dgm:spPr/>
    </dgm:pt>
    <dgm:pt modelId="{7E34D8E4-7699-4A3E-AB17-1AFE22E123DB}" type="pres">
      <dgm:prSet presAssocID="{3B85180F-094F-4ED4-960F-E058C36484D8}" presName="Name23" presStyleLbl="parChTrans1D4" presStyleIdx="2" presStyleCnt="7"/>
      <dgm:spPr/>
      <dgm:t>
        <a:bodyPr/>
        <a:lstStyle/>
        <a:p>
          <a:endParaRPr lang="en-GB"/>
        </a:p>
      </dgm:t>
    </dgm:pt>
    <dgm:pt modelId="{990938F0-3632-4428-A5A6-B5E5D3191FAC}" type="pres">
      <dgm:prSet presAssocID="{EFCC635A-AF42-4629-91E0-CC9BE68CEDA1}" presName="hierRoot4" presStyleCnt="0"/>
      <dgm:spPr/>
    </dgm:pt>
    <dgm:pt modelId="{6E72F356-3D4D-4E37-B4AE-C949C07B62F6}" type="pres">
      <dgm:prSet presAssocID="{EFCC635A-AF42-4629-91E0-CC9BE68CEDA1}" presName="composite4" presStyleCnt="0"/>
      <dgm:spPr/>
    </dgm:pt>
    <dgm:pt modelId="{53F6C152-4720-4915-BC72-899D98DA3E61}" type="pres">
      <dgm:prSet presAssocID="{EFCC635A-AF42-4629-91E0-CC9BE68CEDA1}" presName="background4" presStyleLbl="node4" presStyleIdx="2" presStyleCnt="7"/>
      <dgm:spPr/>
    </dgm:pt>
    <dgm:pt modelId="{4F008427-D2F3-4EE7-81FE-1104E0F50C6B}" type="pres">
      <dgm:prSet presAssocID="{EFCC635A-AF42-4629-91E0-CC9BE68CEDA1}" presName="text4" presStyleLbl="fgAcc4" presStyleIdx="2" presStyleCnt="7" custScaleX="149927" custScaleY="100109" custLinFactNeighborX="-11255" custLinFactNeighborY="10831">
        <dgm:presLayoutVars>
          <dgm:chPref val="3"/>
        </dgm:presLayoutVars>
      </dgm:prSet>
      <dgm:spPr/>
      <dgm:t>
        <a:bodyPr/>
        <a:lstStyle/>
        <a:p>
          <a:endParaRPr lang="en-GB"/>
        </a:p>
      </dgm:t>
    </dgm:pt>
    <dgm:pt modelId="{EB1AA48B-A67A-49BB-85FE-EDE3D32B32E8}" type="pres">
      <dgm:prSet presAssocID="{EFCC635A-AF42-4629-91E0-CC9BE68CEDA1}" presName="hierChild5" presStyleCnt="0"/>
      <dgm:spPr/>
    </dgm:pt>
    <dgm:pt modelId="{10E3E00F-6BF2-499F-8DE3-176516DCFE64}" type="pres">
      <dgm:prSet presAssocID="{2A828BAD-CAF4-4D1D-8182-699254AF43B7}" presName="Name23" presStyleLbl="parChTrans1D4" presStyleIdx="3" presStyleCnt="7"/>
      <dgm:spPr/>
      <dgm:t>
        <a:bodyPr/>
        <a:lstStyle/>
        <a:p>
          <a:endParaRPr lang="en-GB"/>
        </a:p>
      </dgm:t>
    </dgm:pt>
    <dgm:pt modelId="{7243C637-A70B-4965-99E0-8C962BDB4726}" type="pres">
      <dgm:prSet presAssocID="{BBCD6B81-3CF6-48A1-B065-95BE48846543}" presName="hierRoot4" presStyleCnt="0"/>
      <dgm:spPr/>
    </dgm:pt>
    <dgm:pt modelId="{5614E2F5-0EE1-497B-BFB7-1B397408BAFD}" type="pres">
      <dgm:prSet presAssocID="{BBCD6B81-3CF6-48A1-B065-95BE48846543}" presName="composite4" presStyleCnt="0"/>
      <dgm:spPr/>
    </dgm:pt>
    <dgm:pt modelId="{78CA5527-28ED-4BEE-BF4A-17321EFECEC4}" type="pres">
      <dgm:prSet presAssocID="{BBCD6B81-3CF6-48A1-B065-95BE48846543}" presName="background4" presStyleLbl="node4" presStyleIdx="3" presStyleCnt="7"/>
      <dgm:spPr/>
    </dgm:pt>
    <dgm:pt modelId="{9002B704-7774-4BDB-A0B0-0D83467E12FB}" type="pres">
      <dgm:prSet presAssocID="{BBCD6B81-3CF6-48A1-B065-95BE48846543}" presName="text4" presStyleLbl="fgAcc4" presStyleIdx="3" presStyleCnt="7" custLinFactNeighborX="-11255" custLinFactNeighborY="72">
        <dgm:presLayoutVars>
          <dgm:chPref val="3"/>
        </dgm:presLayoutVars>
      </dgm:prSet>
      <dgm:spPr/>
      <dgm:t>
        <a:bodyPr/>
        <a:lstStyle/>
        <a:p>
          <a:endParaRPr lang="en-GB"/>
        </a:p>
      </dgm:t>
    </dgm:pt>
    <dgm:pt modelId="{0605C076-C7DC-490A-84D9-297849F76EE1}" type="pres">
      <dgm:prSet presAssocID="{BBCD6B81-3CF6-48A1-B065-95BE48846543}" presName="hierChild5" presStyleCnt="0"/>
      <dgm:spPr/>
    </dgm:pt>
    <dgm:pt modelId="{F9C88A4A-9023-4693-8446-EEE50EE75861}" type="pres">
      <dgm:prSet presAssocID="{2A74E911-2E5D-4D85-9202-0696509A950D}" presName="Name23" presStyleLbl="parChTrans1D4" presStyleIdx="4" presStyleCnt="7"/>
      <dgm:spPr/>
      <dgm:t>
        <a:bodyPr/>
        <a:lstStyle/>
        <a:p>
          <a:endParaRPr lang="en-GB"/>
        </a:p>
      </dgm:t>
    </dgm:pt>
    <dgm:pt modelId="{2C5876E4-F53B-4642-A5B1-383B90305370}" type="pres">
      <dgm:prSet presAssocID="{1FE2A823-B35A-4B7C-818E-0BC23163D42D}" presName="hierRoot4" presStyleCnt="0"/>
      <dgm:spPr/>
    </dgm:pt>
    <dgm:pt modelId="{88B26044-401A-4289-8115-257E77520187}" type="pres">
      <dgm:prSet presAssocID="{1FE2A823-B35A-4B7C-818E-0BC23163D42D}" presName="composite4" presStyleCnt="0"/>
      <dgm:spPr/>
    </dgm:pt>
    <dgm:pt modelId="{3A435416-E320-4516-8CF7-FFFE3BCC89C7}" type="pres">
      <dgm:prSet presAssocID="{1FE2A823-B35A-4B7C-818E-0BC23163D42D}" presName="background4" presStyleLbl="node4" presStyleIdx="4" presStyleCnt="7"/>
      <dgm:spPr/>
    </dgm:pt>
    <dgm:pt modelId="{F5CE84F1-D7E3-4836-8805-D1EC31366286}" type="pres">
      <dgm:prSet presAssocID="{1FE2A823-B35A-4B7C-818E-0BC23163D42D}" presName="text4" presStyleLbl="fgAcc4" presStyleIdx="4" presStyleCnt="7" custScaleX="149927" custScaleY="100109" custLinFactNeighborX="-11255" custLinFactNeighborY="10831">
        <dgm:presLayoutVars>
          <dgm:chPref val="3"/>
        </dgm:presLayoutVars>
      </dgm:prSet>
      <dgm:spPr/>
      <dgm:t>
        <a:bodyPr/>
        <a:lstStyle/>
        <a:p>
          <a:endParaRPr lang="en-GB"/>
        </a:p>
      </dgm:t>
    </dgm:pt>
    <dgm:pt modelId="{D5B76D53-5BE0-4C7C-B54E-DD42E70D93EC}" type="pres">
      <dgm:prSet presAssocID="{1FE2A823-B35A-4B7C-818E-0BC23163D42D}" presName="hierChild5" presStyleCnt="0"/>
      <dgm:spPr/>
    </dgm:pt>
    <dgm:pt modelId="{C476D46F-F1F6-4A52-A028-31482663EADA}" type="pres">
      <dgm:prSet presAssocID="{B6104FA0-E9AC-421E-A4F7-3B4E7B3A8AFF}" presName="Name23" presStyleLbl="parChTrans1D4" presStyleIdx="5" presStyleCnt="7"/>
      <dgm:spPr/>
      <dgm:t>
        <a:bodyPr/>
        <a:lstStyle/>
        <a:p>
          <a:endParaRPr lang="en-GB"/>
        </a:p>
      </dgm:t>
    </dgm:pt>
    <dgm:pt modelId="{EB7D7BE4-41DA-4D2A-A9F8-D22E5693231E}" type="pres">
      <dgm:prSet presAssocID="{4458C3AD-F6FA-47B2-8917-0035481B655C}" presName="hierRoot4" presStyleCnt="0"/>
      <dgm:spPr/>
    </dgm:pt>
    <dgm:pt modelId="{14D1A252-1EB4-47C9-AF7A-D013AF472E66}" type="pres">
      <dgm:prSet presAssocID="{4458C3AD-F6FA-47B2-8917-0035481B655C}" presName="composite4" presStyleCnt="0"/>
      <dgm:spPr/>
    </dgm:pt>
    <dgm:pt modelId="{431276B8-BC40-4831-AFAC-73F3FAE4ED43}" type="pres">
      <dgm:prSet presAssocID="{4458C3AD-F6FA-47B2-8917-0035481B655C}" presName="background4" presStyleLbl="node4" presStyleIdx="5" presStyleCnt="7"/>
      <dgm:spPr/>
    </dgm:pt>
    <dgm:pt modelId="{3272F2D0-7AA6-4E5A-AA6E-7A1CAA754EF8}" type="pres">
      <dgm:prSet presAssocID="{4458C3AD-F6FA-47B2-8917-0035481B655C}" presName="text4" presStyleLbl="fgAcc4" presStyleIdx="5" presStyleCnt="7" custLinFactNeighborX="-11255" custLinFactNeighborY="72">
        <dgm:presLayoutVars>
          <dgm:chPref val="3"/>
        </dgm:presLayoutVars>
      </dgm:prSet>
      <dgm:spPr/>
      <dgm:t>
        <a:bodyPr/>
        <a:lstStyle/>
        <a:p>
          <a:endParaRPr lang="en-GB"/>
        </a:p>
      </dgm:t>
    </dgm:pt>
    <dgm:pt modelId="{2453F1CD-E82E-44E3-8A0B-FB063ED94219}" type="pres">
      <dgm:prSet presAssocID="{4458C3AD-F6FA-47B2-8917-0035481B655C}" presName="hierChild5" presStyleCnt="0"/>
      <dgm:spPr/>
    </dgm:pt>
    <dgm:pt modelId="{0C1A4F60-4710-4FD4-BF3E-DB3C82FFE386}" type="pres">
      <dgm:prSet presAssocID="{C9BB5D99-EDC1-4CA0-8B7B-DB374F749E26}" presName="Name23" presStyleLbl="parChTrans1D4" presStyleIdx="6" presStyleCnt="7"/>
      <dgm:spPr/>
      <dgm:t>
        <a:bodyPr/>
        <a:lstStyle/>
        <a:p>
          <a:endParaRPr lang="en-GB"/>
        </a:p>
      </dgm:t>
    </dgm:pt>
    <dgm:pt modelId="{ED8E2D58-534B-47BF-9BB3-B490F8E5227C}" type="pres">
      <dgm:prSet presAssocID="{8E403A54-1915-4162-981F-6D9584DF898A}" presName="hierRoot4" presStyleCnt="0"/>
      <dgm:spPr/>
    </dgm:pt>
    <dgm:pt modelId="{AC8C505E-9A61-4A5F-9A29-D54B9633A686}" type="pres">
      <dgm:prSet presAssocID="{8E403A54-1915-4162-981F-6D9584DF898A}" presName="composite4" presStyleCnt="0"/>
      <dgm:spPr/>
    </dgm:pt>
    <dgm:pt modelId="{AAA26039-47CB-46EC-BFF4-4CC120D5927A}" type="pres">
      <dgm:prSet presAssocID="{8E403A54-1915-4162-981F-6D9584DF898A}" presName="background4" presStyleLbl="node4" presStyleIdx="6" presStyleCnt="7"/>
      <dgm:spPr/>
    </dgm:pt>
    <dgm:pt modelId="{414DAC03-3740-4C34-BD87-E8EA7B6793EE}" type="pres">
      <dgm:prSet presAssocID="{8E403A54-1915-4162-981F-6D9584DF898A}" presName="text4" presStyleLbl="fgAcc4" presStyleIdx="6" presStyleCnt="7" custScaleX="149927" custScaleY="100109" custLinFactNeighborX="-9145" custLinFactNeighborY="10174">
        <dgm:presLayoutVars>
          <dgm:chPref val="3"/>
        </dgm:presLayoutVars>
      </dgm:prSet>
      <dgm:spPr/>
      <dgm:t>
        <a:bodyPr/>
        <a:lstStyle/>
        <a:p>
          <a:endParaRPr lang="en-GB"/>
        </a:p>
      </dgm:t>
    </dgm:pt>
    <dgm:pt modelId="{14C122E1-E6F8-4D5A-9687-1670AECCDD92}" type="pres">
      <dgm:prSet presAssocID="{8E403A54-1915-4162-981F-6D9584DF898A}" presName="hierChild5" presStyleCnt="0"/>
      <dgm:spPr/>
    </dgm:pt>
  </dgm:ptLst>
  <dgm:cxnLst>
    <dgm:cxn modelId="{644FD8BA-A30A-4674-B21C-446D9994952C}" type="presOf" srcId="{08D0FAE8-1647-46BF-8DE3-882F4A90F8E6}" destId="{551B26D7-2257-455E-9A27-396E8A89FE8C}" srcOrd="0" destOrd="0" presId="urn:microsoft.com/office/officeart/2005/8/layout/hierarchy1"/>
    <dgm:cxn modelId="{A0EA4673-B889-42D7-A00A-14469F3D6FD9}" type="presOf" srcId="{3F521D6B-499B-4F2C-9B5D-514F41F94F46}" destId="{77FE04A1-E83C-4D69-9C24-58BB41300FCE}" srcOrd="0" destOrd="0" presId="urn:microsoft.com/office/officeart/2005/8/layout/hierarchy1"/>
    <dgm:cxn modelId="{D6E67D86-21EE-4779-B607-1869482F0D33}" type="presOf" srcId="{2A828BAD-CAF4-4D1D-8182-699254AF43B7}" destId="{10E3E00F-6BF2-499F-8DE3-176516DCFE64}" srcOrd="0" destOrd="0" presId="urn:microsoft.com/office/officeart/2005/8/layout/hierarchy1"/>
    <dgm:cxn modelId="{9B6454C2-D796-4D0C-9BFE-F033F3502F6C}" type="presOf" srcId="{2A74E911-2E5D-4D85-9202-0696509A950D}" destId="{F9C88A4A-9023-4693-8446-EEE50EE75861}" srcOrd="0" destOrd="0" presId="urn:microsoft.com/office/officeart/2005/8/layout/hierarchy1"/>
    <dgm:cxn modelId="{D2AAE94A-B872-4679-8479-2E851EF77B6C}" type="presOf" srcId="{47BFA9F8-715E-48CB-8E51-5F11449F0922}" destId="{8734EFA6-FC38-4152-9518-B3A4029148ED}" srcOrd="0" destOrd="0" presId="urn:microsoft.com/office/officeart/2005/8/layout/hierarchy1"/>
    <dgm:cxn modelId="{B7299FA6-E9FF-4562-9E00-BE5B771D0D7C}" type="presOf" srcId="{3B85180F-094F-4ED4-960F-E058C36484D8}" destId="{7E34D8E4-7699-4A3E-AB17-1AFE22E123DB}" srcOrd="0" destOrd="0" presId="urn:microsoft.com/office/officeart/2005/8/layout/hierarchy1"/>
    <dgm:cxn modelId="{8920738C-82D3-4671-A298-CB49BDB0C6D6}" type="presOf" srcId="{690914EC-3755-4CA2-A382-B81B52FDE568}" destId="{96FC2181-3358-4CE5-BCF0-99AD4FA8AE11}" srcOrd="0" destOrd="0" presId="urn:microsoft.com/office/officeart/2005/8/layout/hierarchy1"/>
    <dgm:cxn modelId="{F9126A40-3E22-496A-8CCC-F19FEC67772A}" type="presOf" srcId="{B6104FA0-E9AC-421E-A4F7-3B4E7B3A8AFF}" destId="{C476D46F-F1F6-4A52-A028-31482663EADA}" srcOrd="0" destOrd="0" presId="urn:microsoft.com/office/officeart/2005/8/layout/hierarchy1"/>
    <dgm:cxn modelId="{E4D2B677-7DE0-49C7-819B-8556D47296B3}" srcId="{64D9034C-CDBC-4C28-9B7A-D64AAF536086}" destId="{60BD6327-EFD1-4DFA-9F6E-752B41780D7E}" srcOrd="0" destOrd="0" parTransId="{9919BA61-6C92-447B-B094-B54CA7289B2A}" sibTransId="{08B247A9-2DA1-4356-8CB4-75E73A6939BE}"/>
    <dgm:cxn modelId="{F1BA7AD4-FEF2-4FB3-A753-9FEA2CDDD230}" type="presOf" srcId="{BBCD6B81-3CF6-48A1-B065-95BE48846543}" destId="{9002B704-7774-4BDB-A0B0-0D83467E12FB}" srcOrd="0" destOrd="0" presId="urn:microsoft.com/office/officeart/2005/8/layout/hierarchy1"/>
    <dgm:cxn modelId="{9EA487B8-039E-4278-A8AA-B5880654666E}" srcId="{64D9034C-CDBC-4C28-9B7A-D64AAF536086}" destId="{1FE2A823-B35A-4B7C-818E-0BC23163D42D}" srcOrd="2" destOrd="0" parTransId="{2A74E911-2E5D-4D85-9202-0696509A950D}" sibTransId="{5C88C99C-1712-4561-BA99-AC7DFB477085}"/>
    <dgm:cxn modelId="{8ED6D741-A8FD-4132-8E6B-A949F8FD8232}" srcId="{64D9034C-CDBC-4C28-9B7A-D64AAF536086}" destId="{8E403A54-1915-4162-981F-6D9584DF898A}" srcOrd="3" destOrd="0" parTransId="{C9BB5D99-EDC1-4CA0-8B7B-DB374F749E26}" sibTransId="{CAB26981-1EFD-4763-A153-90B55311D110}"/>
    <dgm:cxn modelId="{516B10C4-0F33-45A4-99ED-2C0C3185BCF0}" srcId="{7BF26DE3-08ED-4A85-A4C1-F9A68B2F5632}" destId="{08D0FAE8-1647-46BF-8DE3-882F4A90F8E6}" srcOrd="0" destOrd="0" parTransId="{0B1124A4-6676-4E14-BBDC-B96444F43996}" sibTransId="{40162DE6-497C-4DFF-900E-D9A16A44ACB1}"/>
    <dgm:cxn modelId="{6D445EB6-E59C-446C-96EE-A4F0E171741A}" type="presOf" srcId="{8E403A54-1915-4162-981F-6D9584DF898A}" destId="{414DAC03-3740-4C34-BD87-E8EA7B6793EE}" srcOrd="0" destOrd="0" presId="urn:microsoft.com/office/officeart/2005/8/layout/hierarchy1"/>
    <dgm:cxn modelId="{2C9B7579-EA7A-4DD2-89F1-4B4627EC09BE}" type="presOf" srcId="{60BD6327-EFD1-4DFA-9F6E-752B41780D7E}" destId="{3C4269CD-AA62-4B5C-BE73-0D616A010EB3}" srcOrd="0" destOrd="0" presId="urn:microsoft.com/office/officeart/2005/8/layout/hierarchy1"/>
    <dgm:cxn modelId="{E7770EE8-E65E-4AE4-80C4-9D5B28208DDF}" type="presOf" srcId="{EFCC635A-AF42-4629-91E0-CC9BE68CEDA1}" destId="{4F008427-D2F3-4EE7-81FE-1104E0F50C6B}" srcOrd="0" destOrd="0" presId="urn:microsoft.com/office/officeart/2005/8/layout/hierarchy1"/>
    <dgm:cxn modelId="{049D14B5-0AB2-48FD-BC68-3FC5F73B6518}" type="presOf" srcId="{64D9034C-CDBC-4C28-9B7A-D64AAF536086}" destId="{F0261107-F94A-457F-93EF-583F8412307B}" srcOrd="0" destOrd="0" presId="urn:microsoft.com/office/officeart/2005/8/layout/hierarchy1"/>
    <dgm:cxn modelId="{A5577FA3-9739-4392-9B84-AD7E31D8E65F}" srcId="{60BD6327-EFD1-4DFA-9F6E-752B41780D7E}" destId="{3F521D6B-499B-4F2C-9B5D-514F41F94F46}" srcOrd="0" destOrd="0" parTransId="{690914EC-3755-4CA2-A382-B81B52FDE568}" sibTransId="{7DC77DF7-E6DA-47A6-AC38-FACDA484671B}"/>
    <dgm:cxn modelId="{392A65D8-3939-42EA-AC03-2711CCD7A3A6}" srcId="{08D0FAE8-1647-46BF-8DE3-882F4A90F8E6}" destId="{47BFA9F8-715E-48CB-8E51-5F11449F0922}" srcOrd="0" destOrd="0" parTransId="{543AA4AE-D38E-4E8C-AA1E-0ED4971A8696}" sibTransId="{D9882B80-00EE-48F4-8C8E-3B58C469A905}"/>
    <dgm:cxn modelId="{3F483EF6-D893-425E-B86B-06F047AD7D80}" type="presOf" srcId="{7BF26DE3-08ED-4A85-A4C1-F9A68B2F5632}" destId="{D060A7A5-0E5E-4778-BFF4-50DDF45C4245}" srcOrd="0" destOrd="0" presId="urn:microsoft.com/office/officeart/2005/8/layout/hierarchy1"/>
    <dgm:cxn modelId="{EB4676AB-C680-4121-AFDE-3531E3DC3753}" type="presOf" srcId="{4458C3AD-F6FA-47B2-8917-0035481B655C}" destId="{3272F2D0-7AA6-4E5A-AA6E-7A1CAA754EF8}" srcOrd="0" destOrd="0" presId="urn:microsoft.com/office/officeart/2005/8/layout/hierarchy1"/>
    <dgm:cxn modelId="{C8C0133E-AD19-49A2-9A20-4F01E3DD4D2C}" srcId="{1FE2A823-B35A-4B7C-818E-0BC23163D42D}" destId="{4458C3AD-F6FA-47B2-8917-0035481B655C}" srcOrd="0" destOrd="0" parTransId="{B6104FA0-E9AC-421E-A4F7-3B4E7B3A8AFF}" sibTransId="{B31DC684-E615-4DE9-90D0-1C3393CF47B1}"/>
    <dgm:cxn modelId="{452E8042-EE6B-40F1-80FC-7B739DE9003A}" type="presOf" srcId="{1FE2A823-B35A-4B7C-818E-0BC23163D42D}" destId="{F5CE84F1-D7E3-4836-8805-D1EC31366286}" srcOrd="0" destOrd="0" presId="urn:microsoft.com/office/officeart/2005/8/layout/hierarchy1"/>
    <dgm:cxn modelId="{6BC2E102-A444-49BE-B4C0-136AFC2FAB1D}" type="presOf" srcId="{8E71E744-C3F7-4335-A7C7-7AE5692D5E5E}" destId="{40EBC6DC-9AF0-4887-BE65-4A519B72DF0D}" srcOrd="0" destOrd="0" presId="urn:microsoft.com/office/officeart/2005/8/layout/hierarchy1"/>
    <dgm:cxn modelId="{EA5E6AEB-BC6A-4389-8483-071D067AD39B}" type="presOf" srcId="{9919BA61-6C92-447B-B094-B54CA7289B2A}" destId="{98FE3219-BB85-4A98-9C66-90F0DDD807D6}" srcOrd="0" destOrd="0" presId="urn:microsoft.com/office/officeart/2005/8/layout/hierarchy1"/>
    <dgm:cxn modelId="{EBAA7D96-BD8B-42A7-87EB-E8C25ED669AE}" srcId="{64D9034C-CDBC-4C28-9B7A-D64AAF536086}" destId="{EFCC635A-AF42-4629-91E0-CC9BE68CEDA1}" srcOrd="1" destOrd="0" parTransId="{3B85180F-094F-4ED4-960F-E058C36484D8}" sibTransId="{F6EA11A8-C8EF-4F07-A845-40B1DD457150}"/>
    <dgm:cxn modelId="{B31D4999-111D-4090-9E9D-3DA4B46D1768}" type="presOf" srcId="{543AA4AE-D38E-4E8C-AA1E-0ED4971A8696}" destId="{6FAC5AAE-BBAB-4DDA-8348-BDBA47C6CF26}" srcOrd="0" destOrd="0" presId="urn:microsoft.com/office/officeart/2005/8/layout/hierarchy1"/>
    <dgm:cxn modelId="{1DA2BD72-38E7-40B2-B86D-9E686EAE6AEB}" srcId="{EFCC635A-AF42-4629-91E0-CC9BE68CEDA1}" destId="{BBCD6B81-3CF6-48A1-B065-95BE48846543}" srcOrd="0" destOrd="0" parTransId="{2A828BAD-CAF4-4D1D-8182-699254AF43B7}" sibTransId="{17F0FAEB-3AC3-4912-A14E-E538B89719E3}"/>
    <dgm:cxn modelId="{F3F4B7AC-8BD6-44C7-8BC0-04ED41961D31}" type="presOf" srcId="{C9BB5D99-EDC1-4CA0-8B7B-DB374F749E26}" destId="{0C1A4F60-4710-4FD4-BF3E-DB3C82FFE386}" srcOrd="0" destOrd="0" presId="urn:microsoft.com/office/officeart/2005/8/layout/hierarchy1"/>
    <dgm:cxn modelId="{17DBFAD1-8A7E-466F-B606-A7B9E2B97795}" srcId="{47BFA9F8-715E-48CB-8E51-5F11449F0922}" destId="{64D9034C-CDBC-4C28-9B7A-D64AAF536086}" srcOrd="0" destOrd="0" parTransId="{8E71E744-C3F7-4335-A7C7-7AE5692D5E5E}" sibTransId="{693D9FE9-C1DF-4A35-AEF8-360E154521BA}"/>
    <dgm:cxn modelId="{9024A5EB-C5CB-462E-AB87-BE48D5801E09}" type="presParOf" srcId="{D060A7A5-0E5E-4778-BFF4-50DDF45C4245}" destId="{2503FCFF-EF9C-46BD-938B-5B97FB1CF6CF}" srcOrd="0" destOrd="0" presId="urn:microsoft.com/office/officeart/2005/8/layout/hierarchy1"/>
    <dgm:cxn modelId="{A926D571-F276-44AC-AA57-F3C48EBD8233}" type="presParOf" srcId="{2503FCFF-EF9C-46BD-938B-5B97FB1CF6CF}" destId="{9E0DB58F-2634-49A3-A24E-15844EE6C503}" srcOrd="0" destOrd="0" presId="urn:microsoft.com/office/officeart/2005/8/layout/hierarchy1"/>
    <dgm:cxn modelId="{47CEDF4F-E4D5-4E99-B01F-4E51CEAC0825}" type="presParOf" srcId="{9E0DB58F-2634-49A3-A24E-15844EE6C503}" destId="{C952FABD-CE4D-4F45-B361-A53E36515C46}" srcOrd="0" destOrd="0" presId="urn:microsoft.com/office/officeart/2005/8/layout/hierarchy1"/>
    <dgm:cxn modelId="{BB5CD911-BF06-4BFE-94CE-E5E4A91EF051}" type="presParOf" srcId="{9E0DB58F-2634-49A3-A24E-15844EE6C503}" destId="{551B26D7-2257-455E-9A27-396E8A89FE8C}" srcOrd="1" destOrd="0" presId="urn:microsoft.com/office/officeart/2005/8/layout/hierarchy1"/>
    <dgm:cxn modelId="{6B9A3DD9-5F15-4FB8-9F1D-24D92B775334}" type="presParOf" srcId="{2503FCFF-EF9C-46BD-938B-5B97FB1CF6CF}" destId="{ADC4E161-0D9B-43EC-84B3-3C06DB20D2D8}" srcOrd="1" destOrd="0" presId="urn:microsoft.com/office/officeart/2005/8/layout/hierarchy1"/>
    <dgm:cxn modelId="{60C112EE-3E46-488A-946F-88366E5BBA53}" type="presParOf" srcId="{ADC4E161-0D9B-43EC-84B3-3C06DB20D2D8}" destId="{6FAC5AAE-BBAB-4DDA-8348-BDBA47C6CF26}" srcOrd="0" destOrd="0" presId="urn:microsoft.com/office/officeart/2005/8/layout/hierarchy1"/>
    <dgm:cxn modelId="{99450F96-1926-4084-9100-78173CF9950B}" type="presParOf" srcId="{ADC4E161-0D9B-43EC-84B3-3C06DB20D2D8}" destId="{90207AC8-EC8C-4BCC-9138-00B1615D1625}" srcOrd="1" destOrd="0" presId="urn:microsoft.com/office/officeart/2005/8/layout/hierarchy1"/>
    <dgm:cxn modelId="{3721CE33-3188-4BF4-8569-C0DAB0C742BF}" type="presParOf" srcId="{90207AC8-EC8C-4BCC-9138-00B1615D1625}" destId="{885290C9-628D-4C9A-B195-1111A25CBCC9}" srcOrd="0" destOrd="0" presId="urn:microsoft.com/office/officeart/2005/8/layout/hierarchy1"/>
    <dgm:cxn modelId="{16B63FBA-03D3-4C34-ABB9-155145C51FA2}" type="presParOf" srcId="{885290C9-628D-4C9A-B195-1111A25CBCC9}" destId="{4BD71872-29A7-4A6C-90DC-E972F364BE06}" srcOrd="0" destOrd="0" presId="urn:microsoft.com/office/officeart/2005/8/layout/hierarchy1"/>
    <dgm:cxn modelId="{063C0BC9-A482-4E41-8D59-3B1D33F1F06C}" type="presParOf" srcId="{885290C9-628D-4C9A-B195-1111A25CBCC9}" destId="{8734EFA6-FC38-4152-9518-B3A4029148ED}" srcOrd="1" destOrd="0" presId="urn:microsoft.com/office/officeart/2005/8/layout/hierarchy1"/>
    <dgm:cxn modelId="{E1C84194-6E8E-4A65-928B-58490D6346D2}" type="presParOf" srcId="{90207AC8-EC8C-4BCC-9138-00B1615D1625}" destId="{9255584A-DB7E-4904-859E-3D91A56C0EDB}" srcOrd="1" destOrd="0" presId="urn:microsoft.com/office/officeart/2005/8/layout/hierarchy1"/>
    <dgm:cxn modelId="{D0F648DD-C07A-4344-8CFC-78A35573A8EF}" type="presParOf" srcId="{9255584A-DB7E-4904-859E-3D91A56C0EDB}" destId="{40EBC6DC-9AF0-4887-BE65-4A519B72DF0D}" srcOrd="0" destOrd="0" presId="urn:microsoft.com/office/officeart/2005/8/layout/hierarchy1"/>
    <dgm:cxn modelId="{77AF2B5B-96D5-49E6-97F4-AE6D327A32CF}" type="presParOf" srcId="{9255584A-DB7E-4904-859E-3D91A56C0EDB}" destId="{BE455B14-1C81-4BA2-8067-FF65E6A8873A}" srcOrd="1" destOrd="0" presId="urn:microsoft.com/office/officeart/2005/8/layout/hierarchy1"/>
    <dgm:cxn modelId="{25171456-ABD3-4C1B-88BD-53E310FFBCE1}" type="presParOf" srcId="{BE455B14-1C81-4BA2-8067-FF65E6A8873A}" destId="{5E176E5B-2CCB-4B46-AC0B-3AF7C25D4B6B}" srcOrd="0" destOrd="0" presId="urn:microsoft.com/office/officeart/2005/8/layout/hierarchy1"/>
    <dgm:cxn modelId="{5417F191-E9AA-4C08-819E-BC6138C40C37}" type="presParOf" srcId="{5E176E5B-2CCB-4B46-AC0B-3AF7C25D4B6B}" destId="{1987CDD4-8195-4EA0-A021-6CF91F430DF7}" srcOrd="0" destOrd="0" presId="urn:microsoft.com/office/officeart/2005/8/layout/hierarchy1"/>
    <dgm:cxn modelId="{6B94E8AE-7E65-430C-996A-A5CACF432548}" type="presParOf" srcId="{5E176E5B-2CCB-4B46-AC0B-3AF7C25D4B6B}" destId="{F0261107-F94A-457F-93EF-583F8412307B}" srcOrd="1" destOrd="0" presId="urn:microsoft.com/office/officeart/2005/8/layout/hierarchy1"/>
    <dgm:cxn modelId="{401D247D-3049-4A94-8B00-54DE4105FA4E}" type="presParOf" srcId="{BE455B14-1C81-4BA2-8067-FF65E6A8873A}" destId="{0F1B55E6-547C-46ED-B2C4-1979E40F2445}" srcOrd="1" destOrd="0" presId="urn:microsoft.com/office/officeart/2005/8/layout/hierarchy1"/>
    <dgm:cxn modelId="{DF4971B7-1419-4F97-B596-7FCB5ABCA80C}" type="presParOf" srcId="{0F1B55E6-547C-46ED-B2C4-1979E40F2445}" destId="{98FE3219-BB85-4A98-9C66-90F0DDD807D6}" srcOrd="0" destOrd="0" presId="urn:microsoft.com/office/officeart/2005/8/layout/hierarchy1"/>
    <dgm:cxn modelId="{0CA0FE80-517B-49A9-9129-3A2516B5B950}" type="presParOf" srcId="{0F1B55E6-547C-46ED-B2C4-1979E40F2445}" destId="{5186E0B0-6589-4860-9D75-562D711E4E66}" srcOrd="1" destOrd="0" presId="urn:microsoft.com/office/officeart/2005/8/layout/hierarchy1"/>
    <dgm:cxn modelId="{CD931F6B-10BD-4ECA-BFD6-03FF51F005C7}" type="presParOf" srcId="{5186E0B0-6589-4860-9D75-562D711E4E66}" destId="{9CA43D06-29CE-4AEF-BA53-317B0A817055}" srcOrd="0" destOrd="0" presId="urn:microsoft.com/office/officeart/2005/8/layout/hierarchy1"/>
    <dgm:cxn modelId="{28118652-0F0C-42B2-B69D-D7F3FF0AAB11}" type="presParOf" srcId="{9CA43D06-29CE-4AEF-BA53-317B0A817055}" destId="{3B87E6CE-47DF-4F08-895F-57EF6A603E28}" srcOrd="0" destOrd="0" presId="urn:microsoft.com/office/officeart/2005/8/layout/hierarchy1"/>
    <dgm:cxn modelId="{DD21CDE8-770F-4039-BBB5-D13FE796F7E9}" type="presParOf" srcId="{9CA43D06-29CE-4AEF-BA53-317B0A817055}" destId="{3C4269CD-AA62-4B5C-BE73-0D616A010EB3}" srcOrd="1" destOrd="0" presId="urn:microsoft.com/office/officeart/2005/8/layout/hierarchy1"/>
    <dgm:cxn modelId="{2FCCD7CF-5EBD-4E15-B7A8-2E06F18486A8}" type="presParOf" srcId="{5186E0B0-6589-4860-9D75-562D711E4E66}" destId="{335F8D89-9E91-4F30-845A-F735D9B3471E}" srcOrd="1" destOrd="0" presId="urn:microsoft.com/office/officeart/2005/8/layout/hierarchy1"/>
    <dgm:cxn modelId="{1B5CE3F8-820A-45B5-BC10-9A88B45B6B67}" type="presParOf" srcId="{335F8D89-9E91-4F30-845A-F735D9B3471E}" destId="{96FC2181-3358-4CE5-BCF0-99AD4FA8AE11}" srcOrd="0" destOrd="0" presId="urn:microsoft.com/office/officeart/2005/8/layout/hierarchy1"/>
    <dgm:cxn modelId="{B2C84DAE-EF92-46B5-A588-3AA31CA883A8}" type="presParOf" srcId="{335F8D89-9E91-4F30-845A-F735D9B3471E}" destId="{E936E0D3-C5BC-4804-8464-C3D31CE24257}" srcOrd="1" destOrd="0" presId="urn:microsoft.com/office/officeart/2005/8/layout/hierarchy1"/>
    <dgm:cxn modelId="{395CDACF-548D-4EB5-9F0D-E53912BCBC73}" type="presParOf" srcId="{E936E0D3-C5BC-4804-8464-C3D31CE24257}" destId="{F58BBC59-78AE-40E5-BB20-9FFFF389F485}" srcOrd="0" destOrd="0" presId="urn:microsoft.com/office/officeart/2005/8/layout/hierarchy1"/>
    <dgm:cxn modelId="{BF048451-F5B6-4366-9883-39DA0CDCC937}" type="presParOf" srcId="{F58BBC59-78AE-40E5-BB20-9FFFF389F485}" destId="{7F320C80-B7BB-4950-BD6B-2C92812550E5}" srcOrd="0" destOrd="0" presId="urn:microsoft.com/office/officeart/2005/8/layout/hierarchy1"/>
    <dgm:cxn modelId="{5DB0A857-A998-4CA6-BC99-76959C44AFE9}" type="presParOf" srcId="{F58BBC59-78AE-40E5-BB20-9FFFF389F485}" destId="{77FE04A1-E83C-4D69-9C24-58BB41300FCE}" srcOrd="1" destOrd="0" presId="urn:microsoft.com/office/officeart/2005/8/layout/hierarchy1"/>
    <dgm:cxn modelId="{F266E22A-2365-4183-BF28-587EC66D1A9B}" type="presParOf" srcId="{E936E0D3-C5BC-4804-8464-C3D31CE24257}" destId="{79CD7108-ACE7-49F9-A52A-DC0E32D5932A}" srcOrd="1" destOrd="0" presId="urn:microsoft.com/office/officeart/2005/8/layout/hierarchy1"/>
    <dgm:cxn modelId="{1F443F37-F6CA-4DA1-A89D-D24E12F38B5D}" type="presParOf" srcId="{0F1B55E6-547C-46ED-B2C4-1979E40F2445}" destId="{7E34D8E4-7699-4A3E-AB17-1AFE22E123DB}" srcOrd="2" destOrd="0" presId="urn:microsoft.com/office/officeart/2005/8/layout/hierarchy1"/>
    <dgm:cxn modelId="{53248827-6391-4A54-944A-86B7B1F8A875}" type="presParOf" srcId="{0F1B55E6-547C-46ED-B2C4-1979E40F2445}" destId="{990938F0-3632-4428-A5A6-B5E5D3191FAC}" srcOrd="3" destOrd="0" presId="urn:microsoft.com/office/officeart/2005/8/layout/hierarchy1"/>
    <dgm:cxn modelId="{3473509C-8EF7-48BD-8142-ECFF8572DB19}" type="presParOf" srcId="{990938F0-3632-4428-A5A6-B5E5D3191FAC}" destId="{6E72F356-3D4D-4E37-B4AE-C949C07B62F6}" srcOrd="0" destOrd="0" presId="urn:microsoft.com/office/officeart/2005/8/layout/hierarchy1"/>
    <dgm:cxn modelId="{FDDA86F7-925F-42BC-9761-7BF62C7D7B55}" type="presParOf" srcId="{6E72F356-3D4D-4E37-B4AE-C949C07B62F6}" destId="{53F6C152-4720-4915-BC72-899D98DA3E61}" srcOrd="0" destOrd="0" presId="urn:microsoft.com/office/officeart/2005/8/layout/hierarchy1"/>
    <dgm:cxn modelId="{28D1985A-99BB-420F-A324-9853802858B6}" type="presParOf" srcId="{6E72F356-3D4D-4E37-B4AE-C949C07B62F6}" destId="{4F008427-D2F3-4EE7-81FE-1104E0F50C6B}" srcOrd="1" destOrd="0" presId="urn:microsoft.com/office/officeart/2005/8/layout/hierarchy1"/>
    <dgm:cxn modelId="{8B8B18A4-2DE1-411F-9DA9-207B63C6A3BF}" type="presParOf" srcId="{990938F0-3632-4428-A5A6-B5E5D3191FAC}" destId="{EB1AA48B-A67A-49BB-85FE-EDE3D32B32E8}" srcOrd="1" destOrd="0" presId="urn:microsoft.com/office/officeart/2005/8/layout/hierarchy1"/>
    <dgm:cxn modelId="{58E4A08F-90C0-4E8B-9C24-61C9555E9EA9}" type="presParOf" srcId="{EB1AA48B-A67A-49BB-85FE-EDE3D32B32E8}" destId="{10E3E00F-6BF2-499F-8DE3-176516DCFE64}" srcOrd="0" destOrd="0" presId="urn:microsoft.com/office/officeart/2005/8/layout/hierarchy1"/>
    <dgm:cxn modelId="{308D981E-AEDE-40B2-96F8-8F54BBBB871A}" type="presParOf" srcId="{EB1AA48B-A67A-49BB-85FE-EDE3D32B32E8}" destId="{7243C637-A70B-4965-99E0-8C962BDB4726}" srcOrd="1" destOrd="0" presId="urn:microsoft.com/office/officeart/2005/8/layout/hierarchy1"/>
    <dgm:cxn modelId="{8C5B2C1D-1C9D-4C23-8046-3EBCCC6A842B}" type="presParOf" srcId="{7243C637-A70B-4965-99E0-8C962BDB4726}" destId="{5614E2F5-0EE1-497B-BFB7-1B397408BAFD}" srcOrd="0" destOrd="0" presId="urn:microsoft.com/office/officeart/2005/8/layout/hierarchy1"/>
    <dgm:cxn modelId="{65474185-B712-4F98-AFED-32C4D6A45944}" type="presParOf" srcId="{5614E2F5-0EE1-497B-BFB7-1B397408BAFD}" destId="{78CA5527-28ED-4BEE-BF4A-17321EFECEC4}" srcOrd="0" destOrd="0" presId="urn:microsoft.com/office/officeart/2005/8/layout/hierarchy1"/>
    <dgm:cxn modelId="{09A9C8F0-CF4A-4529-BB23-FF0DEBED6ED8}" type="presParOf" srcId="{5614E2F5-0EE1-497B-BFB7-1B397408BAFD}" destId="{9002B704-7774-4BDB-A0B0-0D83467E12FB}" srcOrd="1" destOrd="0" presId="urn:microsoft.com/office/officeart/2005/8/layout/hierarchy1"/>
    <dgm:cxn modelId="{298013E0-12FE-4E58-AE91-A57BEF732742}" type="presParOf" srcId="{7243C637-A70B-4965-99E0-8C962BDB4726}" destId="{0605C076-C7DC-490A-84D9-297849F76EE1}" srcOrd="1" destOrd="0" presId="urn:microsoft.com/office/officeart/2005/8/layout/hierarchy1"/>
    <dgm:cxn modelId="{20A49478-4EAC-4931-AA7D-9688C2DE32AC}" type="presParOf" srcId="{0F1B55E6-547C-46ED-B2C4-1979E40F2445}" destId="{F9C88A4A-9023-4693-8446-EEE50EE75861}" srcOrd="4" destOrd="0" presId="urn:microsoft.com/office/officeart/2005/8/layout/hierarchy1"/>
    <dgm:cxn modelId="{97607331-2E64-458F-A2C2-BB9E0379EC34}" type="presParOf" srcId="{0F1B55E6-547C-46ED-B2C4-1979E40F2445}" destId="{2C5876E4-F53B-4642-A5B1-383B90305370}" srcOrd="5" destOrd="0" presId="urn:microsoft.com/office/officeart/2005/8/layout/hierarchy1"/>
    <dgm:cxn modelId="{BB78FC5B-45C5-40FD-8065-189AF9415462}" type="presParOf" srcId="{2C5876E4-F53B-4642-A5B1-383B90305370}" destId="{88B26044-401A-4289-8115-257E77520187}" srcOrd="0" destOrd="0" presId="urn:microsoft.com/office/officeart/2005/8/layout/hierarchy1"/>
    <dgm:cxn modelId="{4EFC83E2-6DE2-43F1-9A81-D94031159316}" type="presParOf" srcId="{88B26044-401A-4289-8115-257E77520187}" destId="{3A435416-E320-4516-8CF7-FFFE3BCC89C7}" srcOrd="0" destOrd="0" presId="urn:microsoft.com/office/officeart/2005/8/layout/hierarchy1"/>
    <dgm:cxn modelId="{78136835-F92B-4335-BD2D-99B6466762B3}" type="presParOf" srcId="{88B26044-401A-4289-8115-257E77520187}" destId="{F5CE84F1-D7E3-4836-8805-D1EC31366286}" srcOrd="1" destOrd="0" presId="urn:microsoft.com/office/officeart/2005/8/layout/hierarchy1"/>
    <dgm:cxn modelId="{60936669-3D3D-4842-88D2-CBE6F226F9BA}" type="presParOf" srcId="{2C5876E4-F53B-4642-A5B1-383B90305370}" destId="{D5B76D53-5BE0-4C7C-B54E-DD42E70D93EC}" srcOrd="1" destOrd="0" presId="urn:microsoft.com/office/officeart/2005/8/layout/hierarchy1"/>
    <dgm:cxn modelId="{27F198AC-C2EE-44D8-83D3-ACFCDDADD402}" type="presParOf" srcId="{D5B76D53-5BE0-4C7C-B54E-DD42E70D93EC}" destId="{C476D46F-F1F6-4A52-A028-31482663EADA}" srcOrd="0" destOrd="0" presId="urn:microsoft.com/office/officeart/2005/8/layout/hierarchy1"/>
    <dgm:cxn modelId="{3A0BFADD-F3A2-4E06-A43D-34F3A8CAF956}" type="presParOf" srcId="{D5B76D53-5BE0-4C7C-B54E-DD42E70D93EC}" destId="{EB7D7BE4-41DA-4D2A-A9F8-D22E5693231E}" srcOrd="1" destOrd="0" presId="urn:microsoft.com/office/officeart/2005/8/layout/hierarchy1"/>
    <dgm:cxn modelId="{B2EA84FA-B917-475B-A7F5-3397B3B5BBA2}" type="presParOf" srcId="{EB7D7BE4-41DA-4D2A-A9F8-D22E5693231E}" destId="{14D1A252-1EB4-47C9-AF7A-D013AF472E66}" srcOrd="0" destOrd="0" presId="urn:microsoft.com/office/officeart/2005/8/layout/hierarchy1"/>
    <dgm:cxn modelId="{CC2D41EF-D191-4FAD-8747-C7A0FC9857B7}" type="presParOf" srcId="{14D1A252-1EB4-47C9-AF7A-D013AF472E66}" destId="{431276B8-BC40-4831-AFAC-73F3FAE4ED43}" srcOrd="0" destOrd="0" presId="urn:microsoft.com/office/officeart/2005/8/layout/hierarchy1"/>
    <dgm:cxn modelId="{85389913-25DB-4CB7-872F-032292E9DB37}" type="presParOf" srcId="{14D1A252-1EB4-47C9-AF7A-D013AF472E66}" destId="{3272F2D0-7AA6-4E5A-AA6E-7A1CAA754EF8}" srcOrd="1" destOrd="0" presId="urn:microsoft.com/office/officeart/2005/8/layout/hierarchy1"/>
    <dgm:cxn modelId="{84A93E0A-3A70-4D2A-B3B5-89145723F405}" type="presParOf" srcId="{EB7D7BE4-41DA-4D2A-A9F8-D22E5693231E}" destId="{2453F1CD-E82E-44E3-8A0B-FB063ED94219}" srcOrd="1" destOrd="0" presId="urn:microsoft.com/office/officeart/2005/8/layout/hierarchy1"/>
    <dgm:cxn modelId="{9875CD94-B751-45F6-91F2-DF31CAF8922A}" type="presParOf" srcId="{0F1B55E6-547C-46ED-B2C4-1979E40F2445}" destId="{0C1A4F60-4710-4FD4-BF3E-DB3C82FFE386}" srcOrd="6" destOrd="0" presId="urn:microsoft.com/office/officeart/2005/8/layout/hierarchy1"/>
    <dgm:cxn modelId="{D1F80CF9-2570-446F-A043-FC1824E79550}" type="presParOf" srcId="{0F1B55E6-547C-46ED-B2C4-1979E40F2445}" destId="{ED8E2D58-534B-47BF-9BB3-B490F8E5227C}" srcOrd="7" destOrd="0" presId="urn:microsoft.com/office/officeart/2005/8/layout/hierarchy1"/>
    <dgm:cxn modelId="{216589C5-8C71-4D16-A03D-7D8036A7F107}" type="presParOf" srcId="{ED8E2D58-534B-47BF-9BB3-B490F8E5227C}" destId="{AC8C505E-9A61-4A5F-9A29-D54B9633A686}" srcOrd="0" destOrd="0" presId="urn:microsoft.com/office/officeart/2005/8/layout/hierarchy1"/>
    <dgm:cxn modelId="{789C4C1B-EDBB-40E8-9768-9FD1D288EE8C}" type="presParOf" srcId="{AC8C505E-9A61-4A5F-9A29-D54B9633A686}" destId="{AAA26039-47CB-46EC-BFF4-4CC120D5927A}" srcOrd="0" destOrd="0" presId="urn:microsoft.com/office/officeart/2005/8/layout/hierarchy1"/>
    <dgm:cxn modelId="{B767775A-247F-4315-A963-CBD165D12BFA}" type="presParOf" srcId="{AC8C505E-9A61-4A5F-9A29-D54B9633A686}" destId="{414DAC03-3740-4C34-BD87-E8EA7B6793EE}" srcOrd="1" destOrd="0" presId="urn:microsoft.com/office/officeart/2005/8/layout/hierarchy1"/>
    <dgm:cxn modelId="{F5F6482F-AB27-4F89-84E7-3EB5B5C6896C}" type="presParOf" srcId="{ED8E2D58-534B-47BF-9BB3-B490F8E5227C}" destId="{14C122E1-E6F8-4D5A-9687-1670AECCDD92}" srcOrd="1" destOrd="0" presId="urn:microsoft.com/office/officeart/2005/8/layout/hierarchy1"/>
  </dgm:cxnLst>
  <dgm:bg>
    <a:effect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1A4F60-4710-4FD4-BF3E-DB3C82FFE386}">
      <dsp:nvSpPr>
        <dsp:cNvPr id="0" name=""/>
        <dsp:cNvSpPr/>
      </dsp:nvSpPr>
      <dsp:spPr>
        <a:xfrm>
          <a:off x="4555036" y="2680237"/>
          <a:ext cx="2682271" cy="382763"/>
        </a:xfrm>
        <a:custGeom>
          <a:avLst/>
          <a:gdLst/>
          <a:ahLst/>
          <a:cxnLst/>
          <a:rect l="0" t="0" r="0" b="0"/>
          <a:pathLst>
            <a:path>
              <a:moveTo>
                <a:pt x="0" y="0"/>
              </a:moveTo>
              <a:lnTo>
                <a:pt x="0" y="283002"/>
              </a:lnTo>
              <a:lnTo>
                <a:pt x="2682271" y="283002"/>
              </a:lnTo>
              <a:lnTo>
                <a:pt x="2682271" y="3827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76D46F-F1F6-4A52-A028-31482663EADA}">
      <dsp:nvSpPr>
        <dsp:cNvPr id="0" name=""/>
        <dsp:cNvSpPr/>
      </dsp:nvSpPr>
      <dsp:spPr>
        <a:xfrm>
          <a:off x="5315030" y="3752055"/>
          <a:ext cx="91440" cy="239619"/>
        </a:xfrm>
        <a:custGeom>
          <a:avLst/>
          <a:gdLst/>
          <a:ahLst/>
          <a:cxnLst/>
          <a:rect l="0" t="0" r="0" b="0"/>
          <a:pathLst>
            <a:path>
              <a:moveTo>
                <a:pt x="45720" y="0"/>
              </a:moveTo>
              <a:lnTo>
                <a:pt x="45720" y="2396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C88A4A-9023-4693-8446-EEE50EE75861}">
      <dsp:nvSpPr>
        <dsp:cNvPr id="0" name=""/>
        <dsp:cNvSpPr/>
      </dsp:nvSpPr>
      <dsp:spPr>
        <a:xfrm>
          <a:off x="4555036" y="2680237"/>
          <a:ext cx="805714" cy="387255"/>
        </a:xfrm>
        <a:custGeom>
          <a:avLst/>
          <a:gdLst/>
          <a:ahLst/>
          <a:cxnLst/>
          <a:rect l="0" t="0" r="0" b="0"/>
          <a:pathLst>
            <a:path>
              <a:moveTo>
                <a:pt x="0" y="0"/>
              </a:moveTo>
              <a:lnTo>
                <a:pt x="0" y="287495"/>
              </a:lnTo>
              <a:lnTo>
                <a:pt x="805714" y="287495"/>
              </a:lnTo>
              <a:lnTo>
                <a:pt x="805714" y="387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3E00F-6BF2-499F-8DE3-176516DCFE64}">
      <dsp:nvSpPr>
        <dsp:cNvPr id="0" name=""/>
        <dsp:cNvSpPr/>
      </dsp:nvSpPr>
      <dsp:spPr>
        <a:xfrm>
          <a:off x="3461196" y="3752055"/>
          <a:ext cx="91440" cy="239619"/>
        </a:xfrm>
        <a:custGeom>
          <a:avLst/>
          <a:gdLst/>
          <a:ahLst/>
          <a:cxnLst/>
          <a:rect l="0" t="0" r="0" b="0"/>
          <a:pathLst>
            <a:path>
              <a:moveTo>
                <a:pt x="45720" y="0"/>
              </a:moveTo>
              <a:lnTo>
                <a:pt x="45720" y="2396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4D8E4-7699-4A3E-AB17-1AFE22E123DB}">
      <dsp:nvSpPr>
        <dsp:cNvPr id="0" name=""/>
        <dsp:cNvSpPr/>
      </dsp:nvSpPr>
      <dsp:spPr>
        <a:xfrm>
          <a:off x="3506916" y="2680237"/>
          <a:ext cx="1048119" cy="387255"/>
        </a:xfrm>
        <a:custGeom>
          <a:avLst/>
          <a:gdLst/>
          <a:ahLst/>
          <a:cxnLst/>
          <a:rect l="0" t="0" r="0" b="0"/>
          <a:pathLst>
            <a:path>
              <a:moveTo>
                <a:pt x="1048119" y="0"/>
              </a:moveTo>
              <a:lnTo>
                <a:pt x="1048119" y="287495"/>
              </a:lnTo>
              <a:lnTo>
                <a:pt x="0" y="287495"/>
              </a:lnTo>
              <a:lnTo>
                <a:pt x="0" y="387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FC2181-3358-4CE5-BCF0-99AD4FA8AE11}">
      <dsp:nvSpPr>
        <dsp:cNvPr id="0" name=""/>
        <dsp:cNvSpPr/>
      </dsp:nvSpPr>
      <dsp:spPr>
        <a:xfrm>
          <a:off x="1602322" y="3752055"/>
          <a:ext cx="91440" cy="239619"/>
        </a:xfrm>
        <a:custGeom>
          <a:avLst/>
          <a:gdLst/>
          <a:ahLst/>
          <a:cxnLst/>
          <a:rect l="0" t="0" r="0" b="0"/>
          <a:pathLst>
            <a:path>
              <a:moveTo>
                <a:pt x="50759" y="0"/>
              </a:moveTo>
              <a:lnTo>
                <a:pt x="50759" y="139859"/>
              </a:lnTo>
              <a:lnTo>
                <a:pt x="45720" y="139859"/>
              </a:lnTo>
              <a:lnTo>
                <a:pt x="45720" y="2396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FE3219-BB85-4A98-9C66-90F0DDD807D6}">
      <dsp:nvSpPr>
        <dsp:cNvPr id="0" name=""/>
        <dsp:cNvSpPr/>
      </dsp:nvSpPr>
      <dsp:spPr>
        <a:xfrm>
          <a:off x="1653082" y="2680237"/>
          <a:ext cx="2901953" cy="387255"/>
        </a:xfrm>
        <a:custGeom>
          <a:avLst/>
          <a:gdLst/>
          <a:ahLst/>
          <a:cxnLst/>
          <a:rect l="0" t="0" r="0" b="0"/>
          <a:pathLst>
            <a:path>
              <a:moveTo>
                <a:pt x="2901953" y="0"/>
              </a:moveTo>
              <a:lnTo>
                <a:pt x="2901953" y="287495"/>
              </a:lnTo>
              <a:lnTo>
                <a:pt x="0" y="287495"/>
              </a:lnTo>
              <a:lnTo>
                <a:pt x="0" y="3872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EBC6DC-9AF0-4887-BE65-4A519B72DF0D}">
      <dsp:nvSpPr>
        <dsp:cNvPr id="0" name=""/>
        <dsp:cNvSpPr/>
      </dsp:nvSpPr>
      <dsp:spPr>
        <a:xfrm>
          <a:off x="4509316" y="1683229"/>
          <a:ext cx="91440" cy="313191"/>
        </a:xfrm>
        <a:custGeom>
          <a:avLst/>
          <a:gdLst/>
          <a:ahLst/>
          <a:cxnLst/>
          <a:rect l="0" t="0" r="0" b="0"/>
          <a:pathLst>
            <a:path>
              <a:moveTo>
                <a:pt x="45720" y="0"/>
              </a:moveTo>
              <a:lnTo>
                <a:pt x="45720" y="3131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AC5AAE-BBAB-4DDA-8348-BDBA47C6CF26}">
      <dsp:nvSpPr>
        <dsp:cNvPr id="0" name=""/>
        <dsp:cNvSpPr/>
      </dsp:nvSpPr>
      <dsp:spPr>
        <a:xfrm>
          <a:off x="4505945" y="686221"/>
          <a:ext cx="91440" cy="313191"/>
        </a:xfrm>
        <a:custGeom>
          <a:avLst/>
          <a:gdLst/>
          <a:ahLst/>
          <a:cxnLst/>
          <a:rect l="0" t="0" r="0" b="0"/>
          <a:pathLst>
            <a:path>
              <a:moveTo>
                <a:pt x="45720" y="0"/>
              </a:moveTo>
              <a:lnTo>
                <a:pt x="45720" y="213430"/>
              </a:lnTo>
              <a:lnTo>
                <a:pt x="49090" y="213430"/>
              </a:lnTo>
              <a:lnTo>
                <a:pt x="49090" y="3131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52FABD-CE4D-4F45-B361-A53E36515C46}">
      <dsp:nvSpPr>
        <dsp:cNvPr id="0" name=""/>
        <dsp:cNvSpPr/>
      </dsp:nvSpPr>
      <dsp:spPr>
        <a:xfrm>
          <a:off x="3476113" y="2405"/>
          <a:ext cx="2151103" cy="683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1B26D7-2257-455E-9A27-396E8A89FE8C}">
      <dsp:nvSpPr>
        <dsp:cNvPr id="0" name=""/>
        <dsp:cNvSpPr/>
      </dsp:nvSpPr>
      <dsp:spPr>
        <a:xfrm>
          <a:off x="3595766" y="116075"/>
          <a:ext cx="2151103" cy="6838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Article 2.1 </a:t>
          </a:r>
        </a:p>
        <a:p>
          <a:pPr lvl="0" algn="ctr" defTabSz="355600">
            <a:lnSpc>
              <a:spcPct val="90000"/>
            </a:lnSpc>
            <a:spcBef>
              <a:spcPct val="0"/>
            </a:spcBef>
            <a:spcAft>
              <a:spcPct val="35000"/>
            </a:spcAft>
          </a:pPr>
          <a:r>
            <a:rPr lang="en-GB" sz="800" kern="1200"/>
            <a:t>Presence of a prohibited substance (clenbuterol)</a:t>
          </a:r>
        </a:p>
      </dsp:txBody>
      <dsp:txXfrm>
        <a:off x="3615794" y="136103"/>
        <a:ext cx="2111047" cy="643760"/>
      </dsp:txXfrm>
    </dsp:sp>
    <dsp:sp modelId="{4BD71872-29A7-4A6C-90DC-E972F364BE06}">
      <dsp:nvSpPr>
        <dsp:cNvPr id="0" name=""/>
        <dsp:cNvSpPr/>
      </dsp:nvSpPr>
      <dsp:spPr>
        <a:xfrm>
          <a:off x="3508473" y="999413"/>
          <a:ext cx="2093124" cy="683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34EFA6-FC38-4152-9518-B3A4029148ED}">
      <dsp:nvSpPr>
        <dsp:cNvPr id="0" name=""/>
        <dsp:cNvSpPr/>
      </dsp:nvSpPr>
      <dsp:spPr>
        <a:xfrm>
          <a:off x="3628126" y="1113083"/>
          <a:ext cx="2093124" cy="6838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Article 3.1</a:t>
          </a:r>
        </a:p>
        <a:p>
          <a:pPr lvl="0" algn="ctr" defTabSz="355600">
            <a:lnSpc>
              <a:spcPct val="90000"/>
            </a:lnSpc>
            <a:spcBef>
              <a:spcPct val="0"/>
            </a:spcBef>
            <a:spcAft>
              <a:spcPct val="35000"/>
            </a:spcAft>
          </a:pPr>
          <a:r>
            <a:rPr lang="en-GB" sz="800" kern="1200"/>
            <a:t>Violation proved to  comfortable satisfaction</a:t>
          </a:r>
        </a:p>
      </dsp:txBody>
      <dsp:txXfrm>
        <a:off x="3648154" y="1133111"/>
        <a:ext cx="2053068" cy="643760"/>
      </dsp:txXfrm>
    </dsp:sp>
    <dsp:sp modelId="{1987CDD4-8195-4EA0-A021-6CF91F430DF7}">
      <dsp:nvSpPr>
        <dsp:cNvPr id="0" name=""/>
        <dsp:cNvSpPr/>
      </dsp:nvSpPr>
      <dsp:spPr>
        <a:xfrm>
          <a:off x="3517018" y="1996421"/>
          <a:ext cx="2076034" cy="683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a:outerShdw blurRad="50800" dist="50800" dir="5400000" algn="ctr" rotWithShape="0">
            <a:schemeClr val="bg1"/>
          </a:outerShdw>
        </a:effectLst>
      </dsp:spPr>
      <dsp:style>
        <a:lnRef idx="2">
          <a:scrgbClr r="0" g="0" b="0"/>
        </a:lnRef>
        <a:fillRef idx="1">
          <a:scrgbClr r="0" g="0" b="0"/>
        </a:fillRef>
        <a:effectRef idx="0">
          <a:scrgbClr r="0" g="0" b="0"/>
        </a:effectRef>
        <a:fontRef idx="minor">
          <a:schemeClr val="lt1"/>
        </a:fontRef>
      </dsp:style>
    </dsp:sp>
    <dsp:sp modelId="{F0261107-F94A-457F-93EF-583F8412307B}">
      <dsp:nvSpPr>
        <dsp:cNvPr id="0" name=""/>
        <dsp:cNvSpPr/>
      </dsp:nvSpPr>
      <dsp:spPr>
        <a:xfrm>
          <a:off x="3636671" y="2110091"/>
          <a:ext cx="2076034" cy="68381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Aricle 10.2.1</a:t>
          </a:r>
        </a:p>
        <a:p>
          <a:pPr lvl="0" algn="ctr" defTabSz="355600">
            <a:lnSpc>
              <a:spcPct val="90000"/>
            </a:lnSpc>
            <a:spcBef>
              <a:spcPct val="0"/>
            </a:spcBef>
            <a:spcAft>
              <a:spcPct val="35000"/>
            </a:spcAft>
          </a:pPr>
          <a:r>
            <a:rPr lang="en-GB" sz="800" kern="1200"/>
            <a:t>Presence of a prohibited substance</a:t>
          </a:r>
        </a:p>
        <a:p>
          <a:pPr lvl="0" algn="ctr" defTabSz="355600">
            <a:lnSpc>
              <a:spcPct val="90000"/>
            </a:lnSpc>
            <a:spcBef>
              <a:spcPct val="0"/>
            </a:spcBef>
            <a:spcAft>
              <a:spcPct val="35000"/>
            </a:spcAft>
          </a:pPr>
          <a:r>
            <a:rPr lang="en-GB" sz="800" kern="1200"/>
            <a:t>Was violational unintentional?</a:t>
          </a:r>
        </a:p>
        <a:p>
          <a:pPr lvl="0" algn="ctr" defTabSz="355600">
            <a:lnSpc>
              <a:spcPct val="90000"/>
            </a:lnSpc>
            <a:spcBef>
              <a:spcPct val="0"/>
            </a:spcBef>
            <a:spcAft>
              <a:spcPct val="35000"/>
            </a:spcAft>
          </a:pPr>
          <a:endParaRPr lang="en-GB" sz="800" kern="1200"/>
        </a:p>
      </dsp:txBody>
      <dsp:txXfrm>
        <a:off x="3656699" y="2130119"/>
        <a:ext cx="2035978" cy="643760"/>
      </dsp:txXfrm>
    </dsp:sp>
    <dsp:sp modelId="{3B87E6CE-47DF-4F08-895F-57EF6A603E28}">
      <dsp:nvSpPr>
        <dsp:cNvPr id="0" name=""/>
        <dsp:cNvSpPr/>
      </dsp:nvSpPr>
      <dsp:spPr>
        <a:xfrm>
          <a:off x="845817" y="3067493"/>
          <a:ext cx="1614528" cy="684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4269CD-AA62-4B5C-BE73-0D616A010EB3}">
      <dsp:nvSpPr>
        <dsp:cNvPr id="0" name=""/>
        <dsp:cNvSpPr/>
      </dsp:nvSpPr>
      <dsp:spPr>
        <a:xfrm>
          <a:off x="965470" y="3181163"/>
          <a:ext cx="1614528" cy="684561"/>
        </a:xfrm>
        <a:prstGeom prst="roundRect">
          <a:avLst>
            <a:gd name="adj" fmla="val 10000"/>
          </a:avLst>
        </a:prstGeom>
        <a:solidFill>
          <a:schemeClr val="bg1">
            <a:lumMod val="75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Unintentional</a:t>
          </a:r>
        </a:p>
        <a:p>
          <a:pPr lvl="0" algn="ctr" defTabSz="355600">
            <a:lnSpc>
              <a:spcPct val="90000"/>
            </a:lnSpc>
            <a:spcBef>
              <a:spcPct val="0"/>
            </a:spcBef>
            <a:spcAft>
              <a:spcPct val="35000"/>
            </a:spcAft>
          </a:pPr>
          <a:r>
            <a:rPr lang="en-GB" sz="800" kern="1200"/>
            <a:t>Article 10.4</a:t>
          </a:r>
        </a:p>
        <a:p>
          <a:pPr lvl="0" algn="ctr" defTabSz="355600">
            <a:lnSpc>
              <a:spcPct val="90000"/>
            </a:lnSpc>
            <a:spcBef>
              <a:spcPct val="0"/>
            </a:spcBef>
            <a:spcAft>
              <a:spcPct val="35000"/>
            </a:spcAft>
          </a:pPr>
          <a:r>
            <a:rPr lang="en-GB" sz="800" kern="1200"/>
            <a:t>No fault or negligence</a:t>
          </a:r>
        </a:p>
        <a:p>
          <a:pPr lvl="0" algn="ctr" defTabSz="355600">
            <a:lnSpc>
              <a:spcPct val="90000"/>
            </a:lnSpc>
            <a:spcBef>
              <a:spcPct val="0"/>
            </a:spcBef>
            <a:spcAft>
              <a:spcPct val="35000"/>
            </a:spcAft>
          </a:pPr>
          <a:r>
            <a:rPr lang="en-GB" sz="800" kern="1200"/>
            <a:t>(Does not apply to contaminated supplements</a:t>
          </a:r>
          <a:r>
            <a:rPr lang="en-GB" sz="600" kern="1200"/>
            <a:t>)</a:t>
          </a:r>
        </a:p>
      </dsp:txBody>
      <dsp:txXfrm>
        <a:off x="985520" y="3201213"/>
        <a:ext cx="1574428" cy="644461"/>
      </dsp:txXfrm>
    </dsp:sp>
    <dsp:sp modelId="{7F320C80-B7BB-4950-BD6B-2C92812550E5}">
      <dsp:nvSpPr>
        <dsp:cNvPr id="0" name=""/>
        <dsp:cNvSpPr/>
      </dsp:nvSpPr>
      <dsp:spPr>
        <a:xfrm>
          <a:off x="1109604" y="3991675"/>
          <a:ext cx="1076876" cy="683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FE04A1-E83C-4D69-9C24-58BB41300FCE}">
      <dsp:nvSpPr>
        <dsp:cNvPr id="0" name=""/>
        <dsp:cNvSpPr/>
      </dsp:nvSpPr>
      <dsp:spPr>
        <a:xfrm>
          <a:off x="1229257" y="4105345"/>
          <a:ext cx="1076876" cy="683816"/>
        </a:xfrm>
        <a:prstGeom prst="roundRect">
          <a:avLst>
            <a:gd name="adj" fmla="val 10000"/>
          </a:avLst>
        </a:prstGeom>
        <a:solidFill>
          <a:schemeClr val="bg1">
            <a:lumMod val="75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Presence a result of other circumstances:</a:t>
          </a:r>
        </a:p>
        <a:p>
          <a:pPr lvl="0" algn="ctr" defTabSz="355600">
            <a:lnSpc>
              <a:spcPct val="90000"/>
            </a:lnSpc>
            <a:spcBef>
              <a:spcPct val="0"/>
            </a:spcBef>
            <a:spcAft>
              <a:spcPct val="35000"/>
            </a:spcAft>
          </a:pPr>
          <a:r>
            <a:rPr lang="en-GB" sz="800" kern="1200"/>
            <a:t>Sanction: No ineligibility </a:t>
          </a:r>
        </a:p>
      </dsp:txBody>
      <dsp:txXfrm>
        <a:off x="1249285" y="4125373"/>
        <a:ext cx="1036820" cy="643760"/>
      </dsp:txXfrm>
    </dsp:sp>
    <dsp:sp modelId="{53F6C152-4720-4915-BC72-899D98DA3E61}">
      <dsp:nvSpPr>
        <dsp:cNvPr id="0" name=""/>
        <dsp:cNvSpPr/>
      </dsp:nvSpPr>
      <dsp:spPr>
        <a:xfrm>
          <a:off x="2699652" y="3067493"/>
          <a:ext cx="1614528" cy="684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008427-D2F3-4EE7-81FE-1104E0F50C6B}">
      <dsp:nvSpPr>
        <dsp:cNvPr id="0" name=""/>
        <dsp:cNvSpPr/>
      </dsp:nvSpPr>
      <dsp:spPr>
        <a:xfrm>
          <a:off x="2819305" y="3181163"/>
          <a:ext cx="1614528" cy="6845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Unintentional</a:t>
          </a:r>
        </a:p>
        <a:p>
          <a:pPr lvl="0" algn="ctr" defTabSz="355600">
            <a:lnSpc>
              <a:spcPct val="90000"/>
            </a:lnSpc>
            <a:spcBef>
              <a:spcPct val="0"/>
            </a:spcBef>
            <a:spcAft>
              <a:spcPct val="35000"/>
            </a:spcAft>
          </a:pPr>
          <a:r>
            <a:rPr lang="en-GB" sz="800" kern="1200"/>
            <a:t>Article 10.5.1.2</a:t>
          </a:r>
        </a:p>
        <a:p>
          <a:pPr lvl="0" algn="ctr" defTabSz="355600">
            <a:lnSpc>
              <a:spcPct val="90000"/>
            </a:lnSpc>
            <a:spcBef>
              <a:spcPct val="0"/>
            </a:spcBef>
            <a:spcAft>
              <a:spcPct val="35000"/>
            </a:spcAft>
          </a:pPr>
          <a:r>
            <a:rPr lang="en-GB" sz="800" kern="1200"/>
            <a:t>No significant fault or negligence</a:t>
          </a:r>
        </a:p>
        <a:p>
          <a:pPr lvl="0" algn="ctr" defTabSz="355600">
            <a:lnSpc>
              <a:spcPct val="90000"/>
            </a:lnSpc>
            <a:spcBef>
              <a:spcPct val="0"/>
            </a:spcBef>
            <a:spcAft>
              <a:spcPct val="35000"/>
            </a:spcAft>
          </a:pPr>
          <a:r>
            <a:rPr lang="en-GB" sz="800" kern="1200"/>
            <a:t>(contaminated product)</a:t>
          </a:r>
        </a:p>
      </dsp:txBody>
      <dsp:txXfrm>
        <a:off x="2839355" y="3201213"/>
        <a:ext cx="1574428" cy="644461"/>
      </dsp:txXfrm>
    </dsp:sp>
    <dsp:sp modelId="{78CA5527-28ED-4BEE-BF4A-17321EFECEC4}">
      <dsp:nvSpPr>
        <dsp:cNvPr id="0" name=""/>
        <dsp:cNvSpPr/>
      </dsp:nvSpPr>
      <dsp:spPr>
        <a:xfrm>
          <a:off x="2968478" y="3991675"/>
          <a:ext cx="1076876" cy="683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02B704-7774-4BDB-A0B0-0D83467E12FB}">
      <dsp:nvSpPr>
        <dsp:cNvPr id="0" name=""/>
        <dsp:cNvSpPr/>
      </dsp:nvSpPr>
      <dsp:spPr>
        <a:xfrm>
          <a:off x="3088131" y="4105345"/>
          <a:ext cx="1076876" cy="683816"/>
        </a:xfrm>
        <a:prstGeom prst="roundRect">
          <a:avLst>
            <a:gd name="adj" fmla="val 10000"/>
          </a:avLst>
        </a:prstGeom>
        <a:solidFill>
          <a:schemeClr val="accent3">
            <a:lumMod val="40000"/>
            <a:lumOff val="60000"/>
          </a:schemeClr>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Presence a result of a contaminated product:</a:t>
          </a:r>
        </a:p>
        <a:p>
          <a:pPr lvl="0" algn="ctr" defTabSz="355600">
            <a:lnSpc>
              <a:spcPct val="90000"/>
            </a:lnSpc>
            <a:spcBef>
              <a:spcPct val="0"/>
            </a:spcBef>
            <a:spcAft>
              <a:spcPct val="35000"/>
            </a:spcAft>
          </a:pPr>
          <a:r>
            <a:rPr lang="en-GB" sz="800" kern="1200"/>
            <a:t>Sanction: 0-2 years</a:t>
          </a:r>
        </a:p>
      </dsp:txBody>
      <dsp:txXfrm>
        <a:off x="3108159" y="4125373"/>
        <a:ext cx="1036820" cy="643760"/>
      </dsp:txXfrm>
    </dsp:sp>
    <dsp:sp modelId="{3A435416-E320-4516-8CF7-FFFE3BCC89C7}">
      <dsp:nvSpPr>
        <dsp:cNvPr id="0" name=""/>
        <dsp:cNvSpPr/>
      </dsp:nvSpPr>
      <dsp:spPr>
        <a:xfrm>
          <a:off x="4553486" y="3067493"/>
          <a:ext cx="1614528" cy="684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CE84F1-D7E3-4836-8805-D1EC31366286}">
      <dsp:nvSpPr>
        <dsp:cNvPr id="0" name=""/>
        <dsp:cNvSpPr/>
      </dsp:nvSpPr>
      <dsp:spPr>
        <a:xfrm>
          <a:off x="4673139" y="3181163"/>
          <a:ext cx="1614528" cy="68456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Unintentional</a:t>
          </a:r>
        </a:p>
        <a:p>
          <a:pPr lvl="0" algn="ctr" defTabSz="355600">
            <a:lnSpc>
              <a:spcPct val="90000"/>
            </a:lnSpc>
            <a:spcBef>
              <a:spcPct val="0"/>
            </a:spcBef>
            <a:spcAft>
              <a:spcPct val="35000"/>
            </a:spcAft>
          </a:pPr>
          <a:r>
            <a:rPr lang="en-GB" sz="800" kern="1200"/>
            <a:t>Article 10.5.2</a:t>
          </a:r>
        </a:p>
        <a:p>
          <a:pPr lvl="0" algn="ctr" defTabSz="355600">
            <a:lnSpc>
              <a:spcPct val="90000"/>
            </a:lnSpc>
            <a:spcBef>
              <a:spcPct val="0"/>
            </a:spcBef>
            <a:spcAft>
              <a:spcPct val="35000"/>
            </a:spcAft>
          </a:pPr>
          <a:r>
            <a:rPr lang="en-GB" sz="800" kern="1200"/>
            <a:t>No significant fault or negligence</a:t>
          </a:r>
        </a:p>
        <a:p>
          <a:pPr lvl="0" algn="ctr" defTabSz="355600">
            <a:lnSpc>
              <a:spcPct val="90000"/>
            </a:lnSpc>
            <a:spcBef>
              <a:spcPct val="0"/>
            </a:spcBef>
            <a:spcAft>
              <a:spcPct val="35000"/>
            </a:spcAft>
          </a:pPr>
          <a:r>
            <a:rPr lang="en-GB" sz="800" kern="1200"/>
            <a:t>(other circumstances)</a:t>
          </a:r>
        </a:p>
      </dsp:txBody>
      <dsp:txXfrm>
        <a:off x="4693189" y="3201213"/>
        <a:ext cx="1574428" cy="644461"/>
      </dsp:txXfrm>
    </dsp:sp>
    <dsp:sp modelId="{431276B8-BC40-4831-AFAC-73F3FAE4ED43}">
      <dsp:nvSpPr>
        <dsp:cNvPr id="0" name=""/>
        <dsp:cNvSpPr/>
      </dsp:nvSpPr>
      <dsp:spPr>
        <a:xfrm>
          <a:off x="4822312" y="3991675"/>
          <a:ext cx="1076876" cy="6838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72F2D0-7AA6-4E5A-AA6E-7A1CAA754EF8}">
      <dsp:nvSpPr>
        <dsp:cNvPr id="0" name=""/>
        <dsp:cNvSpPr/>
      </dsp:nvSpPr>
      <dsp:spPr>
        <a:xfrm>
          <a:off x="4941965" y="4105345"/>
          <a:ext cx="1076876" cy="683816"/>
        </a:xfrm>
        <a:prstGeom prst="roundRect">
          <a:avLst>
            <a:gd name="adj" fmla="val 10000"/>
          </a:avLst>
        </a:prstGeom>
        <a:solidFill>
          <a:schemeClr val="accent2">
            <a:lumMod val="40000"/>
            <a:lumOff val="60000"/>
          </a:schemeClr>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Presence a result of other circumstances: </a:t>
          </a:r>
        </a:p>
        <a:p>
          <a:pPr lvl="0" algn="ctr" defTabSz="355600">
            <a:lnSpc>
              <a:spcPct val="90000"/>
            </a:lnSpc>
            <a:spcBef>
              <a:spcPct val="0"/>
            </a:spcBef>
            <a:spcAft>
              <a:spcPct val="35000"/>
            </a:spcAft>
          </a:pPr>
          <a:r>
            <a:rPr lang="en-GB" sz="800" kern="1200"/>
            <a:t>Sanction: 2-4 years</a:t>
          </a:r>
        </a:p>
      </dsp:txBody>
      <dsp:txXfrm>
        <a:off x="4961993" y="4125373"/>
        <a:ext cx="1036820" cy="643760"/>
      </dsp:txXfrm>
    </dsp:sp>
    <dsp:sp modelId="{AAA26039-47CB-46EC-BFF4-4CC120D5927A}">
      <dsp:nvSpPr>
        <dsp:cNvPr id="0" name=""/>
        <dsp:cNvSpPr/>
      </dsp:nvSpPr>
      <dsp:spPr>
        <a:xfrm>
          <a:off x="6430042" y="3063000"/>
          <a:ext cx="1614528" cy="68456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4DAC03-3740-4C34-BD87-E8EA7B6793EE}">
      <dsp:nvSpPr>
        <dsp:cNvPr id="0" name=""/>
        <dsp:cNvSpPr/>
      </dsp:nvSpPr>
      <dsp:spPr>
        <a:xfrm>
          <a:off x="6549695" y="3176671"/>
          <a:ext cx="1614528" cy="684561"/>
        </a:xfrm>
        <a:prstGeom prst="roundRect">
          <a:avLst>
            <a:gd name="adj" fmla="val 10000"/>
          </a:avLst>
        </a:prstGeom>
        <a:solidFill>
          <a:schemeClr val="bg1">
            <a:lumMod val="75000"/>
          </a:schemeClr>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Intentional </a:t>
          </a:r>
        </a:p>
        <a:p>
          <a:pPr lvl="0" algn="ctr" defTabSz="355600">
            <a:lnSpc>
              <a:spcPct val="90000"/>
            </a:lnSpc>
            <a:spcBef>
              <a:spcPct val="0"/>
            </a:spcBef>
            <a:spcAft>
              <a:spcPct val="35000"/>
            </a:spcAft>
          </a:pPr>
          <a:r>
            <a:rPr lang="en-GB" sz="800" kern="1200"/>
            <a:t>Presence a result of e.g. blood transfusion:</a:t>
          </a:r>
        </a:p>
        <a:p>
          <a:pPr lvl="0" algn="ctr" defTabSz="355600">
            <a:lnSpc>
              <a:spcPct val="90000"/>
            </a:lnSpc>
            <a:spcBef>
              <a:spcPct val="0"/>
            </a:spcBef>
            <a:spcAft>
              <a:spcPct val="35000"/>
            </a:spcAft>
          </a:pPr>
          <a:r>
            <a:rPr lang="en-GB" sz="800" kern="1200"/>
            <a:t>Sanction: 4 years</a:t>
          </a:r>
        </a:p>
      </dsp:txBody>
      <dsp:txXfrm>
        <a:off x="6569745" y="3196721"/>
        <a:ext cx="1574428" cy="6444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53110-69B1-46A8-9EC9-84526FB1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5827</Words>
  <Characters>33217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38967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 Lab PC</dc:creator>
  <cp:lastModifiedBy>Kris Lines</cp:lastModifiedBy>
  <cp:revision>5</cp:revision>
  <cp:lastPrinted>2015-06-29T22:43:00Z</cp:lastPrinted>
  <dcterms:created xsi:type="dcterms:W3CDTF">2015-06-29T21:18:00Z</dcterms:created>
  <dcterms:modified xsi:type="dcterms:W3CDTF">2015-06-29T23:58:00Z</dcterms:modified>
</cp:coreProperties>
</file>