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F7C63" w14:textId="77777777" w:rsidR="009F2921" w:rsidRDefault="009F2921" w:rsidP="00FB7E7D">
      <w:pPr>
        <w:spacing w:after="0"/>
        <w:ind w:right="107"/>
      </w:pPr>
    </w:p>
    <w:p w14:paraId="68D43601" w14:textId="0473CDA4" w:rsidR="003C1384" w:rsidRDefault="002A0AA6" w:rsidP="00FB7E7D">
      <w:pPr>
        <w:spacing w:after="0"/>
        <w:ind w:right="107"/>
      </w:pPr>
      <w:r>
        <w:t>Volume 1, Issue 1</w:t>
      </w:r>
      <w:r>
        <w:tab/>
      </w:r>
      <w:r>
        <w:tab/>
      </w:r>
      <w:r>
        <w:tab/>
      </w:r>
      <w:r>
        <w:tab/>
      </w:r>
      <w:r>
        <w:tab/>
      </w:r>
      <w:r>
        <w:tab/>
      </w:r>
      <w:r>
        <w:tab/>
      </w:r>
      <w:r>
        <w:tab/>
      </w:r>
      <w:r>
        <w:tab/>
      </w:r>
      <w:r w:rsidR="005F57A1">
        <w:tab/>
      </w:r>
      <w:r w:rsidR="003268EF">
        <w:t xml:space="preserve">Article </w:t>
      </w:r>
      <w:r w:rsidR="009F2921">
        <w:t>5</w:t>
      </w:r>
    </w:p>
    <w:p w14:paraId="68D43602" w14:textId="77777777" w:rsidR="002A0AA6" w:rsidRDefault="002A0AA6" w:rsidP="00FB7E7D">
      <w:pPr>
        <w:spacing w:after="0"/>
      </w:pPr>
    </w:p>
    <w:p w14:paraId="68D43603" w14:textId="77777777" w:rsidR="00125578" w:rsidRDefault="00125578" w:rsidP="00FB7E7D">
      <w:pPr>
        <w:spacing w:after="0"/>
      </w:pPr>
    </w:p>
    <w:p w14:paraId="68D43604" w14:textId="77777777" w:rsidR="002A0AA6" w:rsidRDefault="002A0AA6" w:rsidP="00FB7E7D">
      <w:pPr>
        <w:spacing w:after="0"/>
      </w:pPr>
    </w:p>
    <w:p w14:paraId="68D43605" w14:textId="77777777" w:rsidR="002A0AA6" w:rsidRDefault="002A0AA6" w:rsidP="00FB7E7D">
      <w:pPr>
        <w:spacing w:after="0"/>
      </w:pPr>
    </w:p>
    <w:p w14:paraId="77D3C9B8" w14:textId="5031FD64" w:rsidR="00FD660A" w:rsidRDefault="00C4583A" w:rsidP="009F2921">
      <w:pPr>
        <w:spacing w:after="240" w:line="240" w:lineRule="auto"/>
        <w:jc w:val="both"/>
        <w:rPr>
          <w:b/>
          <w:sz w:val="28"/>
          <w:szCs w:val="28"/>
        </w:rPr>
      </w:pPr>
      <w:r w:rsidRPr="00C4583A">
        <w:rPr>
          <w:rFonts w:cs="Arial"/>
          <w:b/>
          <w:sz w:val="28"/>
          <w:szCs w:val="28"/>
        </w:rPr>
        <w:t>The 2006 Tour of Britain cycle race – An analysis of the management of participant and spectator safety</w:t>
      </w:r>
    </w:p>
    <w:p w14:paraId="68D43608" w14:textId="5FC4FF3C" w:rsidR="00496324" w:rsidRPr="0067667D" w:rsidRDefault="008C15F8" w:rsidP="00FB7E7D">
      <w:pPr>
        <w:spacing w:after="0"/>
      </w:pPr>
      <w:r w:rsidRPr="0067667D">
        <w:t>L Thompson</w:t>
      </w:r>
    </w:p>
    <w:p w14:paraId="68D4360A" w14:textId="77777777" w:rsidR="00EF6A86" w:rsidRDefault="00EF6A86" w:rsidP="00FB7E7D">
      <w:pPr>
        <w:spacing w:after="0"/>
      </w:pPr>
    </w:p>
    <w:p w14:paraId="7B46AC17" w14:textId="77777777" w:rsidR="00C4583A" w:rsidRDefault="00C4583A" w:rsidP="00FB7E7D">
      <w:pPr>
        <w:spacing w:after="0"/>
      </w:pPr>
    </w:p>
    <w:p w14:paraId="68D4360B" w14:textId="77777777" w:rsidR="00A62556" w:rsidRDefault="00A62556" w:rsidP="00FB7E7D">
      <w:pPr>
        <w:spacing w:after="0"/>
      </w:pPr>
    </w:p>
    <w:p w14:paraId="396591B1" w14:textId="77777777" w:rsidR="00C4583A" w:rsidRPr="00625F9F" w:rsidRDefault="00C4583A" w:rsidP="00C4583A">
      <w:pPr>
        <w:spacing w:after="0"/>
        <w:rPr>
          <w:b/>
        </w:rPr>
      </w:pPr>
      <w:r w:rsidRPr="00625F9F">
        <w:rPr>
          <w:b/>
        </w:rPr>
        <w:t>Abstract</w:t>
      </w:r>
    </w:p>
    <w:p w14:paraId="4B2E3968" w14:textId="51A2C8FF" w:rsidR="002815CE" w:rsidRPr="00FF350C" w:rsidRDefault="002815CE" w:rsidP="002815CE">
      <w:pPr>
        <w:spacing w:after="0" w:line="240" w:lineRule="auto"/>
        <w:jc w:val="both"/>
        <w:rPr>
          <w:rFonts w:cs="Arial"/>
        </w:rPr>
      </w:pPr>
      <w:r w:rsidRPr="00FF350C">
        <w:rPr>
          <w:rFonts w:cs="Arial"/>
        </w:rPr>
        <w:t>This paper analyses the 2006 edition of the Tour of Britain cycle race and considers how the safety risks to participants and spectators were managed, both in the planning and execution of the event. The 2006 Tour has been chosen principally because it was marked by a number of serious safety incidents including a motorcycle crash on the final stage which injured a number of spectators. These incidents – and their underlying causes – highlight the difference between the identification of risks in advance of an event and the</w:t>
      </w:r>
      <w:r w:rsidR="002263CE">
        <w:rPr>
          <w:rFonts w:cs="Arial"/>
        </w:rPr>
        <w:t>ir</w:t>
      </w:r>
      <w:r w:rsidRPr="00FF350C">
        <w:rPr>
          <w:rFonts w:cs="Arial"/>
        </w:rPr>
        <w:t xml:space="preserve"> management in a ‘live’ environment. In addition the 2006 Tour raises a number of interesting legal issues regarding the liability of event organisers and governing bodies under both st</w:t>
      </w:r>
      <w:r w:rsidR="00117E7F">
        <w:rPr>
          <w:rFonts w:cs="Arial"/>
        </w:rPr>
        <w:t>a</w:t>
      </w:r>
      <w:r w:rsidR="002263CE">
        <w:rPr>
          <w:rFonts w:cs="Arial"/>
        </w:rPr>
        <w:t>tute and common law negligence –</w:t>
      </w:r>
      <w:r w:rsidR="00117E7F">
        <w:rPr>
          <w:rFonts w:cs="Arial"/>
        </w:rPr>
        <w:t xml:space="preserve"> </w:t>
      </w:r>
      <w:r>
        <w:rPr>
          <w:rFonts w:cs="Arial"/>
        </w:rPr>
        <w:t>in particu</w:t>
      </w:r>
      <w:r w:rsidR="002263CE">
        <w:rPr>
          <w:rFonts w:cs="Arial"/>
        </w:rPr>
        <w:t>lar how the relevant</w:t>
      </w:r>
      <w:r>
        <w:rPr>
          <w:rFonts w:cs="Arial"/>
        </w:rPr>
        <w:t xml:space="preserve"> </w:t>
      </w:r>
      <w:r w:rsidRPr="00FF350C">
        <w:rPr>
          <w:rFonts w:cs="Arial"/>
        </w:rPr>
        <w:t>duties of care are, in certain circumstances, capable of being applied to event organisers and governing bodies. Given the increasing popularity of road cycling in the UK and the growing number of events taking place on public roads, this is a legal area that will be worth watching closely.</w:t>
      </w:r>
    </w:p>
    <w:p w14:paraId="5AF69527" w14:textId="77777777" w:rsidR="00C4583A" w:rsidRPr="001D510B" w:rsidRDefault="00C4583A" w:rsidP="00C4583A">
      <w:pPr>
        <w:spacing w:after="0"/>
        <w:rPr>
          <w:highlight w:val="yellow"/>
        </w:rPr>
      </w:pPr>
    </w:p>
    <w:p w14:paraId="40C4F207" w14:textId="52BB0370" w:rsidR="00C4583A" w:rsidRDefault="00C4583A" w:rsidP="00C4583A">
      <w:pPr>
        <w:spacing w:after="0"/>
      </w:pPr>
      <w:r w:rsidRPr="00643E2C">
        <w:t xml:space="preserve">Keywords: </w:t>
      </w:r>
      <w:r w:rsidR="00643E2C" w:rsidRPr="00643E2C">
        <w:rPr>
          <w:i/>
        </w:rPr>
        <w:t>Event Management, Risk Management, Safety, Spectators, Negligence, Health &amp;</w:t>
      </w:r>
      <w:r w:rsidR="00643E2C">
        <w:rPr>
          <w:i/>
        </w:rPr>
        <w:t xml:space="preserve"> Safety, Occupiers’ Liability, Road Cycling</w:t>
      </w:r>
    </w:p>
    <w:p w14:paraId="346D4B33" w14:textId="77777777" w:rsidR="00A6035E" w:rsidRPr="00037E9C" w:rsidRDefault="00A6035E" w:rsidP="00A6035E">
      <w:pPr>
        <w:spacing w:before="120" w:after="0"/>
        <w:rPr>
          <w:i/>
        </w:rPr>
      </w:pPr>
      <w:r w:rsidRPr="00037E9C">
        <w:rPr>
          <w:i/>
        </w:rPr>
        <w:t xml:space="preserve">[First submitted as part fulfilment of the degree of </w:t>
      </w:r>
      <w:r>
        <w:rPr>
          <w:i/>
        </w:rPr>
        <w:t>LLM in International Sports Law</w:t>
      </w:r>
      <w:r w:rsidRPr="00037E9C">
        <w:rPr>
          <w:i/>
        </w:rPr>
        <w:t xml:space="preserve">, </w:t>
      </w:r>
      <w:r>
        <w:rPr>
          <w:i/>
        </w:rPr>
        <w:t>Staffordshire</w:t>
      </w:r>
      <w:r w:rsidRPr="00037E9C">
        <w:rPr>
          <w:i/>
        </w:rPr>
        <w:t xml:space="preserve"> University]</w:t>
      </w:r>
    </w:p>
    <w:p w14:paraId="5FEABFD7" w14:textId="77777777" w:rsidR="00A6035E" w:rsidRDefault="00A6035E" w:rsidP="00A6035E">
      <w:pPr>
        <w:spacing w:after="0"/>
      </w:pPr>
    </w:p>
    <w:p w14:paraId="68D43613" w14:textId="77777777" w:rsidR="00EF6A86" w:rsidRDefault="00EF6A86" w:rsidP="00FB7E7D">
      <w:pPr>
        <w:spacing w:after="0"/>
      </w:pPr>
    </w:p>
    <w:p w14:paraId="68D43619" w14:textId="77777777" w:rsidR="002A0AA6" w:rsidRDefault="002A0AA6" w:rsidP="00FB7E7D">
      <w:pPr>
        <w:spacing w:after="0"/>
      </w:pPr>
    </w:p>
    <w:p w14:paraId="3A2AD570" w14:textId="77777777" w:rsidR="007376D4" w:rsidRDefault="007376D4" w:rsidP="00FB7E7D">
      <w:pPr>
        <w:pBdr>
          <w:bottom w:val="single" w:sz="4" w:space="1" w:color="auto"/>
        </w:pBdr>
        <w:spacing w:after="0"/>
      </w:pPr>
    </w:p>
    <w:p w14:paraId="2F5A0DF0" w14:textId="77777777" w:rsidR="003A4CCA" w:rsidRDefault="003A4CCA" w:rsidP="00FB7E7D">
      <w:pPr>
        <w:pBdr>
          <w:bottom w:val="single" w:sz="4" w:space="1" w:color="auto"/>
        </w:pBdr>
        <w:spacing w:after="0"/>
      </w:pPr>
    </w:p>
    <w:p w14:paraId="67BF4033" w14:textId="00CDE92B" w:rsidR="005F57A1" w:rsidRDefault="005F57A1" w:rsidP="00FB7E7D">
      <w:pPr>
        <w:pBdr>
          <w:bottom w:val="single" w:sz="4" w:space="1" w:color="auto"/>
        </w:pBdr>
        <w:spacing w:after="0"/>
      </w:pPr>
    </w:p>
    <w:p w14:paraId="68D4361C" w14:textId="77777777" w:rsidR="002A0AA6" w:rsidRDefault="002A0AA6" w:rsidP="00FB7E7D">
      <w:pPr>
        <w:spacing w:after="0"/>
      </w:pPr>
    </w:p>
    <w:p w14:paraId="0BE2618F" w14:textId="77777777" w:rsidR="009A18B7" w:rsidRDefault="00625F9F" w:rsidP="00FB7E7D">
      <w:pPr>
        <w:spacing w:after="0"/>
        <w:rPr>
          <w:b/>
          <w:sz w:val="20"/>
        </w:rPr>
      </w:pPr>
      <w:r w:rsidRPr="002B0A45">
        <w:rPr>
          <w:b/>
          <w:sz w:val="20"/>
        </w:rPr>
        <w:t>Recommended Citation</w:t>
      </w:r>
      <w:r w:rsidR="009A18B7">
        <w:rPr>
          <w:b/>
          <w:sz w:val="20"/>
        </w:rPr>
        <w:t xml:space="preserve"> </w:t>
      </w:r>
    </w:p>
    <w:p w14:paraId="042D1DCA" w14:textId="04AF6851" w:rsidR="009A18B7" w:rsidRPr="00053C9E" w:rsidRDefault="008C15F8" w:rsidP="00C4583A">
      <w:pPr>
        <w:spacing w:after="0" w:line="240" w:lineRule="auto"/>
        <w:jc w:val="both"/>
        <w:rPr>
          <w:rFonts w:ascii="Arial" w:hAnsi="Arial" w:cs="Arial"/>
          <w:sz w:val="20"/>
          <w:szCs w:val="20"/>
          <w:lang w:val="en"/>
        </w:rPr>
      </w:pPr>
      <w:r w:rsidRPr="0067667D">
        <w:rPr>
          <w:rFonts w:cs="Arial"/>
          <w:sz w:val="20"/>
          <w:szCs w:val="20"/>
        </w:rPr>
        <w:t>L Thompson</w:t>
      </w:r>
      <w:r w:rsidR="009A18B7" w:rsidRPr="0067667D">
        <w:rPr>
          <w:rFonts w:cs="Arial"/>
          <w:sz w:val="20"/>
          <w:szCs w:val="20"/>
        </w:rPr>
        <w:t xml:space="preserve">, </w:t>
      </w:r>
      <w:r w:rsidR="009F2921">
        <w:rPr>
          <w:rFonts w:cs="Arial"/>
          <w:sz w:val="20"/>
          <w:szCs w:val="20"/>
        </w:rPr>
        <w:t>‘</w:t>
      </w:r>
      <w:r w:rsidR="00C4583A" w:rsidRPr="0067667D">
        <w:rPr>
          <w:rFonts w:cs="Arial"/>
          <w:sz w:val="20"/>
          <w:szCs w:val="20"/>
        </w:rPr>
        <w:t>The 2006 Tour of Britain cycle race – An analysis of the management of participant and spectator safety</w:t>
      </w:r>
      <w:r w:rsidR="009F2921">
        <w:rPr>
          <w:rFonts w:cs="Arial"/>
          <w:sz w:val="20"/>
          <w:szCs w:val="20"/>
        </w:rPr>
        <w:t>’</w:t>
      </w:r>
      <w:r w:rsidR="00FD660A" w:rsidRPr="0067667D">
        <w:rPr>
          <w:i/>
          <w:sz w:val="20"/>
          <w:szCs w:val="20"/>
        </w:rPr>
        <w:t xml:space="preserve"> </w:t>
      </w:r>
      <w:r w:rsidR="003268EF" w:rsidRPr="00053C9E">
        <w:rPr>
          <w:rFonts w:eastAsia="Arial" w:cs="Arial"/>
          <w:sz w:val="20"/>
          <w:szCs w:val="20"/>
          <w:lang w:val="en"/>
        </w:rPr>
        <w:t>(201</w:t>
      </w:r>
      <w:r w:rsidRPr="00053C9E">
        <w:rPr>
          <w:rFonts w:eastAsia="Arial" w:cs="Arial"/>
          <w:sz w:val="20"/>
          <w:szCs w:val="20"/>
          <w:lang w:val="en"/>
        </w:rPr>
        <w:t>5</w:t>
      </w:r>
      <w:r w:rsidR="003268EF" w:rsidRPr="00053C9E">
        <w:rPr>
          <w:rFonts w:eastAsia="Arial" w:cs="Arial"/>
          <w:sz w:val="20"/>
          <w:szCs w:val="20"/>
          <w:lang w:val="en"/>
        </w:rPr>
        <w:t xml:space="preserve">) 1 </w:t>
      </w:r>
      <w:r w:rsidR="007374F3" w:rsidRPr="00053C9E">
        <w:rPr>
          <w:rFonts w:eastAsia="Arial" w:cs="Arial"/>
          <w:sz w:val="20"/>
          <w:szCs w:val="20"/>
          <w:lang w:val="en"/>
        </w:rPr>
        <w:t>Laws of the Game</w:t>
      </w:r>
      <w:r w:rsidR="00C4583A" w:rsidRPr="00053C9E">
        <w:rPr>
          <w:rFonts w:eastAsia="Arial" w:cs="Arial"/>
          <w:sz w:val="20"/>
          <w:szCs w:val="20"/>
          <w:lang w:val="en"/>
        </w:rPr>
        <w:t xml:space="preserve"> </w:t>
      </w:r>
      <w:r w:rsidR="009F2921">
        <w:rPr>
          <w:rFonts w:eastAsia="Arial" w:cs="Arial"/>
          <w:sz w:val="20"/>
          <w:szCs w:val="20"/>
          <w:lang w:val="en"/>
        </w:rPr>
        <w:t>5</w:t>
      </w:r>
    </w:p>
    <w:p w14:paraId="571DDBA9" w14:textId="6450D0DA" w:rsidR="008C15F8" w:rsidRPr="00053C9E" w:rsidRDefault="009F2921" w:rsidP="009F2921">
      <w:pPr>
        <w:spacing w:after="0"/>
        <w:jc w:val="right"/>
        <w:rPr>
          <w:sz w:val="20"/>
          <w:szCs w:val="20"/>
        </w:rPr>
      </w:pPr>
      <w:r>
        <w:rPr>
          <w:rFonts w:cs="Arial"/>
          <w:sz w:val="20"/>
          <w:szCs w:val="20"/>
          <w:lang w:val="en"/>
        </w:rPr>
        <w:t>[</w:t>
      </w:r>
      <w:r w:rsidR="008C15F8" w:rsidRPr="00053C9E">
        <w:rPr>
          <w:sz w:val="20"/>
          <w:szCs w:val="20"/>
        </w:rPr>
        <w:t xml:space="preserve">Available at: </w:t>
      </w:r>
      <w:hyperlink r:id="rId8" w:history="1">
        <w:hyperlink r:id="rId9" w:history="1">
          <w:r w:rsidR="008C15F8" w:rsidRPr="00053C9E">
            <w:rPr>
              <w:rStyle w:val="Hyperlink"/>
              <w:sz w:val="20"/>
              <w:szCs w:val="20"/>
            </w:rPr>
            <w:t>www.staffs.ac.uk/lawsofthegame</w:t>
          </w:r>
        </w:hyperlink>
        <w:r w:rsidR="008C15F8" w:rsidRPr="00053C9E">
          <w:rPr>
            <w:rStyle w:val="Hyperlink"/>
            <w:sz w:val="20"/>
            <w:szCs w:val="20"/>
          </w:rPr>
          <w:t>/</w:t>
        </w:r>
      </w:hyperlink>
      <w:r>
        <w:rPr>
          <w:rStyle w:val="Hyperlink"/>
          <w:color w:val="auto"/>
          <w:sz w:val="20"/>
          <w:szCs w:val="20"/>
          <w:u w:val="none"/>
        </w:rPr>
        <w:t>]</w:t>
      </w:r>
      <w:r w:rsidR="008C15F8" w:rsidRPr="00053C9E">
        <w:rPr>
          <w:sz w:val="20"/>
          <w:szCs w:val="20"/>
        </w:rPr>
        <w:t xml:space="preserve">  </w:t>
      </w:r>
    </w:p>
    <w:p w14:paraId="2183AE02" w14:textId="77777777" w:rsidR="007376D4" w:rsidRDefault="007376D4">
      <w:pPr>
        <w:rPr>
          <w:b/>
          <w:sz w:val="24"/>
        </w:rPr>
      </w:pPr>
      <w:r>
        <w:rPr>
          <w:b/>
          <w:sz w:val="24"/>
        </w:rPr>
        <w:br w:type="page"/>
      </w:r>
    </w:p>
    <w:p w14:paraId="0216659D" w14:textId="6B16889A" w:rsidR="00C4583A" w:rsidRPr="00C4583A" w:rsidRDefault="00C4583A" w:rsidP="00C4583A">
      <w:pPr>
        <w:spacing w:after="120" w:line="240" w:lineRule="auto"/>
        <w:jc w:val="both"/>
        <w:rPr>
          <w:rFonts w:cs="Arial"/>
          <w:b/>
          <w:sz w:val="24"/>
        </w:rPr>
      </w:pPr>
      <w:r w:rsidRPr="00C4583A">
        <w:rPr>
          <w:rFonts w:cs="Arial"/>
          <w:b/>
          <w:sz w:val="24"/>
        </w:rPr>
        <w:lastRenderedPageBreak/>
        <w:t>INTRODUCTION</w:t>
      </w:r>
    </w:p>
    <w:p w14:paraId="5C291380" w14:textId="47B8D4DC" w:rsidR="00C4583A" w:rsidRPr="00FF350C" w:rsidRDefault="00C4583A" w:rsidP="00C4583A">
      <w:pPr>
        <w:spacing w:after="0" w:line="240" w:lineRule="auto"/>
        <w:jc w:val="both"/>
        <w:rPr>
          <w:rFonts w:cs="Arial"/>
        </w:rPr>
      </w:pPr>
      <w:r w:rsidRPr="00FF350C">
        <w:rPr>
          <w:rFonts w:cs="Arial"/>
        </w:rPr>
        <w:t>This paper analyses the 2006 edition of the Tour of Britain (‘the Tour’) cycle race and considers how the safety risks to participants and spectators were managed, both in the planning and execution of the event.</w:t>
      </w:r>
      <w:r w:rsidRPr="00FF350C">
        <w:rPr>
          <w:rStyle w:val="FootnoteReference"/>
          <w:rFonts w:cs="Arial"/>
        </w:rPr>
        <w:footnoteReference w:id="2"/>
      </w:r>
      <w:r w:rsidRPr="00FF350C">
        <w:rPr>
          <w:rFonts w:cs="Arial"/>
        </w:rPr>
        <w:t xml:space="preserve"> The 2006 Tour has been chosen principally because it was marked by a number of serious safety incidents including a motorcycle crash on the final stage which injured a number of spectators.</w:t>
      </w:r>
      <w:r w:rsidRPr="00FF350C">
        <w:rPr>
          <w:rStyle w:val="FootnoteReference"/>
          <w:rFonts w:cs="Arial"/>
        </w:rPr>
        <w:footnoteReference w:id="3"/>
      </w:r>
      <w:r w:rsidRPr="00FF350C">
        <w:rPr>
          <w:rFonts w:cs="Arial"/>
        </w:rPr>
        <w:t xml:space="preserve"> These incidents – and their underlying causes – highlight the difference between the identification of risks in advance of an event and the</w:t>
      </w:r>
      <w:r w:rsidR="002263CE">
        <w:rPr>
          <w:rFonts w:cs="Arial"/>
        </w:rPr>
        <w:t xml:space="preserve">ir management </w:t>
      </w:r>
      <w:r w:rsidRPr="00FF350C">
        <w:rPr>
          <w:rFonts w:cs="Arial"/>
        </w:rPr>
        <w:t>in a ‘live’ environment. In addition</w:t>
      </w:r>
      <w:r w:rsidR="00117E7F">
        <w:rPr>
          <w:rFonts w:cs="Arial"/>
        </w:rPr>
        <w:t>,</w:t>
      </w:r>
      <w:r w:rsidRPr="00FF350C">
        <w:rPr>
          <w:rFonts w:cs="Arial"/>
        </w:rPr>
        <w:t xml:space="preserve"> the 2006 Tour raises a number of interesting legal issues regarding the liability of event organisers and governing bodies under both statute and common law negligence.</w:t>
      </w:r>
    </w:p>
    <w:p w14:paraId="2EDDF6D5" w14:textId="77777777" w:rsidR="00C4583A" w:rsidRPr="00FF350C" w:rsidRDefault="00C4583A" w:rsidP="00C4583A">
      <w:pPr>
        <w:spacing w:after="0" w:line="240" w:lineRule="auto"/>
        <w:jc w:val="both"/>
        <w:rPr>
          <w:rFonts w:cs="Arial"/>
        </w:rPr>
      </w:pPr>
    </w:p>
    <w:p w14:paraId="46033493" w14:textId="1470F507" w:rsidR="00C4583A" w:rsidRDefault="00C4583A" w:rsidP="00C4583A">
      <w:pPr>
        <w:spacing w:after="0" w:line="240" w:lineRule="auto"/>
        <w:jc w:val="both"/>
        <w:rPr>
          <w:rFonts w:cs="Arial"/>
        </w:rPr>
      </w:pPr>
      <w:r w:rsidRPr="00FF350C">
        <w:rPr>
          <w:rFonts w:cs="Arial"/>
        </w:rPr>
        <w:t>The paper will first describe the nature of the event and the key safety-related risks to competitors and spectators</w:t>
      </w:r>
      <w:r w:rsidR="00117E7F">
        <w:rPr>
          <w:rFonts w:cs="Arial"/>
        </w:rPr>
        <w:t>,</w:t>
      </w:r>
      <w:r w:rsidRPr="00FF350C">
        <w:rPr>
          <w:rFonts w:cs="Arial"/>
        </w:rPr>
        <w:t xml:space="preserve"> before turning to the relevant statutory and common law provisions which govern safety at road cycle races. It is recognised that there exists a wide range of other risks associated with the race – for example those associated with environmental nuisance and commercial arrangements – but these are considered out</w:t>
      </w:r>
      <w:r w:rsidR="00117E7F">
        <w:rPr>
          <w:rFonts w:cs="Arial"/>
        </w:rPr>
        <w:t>side</w:t>
      </w:r>
      <w:r w:rsidRPr="00FF350C">
        <w:rPr>
          <w:rFonts w:cs="Arial"/>
        </w:rPr>
        <w:t xml:space="preserve"> the scope of this paper. Similarly</w:t>
      </w:r>
      <w:r w:rsidR="00117E7F">
        <w:rPr>
          <w:rFonts w:cs="Arial"/>
        </w:rPr>
        <w:t>,</w:t>
      </w:r>
      <w:r w:rsidRPr="00FF350C">
        <w:rPr>
          <w:rFonts w:cs="Arial"/>
        </w:rPr>
        <w:t xml:space="preserve"> the paper will not assess the wider security risks arising from the event, for example risks relating to crowd safety, terrorism or disaster prevention.</w:t>
      </w:r>
      <w:r w:rsidR="00117E7F">
        <w:rPr>
          <w:rFonts w:cs="Arial"/>
        </w:rPr>
        <w:t xml:space="preserve"> </w:t>
      </w:r>
      <w:r w:rsidRPr="00FF350C">
        <w:rPr>
          <w:rFonts w:cs="Arial"/>
        </w:rPr>
        <w:t xml:space="preserve">The paper will compare the way in which safety risks were planned for in the 2006 </w:t>
      </w:r>
      <w:r w:rsidR="00F2710A">
        <w:rPr>
          <w:rFonts w:cs="Arial"/>
        </w:rPr>
        <w:t>Tour</w:t>
      </w:r>
      <w:r w:rsidRPr="00FF350C">
        <w:rPr>
          <w:rFonts w:cs="Arial"/>
        </w:rPr>
        <w:t xml:space="preserve"> with how the event actually unfolded, highlighting how effectively the safety risks were managed in practice. In addition</w:t>
      </w:r>
      <w:r w:rsidR="00117E7F">
        <w:rPr>
          <w:rFonts w:cs="Arial"/>
        </w:rPr>
        <w:t>,</w:t>
      </w:r>
      <w:r w:rsidRPr="00FF350C">
        <w:rPr>
          <w:rFonts w:cs="Arial"/>
        </w:rPr>
        <w:t xml:space="preserve"> the paper will discuss a number of key legal issues arising from the race relating to liability under relevant statutory provisions and the common law.</w:t>
      </w:r>
    </w:p>
    <w:p w14:paraId="5A836D29" w14:textId="77777777" w:rsidR="00C4583A" w:rsidRDefault="00C4583A" w:rsidP="00C4583A">
      <w:pPr>
        <w:spacing w:after="0" w:line="240" w:lineRule="auto"/>
        <w:jc w:val="both"/>
        <w:rPr>
          <w:rFonts w:cs="Arial"/>
        </w:rPr>
      </w:pPr>
    </w:p>
    <w:p w14:paraId="7EFFA96A" w14:textId="77777777" w:rsidR="00C4583A" w:rsidRPr="00FF350C" w:rsidRDefault="00C4583A" w:rsidP="00C4583A">
      <w:pPr>
        <w:spacing w:after="0" w:line="240" w:lineRule="auto"/>
        <w:jc w:val="both"/>
        <w:rPr>
          <w:rFonts w:cs="Arial"/>
        </w:rPr>
      </w:pPr>
    </w:p>
    <w:p w14:paraId="0404D6A1" w14:textId="77777777" w:rsidR="00C4583A" w:rsidRPr="00FF350C" w:rsidRDefault="00C4583A" w:rsidP="00C4583A">
      <w:pPr>
        <w:spacing w:after="0" w:line="240" w:lineRule="auto"/>
        <w:jc w:val="both"/>
        <w:rPr>
          <w:rFonts w:cs="Arial"/>
          <w:b/>
        </w:rPr>
      </w:pPr>
    </w:p>
    <w:p w14:paraId="48AA8F31" w14:textId="3C15DEAA" w:rsidR="00C4583A" w:rsidRPr="005D401E" w:rsidRDefault="005D401E" w:rsidP="00C4583A">
      <w:pPr>
        <w:spacing w:after="120" w:line="240" w:lineRule="auto"/>
        <w:jc w:val="both"/>
        <w:rPr>
          <w:rFonts w:cs="Arial"/>
          <w:b/>
          <w:sz w:val="24"/>
        </w:rPr>
      </w:pPr>
      <w:r w:rsidRPr="005D401E">
        <w:rPr>
          <w:rFonts w:cs="Arial"/>
          <w:b/>
          <w:sz w:val="24"/>
        </w:rPr>
        <w:t>THE TOUR OF BRITAIN</w:t>
      </w:r>
    </w:p>
    <w:p w14:paraId="3A6CF365" w14:textId="332005D3" w:rsidR="00C4583A" w:rsidRPr="00FF350C" w:rsidRDefault="00C4583A" w:rsidP="00C4583A">
      <w:pPr>
        <w:spacing w:after="0" w:line="240" w:lineRule="auto"/>
        <w:jc w:val="both"/>
        <w:rPr>
          <w:rFonts w:cs="Arial"/>
        </w:rPr>
      </w:pPr>
      <w:r w:rsidRPr="00FF350C">
        <w:rPr>
          <w:rFonts w:cs="Arial"/>
        </w:rPr>
        <w:t>The modern Tour of Britain is a week-long professional road cycling stage race held in early September each year. Since its return to the calendar in 2004</w:t>
      </w:r>
      <w:r w:rsidR="00117E7F">
        <w:rPr>
          <w:rFonts w:cs="Arial"/>
        </w:rPr>
        <w:t>,</w:t>
      </w:r>
      <w:r w:rsidRPr="00FF350C">
        <w:rPr>
          <w:rFonts w:cs="Arial"/>
        </w:rPr>
        <w:t xml:space="preserve"> the race has been organised by a company called </w:t>
      </w:r>
      <w:proofErr w:type="spellStart"/>
      <w:r w:rsidRPr="00FF350C">
        <w:rPr>
          <w:rFonts w:cs="Arial"/>
        </w:rPr>
        <w:t>Sweetspot</w:t>
      </w:r>
      <w:proofErr w:type="spellEnd"/>
      <w:r w:rsidRPr="00FF350C">
        <w:rPr>
          <w:rFonts w:cs="Arial"/>
        </w:rPr>
        <w:t xml:space="preserve"> which also hosts a number of other cycle races in the UK.</w:t>
      </w:r>
      <w:r w:rsidRPr="00FF350C">
        <w:rPr>
          <w:rStyle w:val="FootnoteReference"/>
          <w:rFonts w:cs="Arial"/>
        </w:rPr>
        <w:footnoteReference w:id="4"/>
      </w:r>
      <w:r w:rsidRPr="00FF350C">
        <w:rPr>
          <w:rFonts w:cs="Arial"/>
        </w:rPr>
        <w:t xml:space="preserve"> As a stage race, the route </w:t>
      </w:r>
      <w:r w:rsidR="00F2710A">
        <w:rPr>
          <w:rFonts w:cs="Arial"/>
        </w:rPr>
        <w:t xml:space="preserve">of the Tour </w:t>
      </w:r>
      <w:r w:rsidRPr="00FF350C">
        <w:rPr>
          <w:rFonts w:cs="Arial"/>
        </w:rPr>
        <w:t>is chosen so as to ensure the terrain provides opportunities and challenges for all types of rider. This normally involves cr</w:t>
      </w:r>
      <w:bookmarkStart w:id="0" w:name="_GoBack"/>
      <w:bookmarkEnd w:id="0"/>
      <w:r w:rsidRPr="00FF350C">
        <w:rPr>
          <w:rFonts w:cs="Arial"/>
        </w:rPr>
        <w:t>eating stages that include a mixture of hills and flat sections to encourage exciting racing. In this way</w:t>
      </w:r>
      <w:r w:rsidR="00117E7F">
        <w:rPr>
          <w:rFonts w:cs="Arial"/>
        </w:rPr>
        <w:t>,</w:t>
      </w:r>
      <w:r w:rsidRPr="00FF350C">
        <w:rPr>
          <w:rFonts w:cs="Arial"/>
        </w:rPr>
        <w:t xml:space="preserve"> the route is also a means of showcasing a wide range of British regions which is important in terms of securing spectator interest in the race and sponsorship.</w:t>
      </w:r>
      <w:r w:rsidRPr="00FF350C">
        <w:rPr>
          <w:rStyle w:val="FootnoteReference"/>
          <w:rFonts w:cs="Arial"/>
        </w:rPr>
        <w:footnoteReference w:id="5"/>
      </w:r>
      <w:r w:rsidR="00117E7F">
        <w:rPr>
          <w:rFonts w:cs="Arial"/>
        </w:rPr>
        <w:t xml:space="preserve"> </w:t>
      </w:r>
      <w:r w:rsidRPr="00FF350C">
        <w:rPr>
          <w:rFonts w:cs="Arial"/>
        </w:rPr>
        <w:t>Importantly, this variety of route means that spectators are not confined to a single venue. Instead</w:t>
      </w:r>
      <w:r w:rsidR="00117E7F">
        <w:rPr>
          <w:rFonts w:cs="Arial"/>
        </w:rPr>
        <w:t>,</w:t>
      </w:r>
      <w:r w:rsidRPr="00FF350C">
        <w:rPr>
          <w:rFonts w:cs="Arial"/>
        </w:rPr>
        <w:t xml:space="preserve"> spectators line the roadsides along the route which, while closed to traffic for the duration of the race, are for the most part </w:t>
      </w:r>
      <w:r w:rsidR="002263CE">
        <w:rPr>
          <w:rFonts w:cs="Arial"/>
        </w:rPr>
        <w:t xml:space="preserve">open and </w:t>
      </w:r>
      <w:r w:rsidRPr="00FF350C">
        <w:rPr>
          <w:rFonts w:cs="Arial"/>
        </w:rPr>
        <w:t>unprotected. However</w:t>
      </w:r>
      <w:r w:rsidR="002263CE">
        <w:rPr>
          <w:rFonts w:cs="Arial"/>
        </w:rPr>
        <w:t>,</w:t>
      </w:r>
      <w:r w:rsidRPr="00FF350C">
        <w:rPr>
          <w:rFonts w:cs="Arial"/>
        </w:rPr>
        <w:t xml:space="preserve"> where stages start and finish in towns or cities, these areas often draw large crowds of spectators (particularly for high speed sprint finishes) and so require specialist infrastructure to be put in place e.g. crash barriers, signage etc.</w:t>
      </w:r>
    </w:p>
    <w:p w14:paraId="00C240C3" w14:textId="77777777" w:rsidR="00C4583A" w:rsidRPr="00FF350C" w:rsidRDefault="00C4583A" w:rsidP="00C4583A">
      <w:pPr>
        <w:spacing w:after="0" w:line="240" w:lineRule="auto"/>
        <w:jc w:val="both"/>
        <w:rPr>
          <w:rFonts w:cs="Arial"/>
        </w:rPr>
      </w:pPr>
    </w:p>
    <w:p w14:paraId="373B2EDD" w14:textId="41761EC5" w:rsidR="00C4583A" w:rsidRDefault="00C4583A" w:rsidP="00C4583A">
      <w:pPr>
        <w:spacing w:after="0" w:line="240" w:lineRule="auto"/>
        <w:jc w:val="both"/>
        <w:rPr>
          <w:rFonts w:cs="Arial"/>
        </w:rPr>
      </w:pPr>
      <w:r w:rsidRPr="00FF350C">
        <w:rPr>
          <w:rFonts w:cs="Arial"/>
        </w:rPr>
        <w:t>During each stage</w:t>
      </w:r>
      <w:r w:rsidR="00021E4B">
        <w:rPr>
          <w:rFonts w:cs="Arial"/>
        </w:rPr>
        <w:t>,</w:t>
      </w:r>
      <w:r w:rsidRPr="00FF350C">
        <w:rPr>
          <w:rFonts w:cs="Arial"/>
        </w:rPr>
        <w:t xml:space="preserve"> the competitors tend to race in a single, large group or ‘peloton’ however depending on race tactics and conditions</w:t>
      </w:r>
      <w:r w:rsidR="00021E4B">
        <w:rPr>
          <w:rFonts w:cs="Arial"/>
        </w:rPr>
        <w:t>,</w:t>
      </w:r>
      <w:r w:rsidRPr="00FF350C">
        <w:rPr>
          <w:rFonts w:cs="Arial"/>
        </w:rPr>
        <w:t xml:space="preserve"> the peloton will often fracture into smaller groups or individual riders. As such</w:t>
      </w:r>
      <w:r w:rsidR="00021E4B">
        <w:rPr>
          <w:rFonts w:cs="Arial"/>
        </w:rPr>
        <w:t>,</w:t>
      </w:r>
      <w:r w:rsidRPr="00FF350C">
        <w:rPr>
          <w:rFonts w:cs="Arial"/>
        </w:rPr>
        <w:t xml:space="preserve"> competitors can be spread out over long distances along the race route. It is the responsibility of the race </w:t>
      </w:r>
      <w:r w:rsidRPr="00FF350C">
        <w:rPr>
          <w:rFonts w:cs="Arial"/>
        </w:rPr>
        <w:lastRenderedPageBreak/>
        <w:t xml:space="preserve">officials, marshals and police (the ‘race convoy’) to ensure that the </w:t>
      </w:r>
      <w:r w:rsidR="00F2710A">
        <w:rPr>
          <w:rFonts w:cs="Arial"/>
        </w:rPr>
        <w:t>competitors are escorted safely. T</w:t>
      </w:r>
      <w:r w:rsidRPr="00FF350C">
        <w:rPr>
          <w:rFonts w:cs="Arial"/>
        </w:rPr>
        <w:t>his is achieved primarily through the use of pre-agreed road closures.</w:t>
      </w:r>
      <w:r w:rsidRPr="00FF350C">
        <w:rPr>
          <w:rStyle w:val="FootnoteReference"/>
          <w:rFonts w:cs="Arial"/>
        </w:rPr>
        <w:footnoteReference w:id="6"/>
      </w:r>
      <w:r w:rsidRPr="00FF350C">
        <w:rPr>
          <w:rFonts w:cs="Arial"/>
        </w:rPr>
        <w:t xml:space="preserve"> Road closures can be rolling road closures (whereby the roads are closed temporarily along the route until the riders have passed through) or fixed road closures (whereby the roads along the route are closed entirely for the duration of the race).</w:t>
      </w:r>
      <w:r w:rsidRPr="00FF350C">
        <w:rPr>
          <w:rStyle w:val="FootnoteReference"/>
          <w:rFonts w:cs="Arial"/>
        </w:rPr>
        <w:footnoteReference w:id="7"/>
      </w:r>
      <w:r w:rsidRPr="00FF350C">
        <w:rPr>
          <w:rFonts w:cs="Arial"/>
        </w:rPr>
        <w:t xml:space="preserve"> For the Tour of Britain</w:t>
      </w:r>
      <w:r w:rsidR="00021E4B">
        <w:rPr>
          <w:rFonts w:cs="Arial"/>
        </w:rPr>
        <w:t>,</w:t>
      </w:r>
      <w:r w:rsidRPr="00FF350C">
        <w:rPr>
          <w:rFonts w:cs="Arial"/>
        </w:rPr>
        <w:t xml:space="preserve"> rolling road closures are normally employed although some city centre finishes have fixed road closures.</w:t>
      </w:r>
    </w:p>
    <w:p w14:paraId="45D6E584" w14:textId="77777777" w:rsidR="00C4583A" w:rsidRDefault="00C4583A" w:rsidP="00C4583A">
      <w:pPr>
        <w:spacing w:after="0" w:line="240" w:lineRule="auto"/>
        <w:jc w:val="both"/>
        <w:rPr>
          <w:rFonts w:cs="Arial"/>
        </w:rPr>
      </w:pPr>
    </w:p>
    <w:p w14:paraId="1A8C5820" w14:textId="11743B9F" w:rsidR="00C4583A" w:rsidRDefault="00C4583A" w:rsidP="00C4583A">
      <w:pPr>
        <w:spacing w:after="0" w:line="240" w:lineRule="auto"/>
        <w:jc w:val="both"/>
        <w:rPr>
          <w:rFonts w:cs="Arial"/>
        </w:rPr>
      </w:pPr>
      <w:r w:rsidRPr="00FF350C">
        <w:rPr>
          <w:rFonts w:cs="Arial"/>
        </w:rPr>
        <w:t>The Tour is therefore very different to other sporting events which are held in a single location</w:t>
      </w:r>
      <w:r w:rsidR="00F2710A">
        <w:rPr>
          <w:rFonts w:cs="Arial"/>
        </w:rPr>
        <w:t>,</w:t>
      </w:r>
      <w:r w:rsidRPr="00FF350C">
        <w:rPr>
          <w:rFonts w:cs="Arial"/>
        </w:rPr>
        <w:t xml:space="preserve"> such as a stadium</w:t>
      </w:r>
      <w:r w:rsidR="00F2710A">
        <w:rPr>
          <w:rFonts w:cs="Arial"/>
        </w:rPr>
        <w:t xml:space="preserve"> or arena,</w:t>
      </w:r>
      <w:r w:rsidRPr="00FF350C">
        <w:rPr>
          <w:rFonts w:cs="Arial"/>
        </w:rPr>
        <w:t xml:space="preserve"> where many of the safety risks to participants and spectators can be addressed through standards regulating design, capacity etc.</w:t>
      </w:r>
      <w:r w:rsidRPr="00FF350C">
        <w:rPr>
          <w:rStyle w:val="FootnoteReference"/>
          <w:rFonts w:cs="Arial"/>
        </w:rPr>
        <w:footnoteReference w:id="8"/>
      </w:r>
      <w:r w:rsidRPr="00FF350C">
        <w:rPr>
          <w:rFonts w:cs="Arial"/>
        </w:rPr>
        <w:t xml:space="preserve"> Instead, the Tour is a series of moving one-day events held across varied and wide geographic locations.</w:t>
      </w:r>
      <w:r w:rsidR="00021E4B">
        <w:rPr>
          <w:rFonts w:cs="Arial"/>
        </w:rPr>
        <w:t xml:space="preserve"> </w:t>
      </w:r>
      <w:r w:rsidRPr="00FF350C">
        <w:rPr>
          <w:rFonts w:cs="Arial"/>
        </w:rPr>
        <w:t>As a result</w:t>
      </w:r>
      <w:r w:rsidR="00021E4B">
        <w:rPr>
          <w:rFonts w:cs="Arial"/>
        </w:rPr>
        <w:t>,</w:t>
      </w:r>
      <w:r w:rsidRPr="00FF350C">
        <w:rPr>
          <w:rFonts w:cs="Arial"/>
        </w:rPr>
        <w:t xml:space="preserve"> the key risks arise not only from the interaction between competitors themselves (</w:t>
      </w:r>
      <w:r w:rsidR="00F2710A">
        <w:rPr>
          <w:rFonts w:cs="Arial"/>
        </w:rPr>
        <w:t xml:space="preserve">e.g. due to </w:t>
      </w:r>
      <w:r w:rsidRPr="00FF350C">
        <w:rPr>
          <w:rFonts w:cs="Arial"/>
        </w:rPr>
        <w:t xml:space="preserve">racing incidents such as crashes) but also </w:t>
      </w:r>
      <w:r w:rsidR="00021E4B">
        <w:rPr>
          <w:rFonts w:cs="Arial"/>
        </w:rPr>
        <w:t xml:space="preserve">from </w:t>
      </w:r>
      <w:r w:rsidRPr="00FF350C">
        <w:rPr>
          <w:rFonts w:cs="Arial"/>
        </w:rPr>
        <w:t>the interaction between competitors, other members of the race convoy and spectators. Further, as the Tour takes place on public roads there is the additional risk arising from the potential for competitors and non-race traffic to come into conflict.</w:t>
      </w:r>
      <w:r w:rsidR="002815CE">
        <w:rPr>
          <w:rFonts w:cs="Arial"/>
        </w:rPr>
        <w:t xml:space="preserve"> </w:t>
      </w:r>
      <w:r w:rsidRPr="00FF350C">
        <w:rPr>
          <w:rFonts w:cs="Arial"/>
        </w:rPr>
        <w:t>In this context</w:t>
      </w:r>
      <w:r w:rsidR="00021E4B">
        <w:rPr>
          <w:rFonts w:cs="Arial"/>
        </w:rPr>
        <w:t>,</w:t>
      </w:r>
      <w:r w:rsidRPr="00FF350C">
        <w:rPr>
          <w:rFonts w:cs="Arial"/>
        </w:rPr>
        <w:t xml:space="preserve"> the principal safety challenge for the organisers is to ensure </w:t>
      </w:r>
      <w:r w:rsidR="00021E4B">
        <w:rPr>
          <w:rFonts w:cs="Arial"/>
        </w:rPr>
        <w:t xml:space="preserve">that </w:t>
      </w:r>
      <w:r w:rsidRPr="00FF350C">
        <w:rPr>
          <w:rFonts w:cs="Arial"/>
        </w:rPr>
        <w:t>all competitors and spectators are able to interact – often at high speed – whilst minimising so far as possible the chance of injury or death.</w:t>
      </w:r>
    </w:p>
    <w:p w14:paraId="5FCD5D71" w14:textId="77777777" w:rsidR="00C4583A" w:rsidRDefault="00C4583A" w:rsidP="00C4583A">
      <w:pPr>
        <w:spacing w:after="0" w:line="240" w:lineRule="auto"/>
        <w:jc w:val="both"/>
        <w:rPr>
          <w:rFonts w:cs="Arial"/>
        </w:rPr>
      </w:pPr>
    </w:p>
    <w:p w14:paraId="6486908A" w14:textId="77777777" w:rsidR="00C4583A" w:rsidRPr="00FF350C" w:rsidRDefault="00C4583A" w:rsidP="00C4583A">
      <w:pPr>
        <w:spacing w:after="0" w:line="240" w:lineRule="auto"/>
        <w:jc w:val="both"/>
        <w:rPr>
          <w:rFonts w:cs="Arial"/>
        </w:rPr>
      </w:pPr>
    </w:p>
    <w:p w14:paraId="151D91A1" w14:textId="77777777" w:rsidR="00C4583A" w:rsidRPr="00FF350C" w:rsidRDefault="00C4583A" w:rsidP="00C4583A">
      <w:pPr>
        <w:spacing w:after="0" w:line="240" w:lineRule="auto"/>
        <w:jc w:val="both"/>
        <w:rPr>
          <w:rFonts w:cs="Arial"/>
        </w:rPr>
      </w:pPr>
    </w:p>
    <w:p w14:paraId="2A689B57" w14:textId="78C25423" w:rsidR="00C4583A" w:rsidRPr="005D401E" w:rsidRDefault="005D401E" w:rsidP="00C4583A">
      <w:pPr>
        <w:spacing w:after="120" w:line="240" w:lineRule="auto"/>
        <w:jc w:val="both"/>
        <w:rPr>
          <w:rFonts w:cs="Arial"/>
          <w:b/>
          <w:sz w:val="24"/>
        </w:rPr>
      </w:pPr>
      <w:r w:rsidRPr="005D401E">
        <w:rPr>
          <w:rFonts w:cs="Arial"/>
          <w:b/>
          <w:sz w:val="24"/>
        </w:rPr>
        <w:t>THE ROLE OF BRITISH CYCLING AND THE UNION CYCLISTE INTERNATIONAL (UCI)</w:t>
      </w:r>
    </w:p>
    <w:p w14:paraId="7532C351" w14:textId="2FDD1489" w:rsidR="00C4583A" w:rsidRPr="00FF350C" w:rsidRDefault="00C4583A" w:rsidP="00C4583A">
      <w:pPr>
        <w:spacing w:after="0" w:line="240" w:lineRule="auto"/>
        <w:jc w:val="both"/>
        <w:rPr>
          <w:rFonts w:cs="Arial"/>
        </w:rPr>
      </w:pPr>
      <w:r w:rsidRPr="00FF350C">
        <w:rPr>
          <w:rFonts w:cs="Arial"/>
        </w:rPr>
        <w:t>The Tour is sanctioned by the National Governing Body (NGB) British Cycling.</w:t>
      </w:r>
      <w:r w:rsidRPr="00FF350C">
        <w:rPr>
          <w:rStyle w:val="FootnoteReference"/>
          <w:rFonts w:cs="Arial"/>
        </w:rPr>
        <w:footnoteReference w:id="9"/>
      </w:r>
      <w:r w:rsidRPr="00FF350C">
        <w:rPr>
          <w:rFonts w:cs="Arial"/>
        </w:rPr>
        <w:t xml:space="preserve"> British Cycling require event organisers to comply with specific requirements in order to approve an application to hold an event including: production of a risk assessment, an event safety plan and a technical guide.</w:t>
      </w:r>
      <w:r w:rsidRPr="00FF350C">
        <w:rPr>
          <w:rStyle w:val="FootnoteReference"/>
          <w:rFonts w:cs="Arial"/>
        </w:rPr>
        <w:footnoteReference w:id="10"/>
      </w:r>
      <w:r w:rsidRPr="00FF350C">
        <w:rPr>
          <w:rFonts w:cs="Arial"/>
        </w:rPr>
        <w:t xml:space="preserve"> Event organisers must also have sought and </w:t>
      </w:r>
      <w:r w:rsidR="00F2710A">
        <w:rPr>
          <w:rFonts w:cs="Arial"/>
        </w:rPr>
        <w:t>obtained</w:t>
      </w:r>
      <w:r w:rsidRPr="00FF350C">
        <w:rPr>
          <w:rFonts w:cs="Arial"/>
        </w:rPr>
        <w:t xml:space="preserve"> approval for any road closures from the relevant agencies (Local Authorities and Police). Where an event organiser has been registered, British Cycling provides an indemnity for liabilities of up to £10m where a claim is made against an organiser, official or participant.</w:t>
      </w:r>
      <w:r w:rsidRPr="00FF350C">
        <w:rPr>
          <w:rStyle w:val="FootnoteReference"/>
          <w:rFonts w:cs="Arial"/>
        </w:rPr>
        <w:footnoteReference w:id="11"/>
      </w:r>
    </w:p>
    <w:p w14:paraId="377BFFCD" w14:textId="77777777" w:rsidR="00C4583A" w:rsidRPr="00FF350C" w:rsidRDefault="00C4583A" w:rsidP="00C4583A">
      <w:pPr>
        <w:spacing w:after="0" w:line="240" w:lineRule="auto"/>
        <w:jc w:val="both"/>
        <w:rPr>
          <w:rFonts w:cs="Arial"/>
        </w:rPr>
      </w:pPr>
    </w:p>
    <w:p w14:paraId="2B111B3D" w14:textId="7B7A68FF" w:rsidR="00C4583A" w:rsidRDefault="00C4583A" w:rsidP="00C4583A">
      <w:pPr>
        <w:spacing w:after="0" w:line="240" w:lineRule="auto"/>
        <w:jc w:val="both"/>
        <w:rPr>
          <w:rFonts w:cs="Arial"/>
        </w:rPr>
      </w:pPr>
      <w:r w:rsidRPr="00FF350C">
        <w:rPr>
          <w:rFonts w:cs="Arial"/>
        </w:rPr>
        <w:t>In addition</w:t>
      </w:r>
      <w:r w:rsidR="00C76120">
        <w:rPr>
          <w:rFonts w:cs="Arial"/>
        </w:rPr>
        <w:t>,</w:t>
      </w:r>
      <w:r w:rsidRPr="00FF350C">
        <w:rPr>
          <w:rFonts w:cs="Arial"/>
        </w:rPr>
        <w:t xml:space="preserve"> </w:t>
      </w:r>
      <w:r w:rsidR="00C76120" w:rsidRPr="00FF350C">
        <w:rPr>
          <w:rFonts w:cs="Arial"/>
        </w:rPr>
        <w:t>according to UCI race categorisation</w:t>
      </w:r>
      <w:r w:rsidR="00C76120">
        <w:rPr>
          <w:rFonts w:cs="Arial"/>
        </w:rPr>
        <w:t>,</w:t>
      </w:r>
      <w:r w:rsidR="00C76120" w:rsidRPr="00FF350C">
        <w:rPr>
          <w:rFonts w:cs="Arial"/>
        </w:rPr>
        <w:t xml:space="preserve"> </w:t>
      </w:r>
      <w:r w:rsidRPr="00FF350C">
        <w:rPr>
          <w:rFonts w:cs="Arial"/>
        </w:rPr>
        <w:t>the Tour is an international-level race on the UCI Europe Tour.</w:t>
      </w:r>
      <w:r w:rsidRPr="00FF350C">
        <w:rPr>
          <w:rStyle w:val="FootnoteReference"/>
          <w:rFonts w:cs="Arial"/>
        </w:rPr>
        <w:footnoteReference w:id="12"/>
      </w:r>
      <w:r w:rsidRPr="00FF350C">
        <w:rPr>
          <w:rFonts w:cs="Arial"/>
        </w:rPr>
        <w:t xml:space="preserve"> This means </w:t>
      </w:r>
      <w:r w:rsidR="00C76120">
        <w:rPr>
          <w:rFonts w:cs="Arial"/>
        </w:rPr>
        <w:t xml:space="preserve">that </w:t>
      </w:r>
      <w:r w:rsidRPr="00FF350C">
        <w:rPr>
          <w:rFonts w:cs="Arial"/>
        </w:rPr>
        <w:t>the Tour organisers must pay due regard to any relevant safety regulations and</w:t>
      </w:r>
      <w:r w:rsidR="00F2710A">
        <w:rPr>
          <w:rFonts w:cs="Arial"/>
        </w:rPr>
        <w:t xml:space="preserve"> guidance stipulated by the UCI. One particular requirement is to </w:t>
      </w:r>
      <w:r w:rsidRPr="00FF350C">
        <w:rPr>
          <w:rFonts w:cs="Arial"/>
        </w:rPr>
        <w:t>ensur</w:t>
      </w:r>
      <w:r w:rsidR="00F2710A">
        <w:rPr>
          <w:rFonts w:cs="Arial"/>
        </w:rPr>
        <w:t>e</w:t>
      </w:r>
      <w:r w:rsidRPr="00FF350C">
        <w:rPr>
          <w:rFonts w:cs="Arial"/>
        </w:rPr>
        <w:t xml:space="preserve"> that a UCI </w:t>
      </w:r>
      <w:proofErr w:type="spellStart"/>
      <w:r w:rsidRPr="00FF350C">
        <w:rPr>
          <w:rFonts w:cs="Arial"/>
        </w:rPr>
        <w:t>Commissaire</w:t>
      </w:r>
      <w:proofErr w:type="spellEnd"/>
      <w:r w:rsidRPr="00FF350C">
        <w:rPr>
          <w:rFonts w:cs="Arial"/>
        </w:rPr>
        <w:t xml:space="preserve"> is present at the race to review the management of the event.</w:t>
      </w:r>
      <w:r w:rsidRPr="00FF350C">
        <w:rPr>
          <w:rStyle w:val="FootnoteReference"/>
          <w:rFonts w:cs="Arial"/>
        </w:rPr>
        <w:footnoteReference w:id="13"/>
      </w:r>
      <w:r w:rsidRPr="00FF350C">
        <w:rPr>
          <w:rFonts w:cs="Arial"/>
        </w:rPr>
        <w:t xml:space="preserve"> In 2006</w:t>
      </w:r>
      <w:r w:rsidR="00C76120">
        <w:rPr>
          <w:rFonts w:cs="Arial"/>
        </w:rPr>
        <w:t>,</w:t>
      </w:r>
      <w:r w:rsidRPr="00FF350C">
        <w:rPr>
          <w:rFonts w:cs="Arial"/>
        </w:rPr>
        <w:t xml:space="preserve"> the Tour was categorised as a 2.1 level race on the UCI Europe Tour.</w:t>
      </w:r>
      <w:r w:rsidRPr="00FF350C">
        <w:rPr>
          <w:rStyle w:val="FootnoteReference"/>
          <w:rFonts w:cs="Arial"/>
        </w:rPr>
        <w:footnoteReference w:id="14"/>
      </w:r>
      <w:r w:rsidRPr="00FF350C">
        <w:rPr>
          <w:rFonts w:cs="Arial"/>
        </w:rPr>
        <w:t xml:space="preserve"> For 2014</w:t>
      </w:r>
      <w:r w:rsidR="00C76120">
        <w:rPr>
          <w:rFonts w:cs="Arial"/>
        </w:rPr>
        <w:t>,</w:t>
      </w:r>
      <w:r w:rsidRPr="00FF350C">
        <w:rPr>
          <w:rFonts w:cs="Arial"/>
        </w:rPr>
        <w:t xml:space="preserve"> the Tour’s status was revised upwards to 2.HC to reflect the race’s growing status on the international calendar.</w:t>
      </w:r>
      <w:r w:rsidRPr="00FF350C">
        <w:rPr>
          <w:rStyle w:val="FootnoteReference"/>
          <w:rFonts w:cs="Arial"/>
        </w:rPr>
        <w:footnoteReference w:id="15"/>
      </w:r>
    </w:p>
    <w:p w14:paraId="18CA9073" w14:textId="77777777" w:rsidR="00C4583A" w:rsidRDefault="00C4583A" w:rsidP="00C4583A">
      <w:pPr>
        <w:spacing w:after="0" w:line="240" w:lineRule="auto"/>
        <w:jc w:val="both"/>
        <w:rPr>
          <w:rFonts w:cs="Arial"/>
        </w:rPr>
      </w:pPr>
    </w:p>
    <w:p w14:paraId="23780EDE" w14:textId="77777777" w:rsidR="00C76120" w:rsidRPr="00FF350C" w:rsidRDefault="00C76120" w:rsidP="00C4583A">
      <w:pPr>
        <w:spacing w:after="0" w:line="240" w:lineRule="auto"/>
        <w:jc w:val="both"/>
        <w:rPr>
          <w:rFonts w:cs="Arial"/>
        </w:rPr>
      </w:pPr>
    </w:p>
    <w:p w14:paraId="6E3C14A6" w14:textId="77777777" w:rsidR="002815CE" w:rsidRDefault="002815CE" w:rsidP="00C4583A">
      <w:pPr>
        <w:spacing w:after="0" w:line="240" w:lineRule="auto"/>
        <w:jc w:val="both"/>
        <w:rPr>
          <w:rFonts w:cs="Arial"/>
          <w:b/>
        </w:rPr>
      </w:pPr>
    </w:p>
    <w:p w14:paraId="209F1EA0" w14:textId="77777777" w:rsidR="00682A67" w:rsidRPr="00FF350C" w:rsidRDefault="00682A67" w:rsidP="00C4583A">
      <w:pPr>
        <w:spacing w:after="0" w:line="240" w:lineRule="auto"/>
        <w:jc w:val="both"/>
        <w:rPr>
          <w:rFonts w:cs="Arial"/>
          <w:b/>
        </w:rPr>
      </w:pPr>
    </w:p>
    <w:p w14:paraId="49AB86BC" w14:textId="23A61137" w:rsidR="00C4583A" w:rsidRPr="00C4583A" w:rsidRDefault="00C4583A" w:rsidP="00C4583A">
      <w:pPr>
        <w:spacing w:after="120" w:line="240" w:lineRule="auto"/>
        <w:jc w:val="both"/>
        <w:rPr>
          <w:rFonts w:cs="Arial"/>
          <w:b/>
          <w:sz w:val="24"/>
          <w:szCs w:val="24"/>
        </w:rPr>
      </w:pPr>
      <w:r w:rsidRPr="00C4583A">
        <w:rPr>
          <w:rFonts w:cs="Arial"/>
          <w:b/>
          <w:sz w:val="24"/>
          <w:szCs w:val="24"/>
        </w:rPr>
        <w:t>RELEVANT STATUTORY PROVISIONS</w:t>
      </w:r>
    </w:p>
    <w:p w14:paraId="052F409B" w14:textId="77777777" w:rsidR="00C4583A" w:rsidRPr="00FF350C" w:rsidRDefault="00C4583A" w:rsidP="00C4583A">
      <w:pPr>
        <w:spacing w:after="0" w:line="240" w:lineRule="auto"/>
        <w:jc w:val="both"/>
        <w:rPr>
          <w:rFonts w:cs="Arial"/>
        </w:rPr>
      </w:pPr>
      <w:r w:rsidRPr="00FF350C">
        <w:rPr>
          <w:rFonts w:cs="Arial"/>
        </w:rPr>
        <w:t xml:space="preserve">The following statutory framework applies to event organisers seeking to run a road cycle race in Great Britain. </w:t>
      </w:r>
    </w:p>
    <w:p w14:paraId="00CE1CA1" w14:textId="77777777" w:rsidR="00C4583A" w:rsidRPr="00FF350C" w:rsidRDefault="00C4583A" w:rsidP="00C4583A">
      <w:pPr>
        <w:spacing w:after="0" w:line="240" w:lineRule="auto"/>
        <w:jc w:val="both"/>
        <w:rPr>
          <w:rFonts w:cs="Arial"/>
          <w:b/>
          <w:i/>
        </w:rPr>
      </w:pPr>
    </w:p>
    <w:p w14:paraId="7E2D074E" w14:textId="32B8DEBA" w:rsidR="00C4583A" w:rsidRPr="00C4583A" w:rsidRDefault="008873D3" w:rsidP="00C4583A">
      <w:pPr>
        <w:spacing w:after="0" w:line="240" w:lineRule="auto"/>
        <w:jc w:val="both"/>
        <w:rPr>
          <w:rFonts w:cs="Arial"/>
          <w:b/>
          <w:i/>
        </w:rPr>
      </w:pPr>
      <w:r>
        <w:rPr>
          <w:rFonts w:cs="Arial"/>
          <w:b/>
          <w:i/>
        </w:rPr>
        <w:t xml:space="preserve">Health and Safety at Work Act </w:t>
      </w:r>
      <w:r w:rsidR="00C4583A" w:rsidRPr="00C4583A">
        <w:rPr>
          <w:rFonts w:cs="Arial"/>
          <w:b/>
          <w:i/>
        </w:rPr>
        <w:t>1974</w:t>
      </w:r>
    </w:p>
    <w:p w14:paraId="236075A2" w14:textId="39AE66BA" w:rsidR="00C4583A" w:rsidRPr="00FF350C" w:rsidRDefault="00C4583A" w:rsidP="00C4583A">
      <w:pPr>
        <w:spacing w:after="0" w:line="240" w:lineRule="auto"/>
        <w:jc w:val="both"/>
        <w:rPr>
          <w:rFonts w:cs="Arial"/>
        </w:rPr>
      </w:pPr>
      <w:r w:rsidRPr="00FF350C">
        <w:rPr>
          <w:rFonts w:cs="Arial"/>
        </w:rPr>
        <w:t xml:space="preserve">Under </w:t>
      </w:r>
      <w:r w:rsidR="00582D7C">
        <w:rPr>
          <w:rFonts w:cs="Arial"/>
        </w:rPr>
        <w:t xml:space="preserve">the </w:t>
      </w:r>
      <w:r w:rsidR="00FC5EB5">
        <w:rPr>
          <w:rFonts w:cs="Arial"/>
          <w:i/>
        </w:rPr>
        <w:t>Health and Safety at W</w:t>
      </w:r>
      <w:r w:rsidR="00582D7C" w:rsidRPr="00527E36">
        <w:rPr>
          <w:rFonts w:cs="Arial"/>
          <w:i/>
        </w:rPr>
        <w:t>ork Act</w:t>
      </w:r>
      <w:r w:rsidR="00527E36" w:rsidRPr="00527E36">
        <w:rPr>
          <w:rFonts w:cs="Arial"/>
          <w:i/>
        </w:rPr>
        <w:t xml:space="preserve"> 1974</w:t>
      </w:r>
      <w:r w:rsidR="00582D7C">
        <w:rPr>
          <w:rFonts w:cs="Arial"/>
        </w:rPr>
        <w:t xml:space="preserve"> </w:t>
      </w:r>
      <w:r w:rsidR="004F4C1F">
        <w:rPr>
          <w:rFonts w:cs="Arial"/>
        </w:rPr>
        <w:t>(</w:t>
      </w:r>
      <w:r w:rsidR="00FC5EB5" w:rsidRPr="00132E83">
        <w:rPr>
          <w:rFonts w:cs="Arial"/>
          <w:i/>
        </w:rPr>
        <w:t>HASAW</w:t>
      </w:r>
      <w:r w:rsidR="008873D3">
        <w:rPr>
          <w:rFonts w:cs="Arial"/>
        </w:rPr>
        <w:t>)</w:t>
      </w:r>
      <w:r w:rsidR="004F4C1F">
        <w:rPr>
          <w:rFonts w:cs="Arial"/>
        </w:rPr>
        <w:t xml:space="preserve">, </w:t>
      </w:r>
      <w:r w:rsidRPr="00FF350C">
        <w:rPr>
          <w:rFonts w:cs="Arial"/>
        </w:rPr>
        <w:t xml:space="preserve">an employer </w:t>
      </w:r>
      <w:r w:rsidR="00582D7C">
        <w:rPr>
          <w:rFonts w:cs="Arial"/>
        </w:rPr>
        <w:t>has a statutory duty to ensure “</w:t>
      </w:r>
      <w:r w:rsidRPr="00582D7C">
        <w:rPr>
          <w:rFonts w:cs="Arial"/>
        </w:rPr>
        <w:t>so far as is reasonably practicable, the health, safety and welfare of at work of all his employees</w:t>
      </w:r>
      <w:r w:rsidR="00582D7C">
        <w:rPr>
          <w:rFonts w:cs="Arial"/>
        </w:rPr>
        <w:t>.”</w:t>
      </w:r>
      <w:r w:rsidRPr="00FF350C">
        <w:rPr>
          <w:rStyle w:val="FootnoteReference"/>
          <w:rFonts w:cs="Arial"/>
        </w:rPr>
        <w:footnoteReference w:id="16"/>
      </w:r>
      <w:r w:rsidRPr="00FF350C">
        <w:rPr>
          <w:rFonts w:cs="Arial"/>
        </w:rPr>
        <w:t xml:space="preserve"> The Act also places a duty on employers and self-employed persons to ensure their conduct does not expose affected parties to risks to their health and safety.</w:t>
      </w:r>
      <w:r w:rsidRPr="00FF350C">
        <w:rPr>
          <w:rStyle w:val="FootnoteReference"/>
          <w:rFonts w:cs="Arial"/>
        </w:rPr>
        <w:footnoteReference w:id="17"/>
      </w:r>
      <w:r w:rsidRPr="00FF350C">
        <w:rPr>
          <w:rFonts w:cs="Arial"/>
        </w:rPr>
        <w:t xml:space="preserve"> </w:t>
      </w:r>
    </w:p>
    <w:p w14:paraId="468D9361" w14:textId="77777777" w:rsidR="00C4583A" w:rsidRPr="00FF350C" w:rsidRDefault="00C4583A" w:rsidP="00C4583A">
      <w:pPr>
        <w:spacing w:after="0" w:line="240" w:lineRule="auto"/>
        <w:jc w:val="both"/>
        <w:rPr>
          <w:rFonts w:cs="Arial"/>
        </w:rPr>
      </w:pPr>
    </w:p>
    <w:p w14:paraId="1CEE2CBB" w14:textId="4BB08765" w:rsidR="00C4583A" w:rsidRPr="00FF350C" w:rsidRDefault="00C4583A" w:rsidP="00C4583A">
      <w:pPr>
        <w:spacing w:after="120" w:line="240" w:lineRule="auto"/>
        <w:jc w:val="both"/>
        <w:rPr>
          <w:rFonts w:cs="Arial"/>
        </w:rPr>
      </w:pPr>
      <w:r w:rsidRPr="00FF350C">
        <w:rPr>
          <w:rFonts w:cs="Arial"/>
        </w:rPr>
        <w:t xml:space="preserve">In addition to the duty on employers, the Act </w:t>
      </w:r>
      <w:r w:rsidR="00C76120">
        <w:rPr>
          <w:rFonts w:cs="Arial"/>
        </w:rPr>
        <w:t xml:space="preserve">also </w:t>
      </w:r>
      <w:r w:rsidRPr="00FF350C">
        <w:rPr>
          <w:rFonts w:cs="Arial"/>
        </w:rPr>
        <w:t>places</w:t>
      </w:r>
      <w:r w:rsidR="00582D7C">
        <w:rPr>
          <w:rFonts w:cs="Arial"/>
        </w:rPr>
        <w:t xml:space="preserve"> a duty on those in control of </w:t>
      </w:r>
      <w:r w:rsidRPr="00FF350C">
        <w:rPr>
          <w:rFonts w:cs="Arial"/>
        </w:rPr>
        <w:t>non</w:t>
      </w:r>
      <w:r w:rsidR="00582D7C">
        <w:rPr>
          <w:rFonts w:cs="Arial"/>
        </w:rPr>
        <w:t>-domestic premises</w:t>
      </w:r>
      <w:r w:rsidRPr="00FF350C">
        <w:rPr>
          <w:rFonts w:cs="Arial"/>
        </w:rPr>
        <w:t xml:space="preserve"> in relation to others who are not employees to ensure that:</w:t>
      </w:r>
    </w:p>
    <w:p w14:paraId="6AA2D7B9" w14:textId="50D28D82" w:rsidR="00C4583A" w:rsidRPr="00FF350C" w:rsidRDefault="00C4583A" w:rsidP="00C4583A">
      <w:pPr>
        <w:spacing w:after="240" w:line="240" w:lineRule="auto"/>
        <w:ind w:left="426"/>
        <w:jc w:val="both"/>
        <w:rPr>
          <w:rFonts w:cs="Arial"/>
        </w:rPr>
      </w:pPr>
      <w:r w:rsidRPr="00FF350C">
        <w:rPr>
          <w:rFonts w:cs="Arial"/>
        </w:rPr>
        <w:t>“…</w:t>
      </w:r>
      <w:r w:rsidRPr="00FF350C">
        <w:rPr>
          <w:rStyle w:val="legds2"/>
          <w:rFonts w:cs="Arial"/>
          <w:lang w:val="en"/>
        </w:rPr>
        <w:t>the premises, all means of access thereto or egress therefrom available for use by persons using the premises, and any plant or substance in the premises or, as the case may be, provided for use there, is or are safe and without risks to health.”</w:t>
      </w:r>
      <w:r w:rsidRPr="00FF350C">
        <w:rPr>
          <w:rStyle w:val="FootnoteReference"/>
          <w:rFonts w:cs="Arial"/>
          <w:lang w:val="en"/>
        </w:rPr>
        <w:footnoteReference w:id="18"/>
      </w:r>
    </w:p>
    <w:p w14:paraId="043AB6BE" w14:textId="6261A7DA" w:rsidR="00C4583A" w:rsidRPr="00FF350C" w:rsidRDefault="00C4583A" w:rsidP="00C4583A">
      <w:pPr>
        <w:spacing w:after="0" w:line="240" w:lineRule="auto"/>
        <w:jc w:val="both"/>
        <w:rPr>
          <w:rStyle w:val="legds2"/>
          <w:rFonts w:cs="Arial"/>
          <w:lang w:val="en"/>
          <w:specVanish w:val="0"/>
        </w:rPr>
      </w:pPr>
      <w:r w:rsidRPr="00FF350C">
        <w:rPr>
          <w:rFonts w:cs="Arial"/>
        </w:rPr>
        <w:t>For the purposes of the Act, a person is considered in control of a premises either through ownership or by virtue of a lease or contract and where such arrangement places an obligation on them in relation to maintenance, repair, access or safe use of plant or substances.</w:t>
      </w:r>
      <w:r w:rsidRPr="00FF350C">
        <w:rPr>
          <w:rStyle w:val="FootnoteReference"/>
          <w:rFonts w:cs="Arial"/>
        </w:rPr>
        <w:footnoteReference w:id="19"/>
      </w:r>
      <w:r w:rsidRPr="00FF350C">
        <w:rPr>
          <w:rFonts w:cs="Arial"/>
        </w:rPr>
        <w:t xml:space="preserve"> Similarly a p</w:t>
      </w:r>
      <w:r w:rsidR="00582D7C">
        <w:rPr>
          <w:rFonts w:cs="Arial"/>
        </w:rPr>
        <w:t xml:space="preserve">erson’s control extends to any </w:t>
      </w:r>
      <w:r w:rsidR="00582D7C" w:rsidRPr="00582D7C">
        <w:rPr>
          <w:rFonts w:cs="Arial"/>
        </w:rPr>
        <w:t>“</w:t>
      </w:r>
      <w:r w:rsidRPr="00582D7C">
        <w:rPr>
          <w:rStyle w:val="legds2"/>
          <w:rFonts w:cs="Arial"/>
          <w:lang w:val="en"/>
        </w:rPr>
        <w:t>matter in connection with the carrying on by him of a trade, business or other undertaking (whether for profit or not).</w:t>
      </w:r>
      <w:r w:rsidR="00582D7C" w:rsidRPr="00582D7C">
        <w:rPr>
          <w:rStyle w:val="legds2"/>
          <w:rFonts w:cs="Arial"/>
          <w:lang w:val="en"/>
        </w:rPr>
        <w:t>”</w:t>
      </w:r>
      <w:r w:rsidRPr="00582D7C">
        <w:rPr>
          <w:rStyle w:val="FootnoteReference"/>
          <w:rFonts w:cs="Arial"/>
          <w:lang w:val="en"/>
        </w:rPr>
        <w:footnoteReference w:id="20"/>
      </w:r>
    </w:p>
    <w:p w14:paraId="5B814507" w14:textId="77777777" w:rsidR="00C4583A" w:rsidRPr="00FF350C" w:rsidRDefault="00C4583A" w:rsidP="00C4583A">
      <w:pPr>
        <w:spacing w:after="0" w:line="240" w:lineRule="auto"/>
        <w:jc w:val="both"/>
        <w:rPr>
          <w:rStyle w:val="legds2"/>
          <w:rFonts w:cs="Arial"/>
          <w:lang w:val="en"/>
          <w:specVanish w:val="0"/>
        </w:rPr>
      </w:pPr>
    </w:p>
    <w:p w14:paraId="09420B9E" w14:textId="77777777" w:rsidR="00C4583A" w:rsidRDefault="00C4583A" w:rsidP="00C4583A">
      <w:pPr>
        <w:spacing w:after="0" w:line="240" w:lineRule="auto"/>
        <w:jc w:val="both"/>
        <w:rPr>
          <w:rFonts w:cs="Arial"/>
          <w:color w:val="000000"/>
        </w:rPr>
      </w:pPr>
      <w:r w:rsidRPr="00FF350C">
        <w:rPr>
          <w:rFonts w:cs="Arial"/>
          <w:iCs/>
          <w:color w:val="000000"/>
        </w:rPr>
        <w:t xml:space="preserve">The </w:t>
      </w:r>
      <w:r w:rsidRPr="00527E36">
        <w:rPr>
          <w:rFonts w:cs="Arial"/>
          <w:i/>
          <w:iCs/>
          <w:color w:val="000000"/>
        </w:rPr>
        <w:t>Management of Health and Safety at Work Regulations 1999</w:t>
      </w:r>
      <w:r w:rsidRPr="00C76120">
        <w:rPr>
          <w:rFonts w:cs="Arial"/>
          <w:i/>
          <w:iCs/>
          <w:color w:val="000000"/>
        </w:rPr>
        <w:t xml:space="preserve"> </w:t>
      </w:r>
      <w:r w:rsidRPr="00FF350C">
        <w:rPr>
          <w:rFonts w:cs="Arial"/>
          <w:color w:val="000000"/>
        </w:rPr>
        <w:t>specify in more detail what employers are required to do to manage health and safety under the Act.</w:t>
      </w:r>
      <w:r w:rsidRPr="00FF350C">
        <w:rPr>
          <w:rStyle w:val="FootnoteReference"/>
          <w:rFonts w:cs="Arial"/>
          <w:color w:val="000000"/>
        </w:rPr>
        <w:footnoteReference w:id="21"/>
      </w:r>
      <w:r w:rsidRPr="00FF350C">
        <w:rPr>
          <w:rFonts w:cs="Arial"/>
          <w:color w:val="000000"/>
        </w:rPr>
        <w:t xml:space="preserve"> The cornerstone is the requirement to undertake a risk assessment.</w:t>
      </w:r>
      <w:r w:rsidRPr="00FF350C">
        <w:rPr>
          <w:rStyle w:val="FootnoteReference"/>
          <w:rFonts w:cs="Arial"/>
          <w:color w:val="000000"/>
        </w:rPr>
        <w:footnoteReference w:id="22"/>
      </w:r>
      <w:r w:rsidRPr="00FF350C">
        <w:rPr>
          <w:rFonts w:cs="Arial"/>
          <w:color w:val="000000"/>
        </w:rPr>
        <w:t xml:space="preserve"> Employers must record the findings of the risk assessment and put in place arrangements to implement any risk mitigation measures identified.</w:t>
      </w:r>
      <w:r w:rsidRPr="00FF350C">
        <w:rPr>
          <w:rStyle w:val="FootnoteReference"/>
          <w:rFonts w:cs="Arial"/>
          <w:color w:val="000000"/>
        </w:rPr>
        <w:footnoteReference w:id="23"/>
      </w:r>
    </w:p>
    <w:p w14:paraId="09E4A0B7" w14:textId="77777777" w:rsidR="002815CE" w:rsidRDefault="002815CE" w:rsidP="00C4583A">
      <w:pPr>
        <w:spacing w:after="120" w:line="240" w:lineRule="auto"/>
        <w:jc w:val="both"/>
        <w:rPr>
          <w:rFonts w:cs="Arial"/>
        </w:rPr>
      </w:pPr>
    </w:p>
    <w:p w14:paraId="17EAB441" w14:textId="77777777" w:rsidR="002815CE" w:rsidRDefault="002815CE" w:rsidP="00C4583A">
      <w:pPr>
        <w:spacing w:after="120" w:line="240" w:lineRule="auto"/>
        <w:jc w:val="both"/>
        <w:rPr>
          <w:rFonts w:cs="Arial"/>
        </w:rPr>
      </w:pPr>
    </w:p>
    <w:p w14:paraId="18A4D14D" w14:textId="69301FED" w:rsidR="00C4583A" w:rsidRPr="005D401E" w:rsidRDefault="00C4583A" w:rsidP="00C4583A">
      <w:pPr>
        <w:spacing w:after="120" w:line="240" w:lineRule="auto"/>
        <w:jc w:val="both"/>
        <w:rPr>
          <w:rFonts w:cs="Arial"/>
          <w:b/>
          <w:i/>
        </w:rPr>
      </w:pPr>
      <w:r w:rsidRPr="005D401E">
        <w:rPr>
          <w:rFonts w:cs="Arial"/>
          <w:b/>
          <w:i/>
        </w:rPr>
        <w:t>Occupiers</w:t>
      </w:r>
      <w:r w:rsidR="008873D3" w:rsidRPr="005D401E">
        <w:rPr>
          <w:rFonts w:cs="Arial"/>
          <w:b/>
          <w:i/>
        </w:rPr>
        <w:t xml:space="preserve"> Liability Acts </w:t>
      </w:r>
      <w:r w:rsidRPr="005D401E">
        <w:rPr>
          <w:rFonts w:cs="Arial"/>
          <w:b/>
          <w:i/>
        </w:rPr>
        <w:t>195</w:t>
      </w:r>
      <w:r w:rsidR="000F0030">
        <w:rPr>
          <w:rFonts w:cs="Arial"/>
          <w:b/>
          <w:i/>
        </w:rPr>
        <w:t>7</w:t>
      </w:r>
      <w:r w:rsidRPr="005D401E">
        <w:rPr>
          <w:rFonts w:cs="Arial"/>
          <w:b/>
          <w:i/>
        </w:rPr>
        <w:t xml:space="preserve"> and 1984</w:t>
      </w:r>
    </w:p>
    <w:p w14:paraId="049AD957" w14:textId="17F1BF71" w:rsidR="00C4583A" w:rsidRPr="00FF350C" w:rsidRDefault="00C4583A" w:rsidP="00C4583A">
      <w:pPr>
        <w:spacing w:after="0" w:line="240" w:lineRule="auto"/>
        <w:jc w:val="both"/>
        <w:rPr>
          <w:rFonts w:cs="Arial"/>
        </w:rPr>
      </w:pPr>
      <w:r w:rsidRPr="00582D7C">
        <w:rPr>
          <w:rFonts w:cs="Arial"/>
        </w:rPr>
        <w:t xml:space="preserve">The </w:t>
      </w:r>
      <w:r w:rsidRPr="00527E36">
        <w:rPr>
          <w:rFonts w:cs="Arial"/>
          <w:i/>
        </w:rPr>
        <w:t>O</w:t>
      </w:r>
      <w:r w:rsidR="008873D3" w:rsidRPr="00527E36">
        <w:rPr>
          <w:rFonts w:cs="Arial"/>
          <w:i/>
        </w:rPr>
        <w:t>ccupiers Liability Act 1957</w:t>
      </w:r>
      <w:r w:rsidR="008873D3">
        <w:rPr>
          <w:rFonts w:cs="Arial"/>
        </w:rPr>
        <w:t xml:space="preserve"> (</w:t>
      </w:r>
      <w:r w:rsidR="008873D3" w:rsidRPr="00132E83">
        <w:rPr>
          <w:rFonts w:cs="Arial"/>
          <w:i/>
        </w:rPr>
        <w:t>OLA</w:t>
      </w:r>
      <w:r w:rsidR="00FC5EB5" w:rsidRPr="00132E83">
        <w:rPr>
          <w:rFonts w:cs="Arial"/>
          <w:i/>
        </w:rPr>
        <w:t xml:space="preserve"> 1957</w:t>
      </w:r>
      <w:r w:rsidR="00FC5EB5">
        <w:rPr>
          <w:rFonts w:cs="Arial"/>
        </w:rPr>
        <w:t>)</w:t>
      </w:r>
      <w:r w:rsidRPr="00582D7C">
        <w:rPr>
          <w:rFonts w:cs="Arial"/>
        </w:rPr>
        <w:t xml:space="preserve"> </w:t>
      </w:r>
      <w:r w:rsidRPr="00FF350C">
        <w:rPr>
          <w:rFonts w:cs="Arial"/>
        </w:rPr>
        <w:t>establishes a common duty on an occupier to ensure any lawful visitor is</w:t>
      </w:r>
      <w:r w:rsidR="002815CE">
        <w:rPr>
          <w:rFonts w:cs="Arial"/>
        </w:rPr>
        <w:t>:</w:t>
      </w:r>
      <w:r w:rsidRPr="00582D7C">
        <w:rPr>
          <w:rFonts w:cs="Arial"/>
        </w:rPr>
        <w:t xml:space="preserve"> “reasonably safe in using the premises for the purposes for which he is invited or permitted by the occupier to be there.”</w:t>
      </w:r>
      <w:r w:rsidRPr="00582D7C">
        <w:rPr>
          <w:rStyle w:val="FootnoteReference"/>
          <w:rFonts w:cs="Arial"/>
        </w:rPr>
        <w:footnoteReference w:id="24"/>
      </w:r>
      <w:r w:rsidRPr="00582D7C">
        <w:rPr>
          <w:rFonts w:cs="Arial"/>
        </w:rPr>
        <w:t xml:space="preserve"> </w:t>
      </w:r>
    </w:p>
    <w:p w14:paraId="43908378" w14:textId="77777777" w:rsidR="00C4583A" w:rsidRPr="00FF350C" w:rsidRDefault="00C4583A" w:rsidP="00C4583A">
      <w:pPr>
        <w:spacing w:after="0" w:line="240" w:lineRule="auto"/>
        <w:jc w:val="both"/>
        <w:rPr>
          <w:rFonts w:cs="Arial"/>
        </w:rPr>
      </w:pPr>
    </w:p>
    <w:p w14:paraId="166469F4" w14:textId="77777777" w:rsidR="00132E83" w:rsidRDefault="00C76120" w:rsidP="00C4583A">
      <w:pPr>
        <w:spacing w:after="0" w:line="240" w:lineRule="auto"/>
        <w:jc w:val="both"/>
        <w:rPr>
          <w:rFonts w:cs="Arial"/>
        </w:rPr>
      </w:pPr>
      <w:r>
        <w:rPr>
          <w:rFonts w:cs="Arial"/>
        </w:rPr>
        <w:t>In particular, the Act</w:t>
      </w:r>
      <w:r w:rsidR="00C4583A" w:rsidRPr="00FF350C">
        <w:rPr>
          <w:rFonts w:cs="Arial"/>
        </w:rPr>
        <w:t xml:space="preserve"> provides two important defences to a claim. First</w:t>
      </w:r>
      <w:r>
        <w:rPr>
          <w:rFonts w:cs="Arial"/>
        </w:rPr>
        <w:t>ly</w:t>
      </w:r>
      <w:r w:rsidR="00C4583A" w:rsidRPr="00FF350C">
        <w:rPr>
          <w:rFonts w:cs="Arial"/>
        </w:rPr>
        <w:t>, an occupier can discharge their duty provided they have provided a warning sufficient for a visitor to make themselves reasonably safe.</w:t>
      </w:r>
      <w:r w:rsidR="00C4583A" w:rsidRPr="00FF350C">
        <w:rPr>
          <w:rStyle w:val="FootnoteReference"/>
          <w:rFonts w:cs="Arial"/>
        </w:rPr>
        <w:footnoteReference w:id="25"/>
      </w:r>
      <w:r w:rsidR="00C4583A" w:rsidRPr="00FF350C">
        <w:rPr>
          <w:rFonts w:cs="Arial"/>
        </w:rPr>
        <w:t xml:space="preserve"> Second</w:t>
      </w:r>
      <w:r>
        <w:rPr>
          <w:rFonts w:cs="Arial"/>
        </w:rPr>
        <w:t>ly</w:t>
      </w:r>
      <w:r w:rsidR="00C4583A" w:rsidRPr="00FF350C">
        <w:rPr>
          <w:rFonts w:cs="Arial"/>
        </w:rPr>
        <w:t xml:space="preserve">, </w:t>
      </w:r>
      <w:r w:rsidR="00C4583A" w:rsidRPr="00FF350C">
        <w:rPr>
          <w:rFonts w:cs="Arial"/>
        </w:rPr>
        <w:lastRenderedPageBreak/>
        <w:t>an occupier may be absolved in instances where the risks have been willingly run by the visitor, including where harm has arisen from inherently dangerous activities such as sporting pursuits.</w:t>
      </w:r>
      <w:r w:rsidR="00C4583A" w:rsidRPr="00FF350C">
        <w:rPr>
          <w:rStyle w:val="FootnoteReference"/>
          <w:rFonts w:cs="Arial"/>
        </w:rPr>
        <w:footnoteReference w:id="26"/>
      </w:r>
      <w:r w:rsidR="002815CE">
        <w:rPr>
          <w:rFonts w:cs="Arial"/>
        </w:rPr>
        <w:t xml:space="preserve"> </w:t>
      </w:r>
    </w:p>
    <w:p w14:paraId="5BA67BD5" w14:textId="77777777" w:rsidR="00132E83" w:rsidRDefault="00132E83" w:rsidP="00C4583A">
      <w:pPr>
        <w:spacing w:after="0" w:line="240" w:lineRule="auto"/>
        <w:jc w:val="both"/>
        <w:rPr>
          <w:rFonts w:cs="Arial"/>
        </w:rPr>
      </w:pPr>
    </w:p>
    <w:p w14:paraId="7A4E6678" w14:textId="25417807" w:rsidR="00C4583A" w:rsidRDefault="00C4583A" w:rsidP="00C4583A">
      <w:pPr>
        <w:spacing w:after="0" w:line="240" w:lineRule="auto"/>
        <w:jc w:val="both"/>
        <w:rPr>
          <w:rFonts w:cs="Arial"/>
        </w:rPr>
      </w:pPr>
      <w:r w:rsidRPr="00FF350C">
        <w:rPr>
          <w:rFonts w:cs="Arial"/>
        </w:rPr>
        <w:t>Separately</w:t>
      </w:r>
      <w:r w:rsidR="008873D3">
        <w:rPr>
          <w:rFonts w:cs="Arial"/>
        </w:rPr>
        <w:t>,</w:t>
      </w:r>
      <w:r w:rsidRPr="00FF350C">
        <w:rPr>
          <w:rFonts w:cs="Arial"/>
        </w:rPr>
        <w:t xml:space="preserve"> the </w:t>
      </w:r>
      <w:r w:rsidR="008873D3" w:rsidRPr="00527E36">
        <w:rPr>
          <w:rFonts w:cs="Arial"/>
          <w:i/>
        </w:rPr>
        <w:t>Occupiers Liability Act 1984</w:t>
      </w:r>
      <w:r w:rsidR="008873D3">
        <w:rPr>
          <w:rFonts w:cs="Arial"/>
        </w:rPr>
        <w:t xml:space="preserve"> (</w:t>
      </w:r>
      <w:r w:rsidR="00582D7C" w:rsidRPr="00132E83">
        <w:rPr>
          <w:rFonts w:cs="Arial"/>
          <w:i/>
        </w:rPr>
        <w:t>OLA 1984</w:t>
      </w:r>
      <w:r w:rsidR="008873D3">
        <w:rPr>
          <w:rFonts w:cs="Arial"/>
        </w:rPr>
        <w:t xml:space="preserve">) </w:t>
      </w:r>
      <w:r w:rsidRPr="00FF350C">
        <w:rPr>
          <w:rFonts w:cs="Arial"/>
        </w:rPr>
        <w:t>sets out duties on occupiers in relation to trespassers.</w:t>
      </w:r>
      <w:r w:rsidRPr="00FF350C">
        <w:rPr>
          <w:rStyle w:val="FootnoteReference"/>
          <w:rFonts w:cs="Arial"/>
        </w:rPr>
        <w:footnoteReference w:id="27"/>
      </w:r>
      <w:r w:rsidRPr="00FF350C">
        <w:rPr>
          <w:rFonts w:cs="Arial"/>
        </w:rPr>
        <w:t xml:space="preserve"> The duty contained within it is not as onerous as that applied to lawful visitors in the </w:t>
      </w:r>
      <w:r w:rsidRPr="00132E83">
        <w:rPr>
          <w:rFonts w:cs="Arial"/>
          <w:i/>
        </w:rPr>
        <w:t>OLA 1957</w:t>
      </w:r>
      <w:r w:rsidRPr="00FF350C">
        <w:rPr>
          <w:rFonts w:cs="Arial"/>
        </w:rPr>
        <w:t xml:space="preserve"> but it nonetheless requires occupiers to</w:t>
      </w:r>
      <w:r w:rsidR="002815CE">
        <w:rPr>
          <w:rFonts w:cs="Arial"/>
        </w:rPr>
        <w:t>:</w:t>
      </w:r>
      <w:r w:rsidRPr="00FF350C">
        <w:rPr>
          <w:rFonts w:cs="Arial"/>
        </w:rPr>
        <w:t xml:space="preserve"> </w:t>
      </w:r>
      <w:r w:rsidR="00582D7C">
        <w:rPr>
          <w:rFonts w:cs="Arial"/>
        </w:rPr>
        <w:t>“</w:t>
      </w:r>
      <w:r w:rsidRPr="00582D7C">
        <w:rPr>
          <w:rFonts w:cs="Arial"/>
        </w:rPr>
        <w:t>take reasonable steps to ensure that the trespasser does not suffer harm from a known danger.</w:t>
      </w:r>
      <w:r w:rsidR="00582D7C">
        <w:rPr>
          <w:rFonts w:cs="Arial"/>
        </w:rPr>
        <w:t>”</w:t>
      </w:r>
      <w:r w:rsidRPr="00C76120">
        <w:rPr>
          <w:rStyle w:val="FootnoteReference"/>
          <w:rFonts w:cs="Arial"/>
          <w:i/>
        </w:rPr>
        <w:footnoteReference w:id="28"/>
      </w:r>
      <w:r w:rsidRPr="00FF350C">
        <w:rPr>
          <w:rFonts w:cs="Arial"/>
        </w:rPr>
        <w:t xml:space="preserve"> </w:t>
      </w:r>
    </w:p>
    <w:p w14:paraId="3BF05B64" w14:textId="77777777" w:rsidR="00C4583A" w:rsidRPr="00FF350C" w:rsidRDefault="00C4583A" w:rsidP="00C4583A">
      <w:pPr>
        <w:spacing w:after="0" w:line="240" w:lineRule="auto"/>
        <w:jc w:val="both"/>
        <w:rPr>
          <w:rFonts w:cs="Arial"/>
        </w:rPr>
      </w:pPr>
    </w:p>
    <w:p w14:paraId="2CBDF7E4" w14:textId="77777777" w:rsidR="00C4583A" w:rsidRPr="00FF350C" w:rsidRDefault="00C4583A" w:rsidP="00C4583A">
      <w:pPr>
        <w:spacing w:after="0" w:line="240" w:lineRule="auto"/>
        <w:jc w:val="both"/>
        <w:rPr>
          <w:rFonts w:cs="Arial"/>
        </w:rPr>
      </w:pPr>
    </w:p>
    <w:p w14:paraId="0EDBA7B2" w14:textId="210DA339" w:rsidR="00C4583A" w:rsidRPr="00FF350C" w:rsidRDefault="00C4583A" w:rsidP="00C4583A">
      <w:pPr>
        <w:spacing w:after="120" w:line="240" w:lineRule="auto"/>
        <w:jc w:val="both"/>
        <w:rPr>
          <w:rFonts w:cs="Arial"/>
          <w:b/>
          <w:i/>
        </w:rPr>
      </w:pPr>
      <w:r w:rsidRPr="00FF350C">
        <w:rPr>
          <w:rFonts w:cs="Arial"/>
          <w:b/>
          <w:i/>
        </w:rPr>
        <w:t>Unfair Cont</w:t>
      </w:r>
      <w:r w:rsidR="008873D3">
        <w:rPr>
          <w:rFonts w:cs="Arial"/>
          <w:b/>
          <w:i/>
        </w:rPr>
        <w:t>ract Terms Act</w:t>
      </w:r>
      <w:r w:rsidRPr="00FF350C">
        <w:rPr>
          <w:rFonts w:cs="Arial"/>
          <w:b/>
          <w:i/>
        </w:rPr>
        <w:t xml:space="preserve"> 1977</w:t>
      </w:r>
    </w:p>
    <w:p w14:paraId="3C6FEC20" w14:textId="2D46F652" w:rsidR="00C4583A" w:rsidRDefault="00C4583A" w:rsidP="00C4583A">
      <w:pPr>
        <w:spacing w:after="0" w:line="240" w:lineRule="auto"/>
        <w:jc w:val="both"/>
        <w:rPr>
          <w:rFonts w:cs="Arial"/>
        </w:rPr>
      </w:pPr>
      <w:r w:rsidRPr="00FF350C">
        <w:rPr>
          <w:rFonts w:cs="Arial"/>
        </w:rPr>
        <w:t xml:space="preserve">The </w:t>
      </w:r>
      <w:r w:rsidRPr="00527E36">
        <w:rPr>
          <w:rFonts w:cs="Arial"/>
          <w:i/>
        </w:rPr>
        <w:t>Unfair Contract Terms Act</w:t>
      </w:r>
      <w:r w:rsidR="008873D3" w:rsidRPr="00527E36">
        <w:rPr>
          <w:rFonts w:cs="Arial"/>
          <w:i/>
        </w:rPr>
        <w:t xml:space="preserve"> </w:t>
      </w:r>
      <w:r w:rsidR="00527E36" w:rsidRPr="00527E36">
        <w:rPr>
          <w:rFonts w:cs="Arial"/>
          <w:i/>
        </w:rPr>
        <w:t>1977</w:t>
      </w:r>
      <w:r w:rsidR="00527E36">
        <w:rPr>
          <w:rFonts w:cs="Arial"/>
        </w:rPr>
        <w:t xml:space="preserve"> </w:t>
      </w:r>
      <w:r w:rsidR="008873D3">
        <w:rPr>
          <w:rFonts w:cs="Arial"/>
        </w:rPr>
        <w:t>(</w:t>
      </w:r>
      <w:r w:rsidR="008873D3" w:rsidRPr="00132E83">
        <w:rPr>
          <w:rFonts w:cs="Arial"/>
          <w:i/>
        </w:rPr>
        <w:t>UCTA</w:t>
      </w:r>
      <w:r w:rsidR="008873D3">
        <w:rPr>
          <w:rFonts w:cs="Arial"/>
        </w:rPr>
        <w:t>)</w:t>
      </w:r>
      <w:r w:rsidRPr="00FF350C">
        <w:rPr>
          <w:rFonts w:cs="Arial"/>
        </w:rPr>
        <w:t xml:space="preserve"> supplements the </w:t>
      </w:r>
      <w:r w:rsidRPr="00132E83">
        <w:rPr>
          <w:rFonts w:cs="Arial"/>
          <w:i/>
        </w:rPr>
        <w:t>OLA 1957</w:t>
      </w:r>
      <w:r w:rsidRPr="00FF350C">
        <w:rPr>
          <w:rFonts w:cs="Arial"/>
        </w:rPr>
        <w:t xml:space="preserve"> by delimiting the scope of the exemption contained in </w:t>
      </w:r>
      <w:proofErr w:type="gramStart"/>
      <w:r w:rsidRPr="00FF350C">
        <w:rPr>
          <w:rFonts w:cs="Arial"/>
        </w:rPr>
        <w:t>s2(</w:t>
      </w:r>
      <w:proofErr w:type="gramEnd"/>
      <w:r w:rsidRPr="00FF350C">
        <w:rPr>
          <w:rFonts w:cs="Arial"/>
        </w:rPr>
        <w:t>1) of the latter.</w:t>
      </w:r>
      <w:r w:rsidRPr="00FF350C">
        <w:rPr>
          <w:rStyle w:val="FootnoteReference"/>
          <w:rFonts w:cs="Arial"/>
        </w:rPr>
        <w:footnoteReference w:id="29"/>
      </w:r>
      <w:r w:rsidRPr="00FF350C">
        <w:rPr>
          <w:rFonts w:cs="Arial"/>
        </w:rPr>
        <w:t xml:space="preserve"> The practical effect of this is that it is not possible for occupiers to exclude liability for death or injury resulting from negligence by way of a contract or notice.</w:t>
      </w:r>
      <w:r w:rsidRPr="00FF350C">
        <w:rPr>
          <w:rStyle w:val="FootnoteReference"/>
          <w:rFonts w:cs="Arial"/>
        </w:rPr>
        <w:footnoteReference w:id="30"/>
      </w:r>
      <w:r w:rsidRPr="00FF350C">
        <w:rPr>
          <w:rFonts w:cs="Arial"/>
        </w:rPr>
        <w:t xml:space="preserve"> </w:t>
      </w:r>
    </w:p>
    <w:p w14:paraId="0EEED4FC" w14:textId="77777777" w:rsidR="00C4583A" w:rsidRPr="00FF350C" w:rsidRDefault="00C4583A" w:rsidP="00C4583A">
      <w:pPr>
        <w:spacing w:after="0" w:line="240" w:lineRule="auto"/>
        <w:jc w:val="both"/>
        <w:rPr>
          <w:rFonts w:cs="Arial"/>
        </w:rPr>
      </w:pPr>
    </w:p>
    <w:p w14:paraId="2CC2510E" w14:textId="77777777" w:rsidR="00C4583A" w:rsidRPr="00FF350C" w:rsidRDefault="00C4583A" w:rsidP="00C4583A">
      <w:pPr>
        <w:spacing w:after="0" w:line="240" w:lineRule="auto"/>
        <w:jc w:val="both"/>
        <w:rPr>
          <w:rFonts w:cs="Arial"/>
        </w:rPr>
      </w:pPr>
    </w:p>
    <w:p w14:paraId="35AC603A" w14:textId="77777777" w:rsidR="00C4583A" w:rsidRPr="00582D7C" w:rsidRDefault="00C4583A" w:rsidP="00C4583A">
      <w:pPr>
        <w:spacing w:after="120" w:line="240" w:lineRule="auto"/>
        <w:jc w:val="both"/>
        <w:rPr>
          <w:rFonts w:cs="Arial"/>
          <w:b/>
          <w:i/>
        </w:rPr>
      </w:pPr>
      <w:r w:rsidRPr="00582D7C">
        <w:rPr>
          <w:rFonts w:cs="Arial"/>
          <w:b/>
          <w:i/>
        </w:rPr>
        <w:t>Cycle Racing on Highways Regulations 1960 and Road Traffic (Special Event) Act 1994</w:t>
      </w:r>
    </w:p>
    <w:p w14:paraId="28EA7E85" w14:textId="77777777" w:rsidR="00C4583A" w:rsidRPr="00FF350C" w:rsidRDefault="00C4583A" w:rsidP="00C4583A">
      <w:pPr>
        <w:spacing w:after="0" w:line="240" w:lineRule="auto"/>
        <w:jc w:val="both"/>
        <w:rPr>
          <w:rFonts w:cs="Arial"/>
        </w:rPr>
      </w:pPr>
      <w:r w:rsidRPr="00582D7C">
        <w:rPr>
          <w:rFonts w:cs="Arial"/>
        </w:rPr>
        <w:t>The</w:t>
      </w:r>
      <w:r w:rsidRPr="00582D7C">
        <w:rPr>
          <w:rFonts w:cs="Arial"/>
          <w:i/>
        </w:rPr>
        <w:t xml:space="preserve"> </w:t>
      </w:r>
      <w:r w:rsidRPr="00527E36">
        <w:rPr>
          <w:rFonts w:cs="Arial"/>
          <w:i/>
        </w:rPr>
        <w:t>Cycle Racing on Highways Regulations 1960</w:t>
      </w:r>
      <w:r w:rsidRPr="00582D7C">
        <w:rPr>
          <w:rFonts w:cs="Arial"/>
          <w:i/>
        </w:rPr>
        <w:t xml:space="preserve"> </w:t>
      </w:r>
      <w:r w:rsidRPr="00FF350C">
        <w:rPr>
          <w:rFonts w:cs="Arial"/>
        </w:rPr>
        <w:t>set out which types of races require prior police approval (principally competitive races and time trials) and the criteria under which police authority is given for road closures.</w:t>
      </w:r>
      <w:r w:rsidRPr="00FF350C">
        <w:rPr>
          <w:rStyle w:val="FootnoteReference"/>
          <w:rFonts w:cs="Arial"/>
        </w:rPr>
        <w:footnoteReference w:id="31"/>
      </w:r>
      <w:r w:rsidRPr="00FF350C">
        <w:rPr>
          <w:rFonts w:cs="Arial"/>
        </w:rPr>
        <w:t xml:space="preserve"> The regulations also provide for the police to refuse permission for races to take place or to place additional conditions on the organisers when approving races.</w:t>
      </w:r>
    </w:p>
    <w:p w14:paraId="4F589C6A" w14:textId="77777777" w:rsidR="00C76120" w:rsidRDefault="00C76120" w:rsidP="00C4583A">
      <w:pPr>
        <w:spacing w:after="0" w:line="240" w:lineRule="auto"/>
        <w:jc w:val="both"/>
        <w:rPr>
          <w:rFonts w:cs="Arial"/>
        </w:rPr>
      </w:pPr>
    </w:p>
    <w:p w14:paraId="0E3BA7AB" w14:textId="46B77489" w:rsidR="00C4583A" w:rsidRDefault="00C76120" w:rsidP="00C4583A">
      <w:pPr>
        <w:spacing w:after="0" w:line="240" w:lineRule="auto"/>
        <w:jc w:val="both"/>
        <w:rPr>
          <w:rFonts w:cs="Arial"/>
        </w:rPr>
      </w:pPr>
      <w:r>
        <w:rPr>
          <w:rFonts w:cs="Arial"/>
        </w:rPr>
        <w:t>T</w:t>
      </w:r>
      <w:r w:rsidR="00C4583A" w:rsidRPr="00FF350C">
        <w:rPr>
          <w:rFonts w:cs="Arial"/>
        </w:rPr>
        <w:t xml:space="preserve">he </w:t>
      </w:r>
      <w:r w:rsidR="00C4583A" w:rsidRPr="00527E36">
        <w:rPr>
          <w:rFonts w:cs="Arial"/>
          <w:i/>
        </w:rPr>
        <w:t>Road Traffic (Special Event) Act 1994</w:t>
      </w:r>
      <w:r w:rsidR="00C4583A" w:rsidRPr="00FF350C">
        <w:rPr>
          <w:rFonts w:cs="Arial"/>
        </w:rPr>
        <w:t xml:space="preserve"> s</w:t>
      </w:r>
      <w:r>
        <w:rPr>
          <w:rFonts w:cs="Arial"/>
        </w:rPr>
        <w:t>imilarly s</w:t>
      </w:r>
      <w:r w:rsidR="00C4583A" w:rsidRPr="00FF350C">
        <w:rPr>
          <w:rFonts w:cs="Arial"/>
        </w:rPr>
        <w:t>ets out the legal framework for sports and other events being held on public roads.</w:t>
      </w:r>
      <w:r w:rsidR="00C4583A" w:rsidRPr="00FF350C">
        <w:rPr>
          <w:rStyle w:val="FootnoteReference"/>
          <w:rFonts w:cs="Arial"/>
        </w:rPr>
        <w:footnoteReference w:id="32"/>
      </w:r>
      <w:r w:rsidR="00C4583A" w:rsidRPr="00FF350C">
        <w:rPr>
          <w:rFonts w:cs="Arial"/>
        </w:rPr>
        <w:t xml:space="preserve"> The Act makes provision for the relevant traffic authority (i.e. Local Authority) to authorise events and to prohibit or restrict</w:t>
      </w:r>
      <w:r w:rsidR="003D27C1">
        <w:rPr>
          <w:rFonts w:cs="Arial"/>
        </w:rPr>
        <w:t xml:space="preserve"> </w:t>
      </w:r>
      <w:r w:rsidR="003D27C1" w:rsidRPr="00FF350C">
        <w:rPr>
          <w:rFonts w:cs="Arial"/>
        </w:rPr>
        <w:t>temporarily</w:t>
      </w:r>
      <w:r w:rsidR="00C4583A" w:rsidRPr="00FF350C">
        <w:rPr>
          <w:rFonts w:cs="Arial"/>
        </w:rPr>
        <w:t xml:space="preserve"> the use of specified roads by vehicles and pedestrians </w:t>
      </w:r>
      <w:r w:rsidR="003D27C1">
        <w:rPr>
          <w:rFonts w:cs="Arial"/>
        </w:rPr>
        <w:t>during</w:t>
      </w:r>
      <w:r w:rsidR="00C4583A" w:rsidRPr="00FF350C">
        <w:rPr>
          <w:rFonts w:cs="Arial"/>
        </w:rPr>
        <w:t xml:space="preserve"> the event. Organisers of road races therefore require </w:t>
      </w:r>
      <w:r w:rsidR="003D27C1">
        <w:rPr>
          <w:rFonts w:cs="Arial"/>
        </w:rPr>
        <w:t>prior permission from</w:t>
      </w:r>
      <w:r w:rsidR="00C4583A" w:rsidRPr="00FF350C">
        <w:rPr>
          <w:rFonts w:cs="Arial"/>
        </w:rPr>
        <w:t xml:space="preserve"> </w:t>
      </w:r>
      <w:r w:rsidR="00C4583A" w:rsidRPr="003D27C1">
        <w:rPr>
          <w:rFonts w:cs="Arial"/>
        </w:rPr>
        <w:t>both</w:t>
      </w:r>
      <w:r w:rsidR="00C4583A" w:rsidRPr="00FF350C">
        <w:rPr>
          <w:rFonts w:cs="Arial"/>
        </w:rPr>
        <w:t xml:space="preserve"> the relevant police constabularies and Local Authorities under the Regulations and the Act respectively. As part of their support to event organisers, British Cycling provide</w:t>
      </w:r>
      <w:r w:rsidR="003D27C1">
        <w:rPr>
          <w:rFonts w:cs="Arial"/>
        </w:rPr>
        <w:t>s</w:t>
      </w:r>
      <w:r w:rsidR="00C4583A" w:rsidRPr="00FF350C">
        <w:rPr>
          <w:rFonts w:cs="Arial"/>
        </w:rPr>
        <w:t xml:space="preserve"> guidance on seeking the relevant approvals under both t</w:t>
      </w:r>
      <w:r w:rsidR="003D27C1">
        <w:rPr>
          <w:rFonts w:cs="Arial"/>
        </w:rPr>
        <w:t>he Regulations and the Act. The guidance</w:t>
      </w:r>
      <w:r w:rsidR="00C4583A" w:rsidRPr="00FF350C">
        <w:rPr>
          <w:rFonts w:cs="Arial"/>
        </w:rPr>
        <w:t xml:space="preserve"> includes the provision of template letters and application forms.</w:t>
      </w:r>
      <w:r w:rsidR="00C4583A" w:rsidRPr="00FF350C">
        <w:rPr>
          <w:rStyle w:val="FootnoteReference"/>
          <w:rFonts w:cs="Arial"/>
        </w:rPr>
        <w:footnoteReference w:id="33"/>
      </w:r>
      <w:r>
        <w:rPr>
          <w:rFonts w:cs="Arial"/>
        </w:rPr>
        <w:t xml:space="preserve"> </w:t>
      </w:r>
      <w:r w:rsidR="00C4583A" w:rsidRPr="00FF350C">
        <w:rPr>
          <w:rFonts w:cs="Arial"/>
        </w:rPr>
        <w:t xml:space="preserve">Interestingly, the Department for Transport has recently undertaken a public consultation on the </w:t>
      </w:r>
      <w:r w:rsidR="00C4583A" w:rsidRPr="00527E36">
        <w:rPr>
          <w:rFonts w:cs="Arial"/>
          <w:i/>
        </w:rPr>
        <w:t>Cycle Racing on Highways Regulations 1960</w:t>
      </w:r>
      <w:r w:rsidR="00C4583A" w:rsidRPr="00527E36">
        <w:rPr>
          <w:rFonts w:cs="Arial"/>
          <w:b/>
          <w:i/>
        </w:rPr>
        <w:t xml:space="preserve"> </w:t>
      </w:r>
      <w:r w:rsidR="00C4583A" w:rsidRPr="00FF350C">
        <w:rPr>
          <w:rFonts w:cs="Arial"/>
        </w:rPr>
        <w:t>with a view to making it easier for event organisers to put on road cycling events.</w:t>
      </w:r>
      <w:r w:rsidR="00C4583A" w:rsidRPr="00FF350C">
        <w:rPr>
          <w:rStyle w:val="FootnoteReference"/>
          <w:rFonts w:cs="Arial"/>
        </w:rPr>
        <w:footnoteReference w:id="34"/>
      </w:r>
      <w:r w:rsidR="00C4583A" w:rsidRPr="00FF350C">
        <w:rPr>
          <w:rFonts w:cs="Arial"/>
        </w:rPr>
        <w:t xml:space="preserve"> The proposed changes reduce the discretion of the police to approve events and instead introduce a presumption in favour of races provided the organisers have undertaken an appropriate risk assessment and put mitigation measures in place.</w:t>
      </w:r>
      <w:r w:rsidR="00C4583A" w:rsidRPr="00FF350C">
        <w:rPr>
          <w:rStyle w:val="FootnoteReference"/>
          <w:rFonts w:cs="Arial"/>
        </w:rPr>
        <w:footnoteReference w:id="35"/>
      </w:r>
      <w:r w:rsidR="00C4583A" w:rsidRPr="00FF350C">
        <w:rPr>
          <w:rFonts w:cs="Arial"/>
        </w:rPr>
        <w:t xml:space="preserve"> </w:t>
      </w:r>
      <w:r w:rsidR="003D27C1">
        <w:rPr>
          <w:rFonts w:cs="Arial"/>
        </w:rPr>
        <w:t>At the time of writing t</w:t>
      </w:r>
      <w:r w:rsidR="00C4583A" w:rsidRPr="00FF350C">
        <w:rPr>
          <w:rFonts w:cs="Arial"/>
        </w:rPr>
        <w:t>hese change</w:t>
      </w:r>
      <w:r w:rsidR="003D27C1">
        <w:rPr>
          <w:rFonts w:cs="Arial"/>
        </w:rPr>
        <w:t>s had</w:t>
      </w:r>
      <w:r w:rsidR="00C4583A" w:rsidRPr="00FF350C">
        <w:rPr>
          <w:rFonts w:cs="Arial"/>
        </w:rPr>
        <w:t xml:space="preserve"> yet to be confirmed in legislation.  </w:t>
      </w:r>
    </w:p>
    <w:p w14:paraId="7B6D9039" w14:textId="77777777" w:rsidR="00C4583A" w:rsidRDefault="00C4583A" w:rsidP="00C4583A">
      <w:pPr>
        <w:spacing w:after="0" w:line="240" w:lineRule="auto"/>
        <w:jc w:val="both"/>
        <w:rPr>
          <w:rFonts w:cs="Arial"/>
        </w:rPr>
      </w:pPr>
    </w:p>
    <w:p w14:paraId="48A08FBF" w14:textId="77777777" w:rsidR="00FC5EB5" w:rsidRDefault="00FC5EB5" w:rsidP="00C4583A">
      <w:pPr>
        <w:spacing w:after="0" w:line="240" w:lineRule="auto"/>
        <w:jc w:val="both"/>
        <w:rPr>
          <w:rFonts w:cs="Arial"/>
        </w:rPr>
      </w:pPr>
    </w:p>
    <w:p w14:paraId="52B77298" w14:textId="77777777" w:rsidR="00FC5EB5" w:rsidRPr="00FF350C" w:rsidRDefault="00FC5EB5" w:rsidP="00C4583A">
      <w:pPr>
        <w:spacing w:after="0" w:line="240" w:lineRule="auto"/>
        <w:jc w:val="both"/>
        <w:rPr>
          <w:rFonts w:cs="Arial"/>
        </w:rPr>
      </w:pPr>
    </w:p>
    <w:p w14:paraId="7BE9FE11" w14:textId="77777777" w:rsidR="00C4583A" w:rsidRPr="00FF350C" w:rsidRDefault="00C4583A" w:rsidP="00C4583A">
      <w:pPr>
        <w:spacing w:after="120" w:line="240" w:lineRule="auto"/>
        <w:jc w:val="both"/>
        <w:rPr>
          <w:rFonts w:cs="Arial"/>
          <w:b/>
          <w:i/>
        </w:rPr>
      </w:pPr>
      <w:r w:rsidRPr="00FF350C">
        <w:rPr>
          <w:rFonts w:cs="Arial"/>
          <w:b/>
          <w:i/>
        </w:rPr>
        <w:t>The Good Practice Safety Guide</w:t>
      </w:r>
    </w:p>
    <w:p w14:paraId="488EAA07" w14:textId="297DB376" w:rsidR="00C4583A" w:rsidRPr="00FF350C" w:rsidRDefault="00C4583A" w:rsidP="00C4583A">
      <w:pPr>
        <w:spacing w:after="0" w:line="240" w:lineRule="auto"/>
        <w:jc w:val="both"/>
        <w:rPr>
          <w:rFonts w:cs="Arial"/>
        </w:rPr>
      </w:pPr>
      <w:r w:rsidRPr="00FF350C">
        <w:rPr>
          <w:rFonts w:cs="Arial"/>
        </w:rPr>
        <w:t xml:space="preserve">Although not having any formal statutory status, the </w:t>
      </w:r>
      <w:r w:rsidRPr="00527E36">
        <w:rPr>
          <w:rFonts w:cs="Arial"/>
          <w:i/>
        </w:rPr>
        <w:t>Good Practice Safety Guide</w:t>
      </w:r>
      <w:r w:rsidRPr="003D27C1">
        <w:rPr>
          <w:rFonts w:cs="Arial"/>
        </w:rPr>
        <w:t xml:space="preserve"> </w:t>
      </w:r>
      <w:r w:rsidR="00527E36" w:rsidRPr="00527E36">
        <w:rPr>
          <w:rFonts w:cs="Arial"/>
          <w:i/>
        </w:rPr>
        <w:t>for small and sporting events taking place on the highway, roads and public places</w:t>
      </w:r>
      <w:r w:rsidR="00527E36" w:rsidRPr="00527E36">
        <w:rPr>
          <w:rFonts w:cs="Arial"/>
        </w:rPr>
        <w:t xml:space="preserve"> </w:t>
      </w:r>
      <w:r w:rsidRPr="00527E36">
        <w:rPr>
          <w:rFonts w:cs="Arial"/>
        </w:rPr>
        <w:t>(</w:t>
      </w:r>
      <w:r w:rsidRPr="003D27C1">
        <w:rPr>
          <w:rFonts w:cs="Arial"/>
        </w:rPr>
        <w:t>the ‘Red Guide’)</w:t>
      </w:r>
      <w:r w:rsidRPr="00FF350C">
        <w:rPr>
          <w:rFonts w:cs="Arial"/>
        </w:rPr>
        <w:t xml:space="preserve"> was, until 2006, a commonly-used guide for event organisers seeking to put on sporting events on public roads.</w:t>
      </w:r>
      <w:r w:rsidRPr="00FF350C">
        <w:rPr>
          <w:rStyle w:val="FootnoteReference"/>
          <w:rFonts w:cs="Arial"/>
        </w:rPr>
        <w:footnoteReference w:id="36"/>
      </w:r>
      <w:r w:rsidRPr="00FF350C">
        <w:rPr>
          <w:rFonts w:cs="Arial"/>
        </w:rPr>
        <w:t xml:space="preserve"> The Guide contained important guidance on the law as well as best practice in terms of risk assessment and event planning. In addition the Guide contained a section on the specific requirements of road cycle racing.</w:t>
      </w:r>
      <w:r w:rsidRPr="00FF350C">
        <w:rPr>
          <w:rStyle w:val="FootnoteReference"/>
          <w:rFonts w:cs="Arial"/>
        </w:rPr>
        <w:footnoteReference w:id="37"/>
      </w:r>
    </w:p>
    <w:p w14:paraId="1FC6354E" w14:textId="2709A7EA" w:rsidR="00C4583A" w:rsidRPr="00C4583A" w:rsidRDefault="00C4583A" w:rsidP="00C4583A">
      <w:pPr>
        <w:spacing w:after="120" w:line="240" w:lineRule="auto"/>
        <w:jc w:val="both"/>
        <w:rPr>
          <w:rFonts w:cs="Arial"/>
          <w:b/>
          <w:sz w:val="24"/>
          <w:szCs w:val="24"/>
        </w:rPr>
      </w:pPr>
      <w:r w:rsidRPr="00C4583A">
        <w:rPr>
          <w:rFonts w:cs="Arial"/>
          <w:b/>
          <w:sz w:val="24"/>
          <w:szCs w:val="24"/>
        </w:rPr>
        <w:t>THE COMMON LAW: NEGLIGENCE</w:t>
      </w:r>
    </w:p>
    <w:p w14:paraId="1BEE816F" w14:textId="69495218" w:rsidR="00C4583A" w:rsidRPr="00FF350C" w:rsidRDefault="00C4583A" w:rsidP="00C4583A">
      <w:pPr>
        <w:spacing w:after="0" w:line="240" w:lineRule="auto"/>
        <w:jc w:val="both"/>
        <w:rPr>
          <w:rFonts w:cs="Arial"/>
        </w:rPr>
      </w:pPr>
      <w:r w:rsidRPr="00FF350C">
        <w:rPr>
          <w:rFonts w:cs="Arial"/>
        </w:rPr>
        <w:t>While a number of the above statutory provisions set down a duty of care, sporting events are additionally subject to the common law tort of negligence. The common law duty owed is the o</w:t>
      </w:r>
      <w:r w:rsidR="002B15FE">
        <w:rPr>
          <w:rFonts w:cs="Arial"/>
        </w:rPr>
        <w:t xml:space="preserve">bjective standard: the duty to </w:t>
      </w:r>
      <w:r w:rsidR="002B15FE" w:rsidRPr="002B15FE">
        <w:rPr>
          <w:rFonts w:cs="Arial"/>
        </w:rPr>
        <w:t>“</w:t>
      </w:r>
      <w:r w:rsidRPr="002B15FE">
        <w:rPr>
          <w:rFonts w:cs="Arial"/>
        </w:rPr>
        <w:t>take reasonable care to avoid injury to the person or property</w:t>
      </w:r>
      <w:r w:rsidR="002B15FE" w:rsidRPr="002B15FE">
        <w:rPr>
          <w:rFonts w:cs="Arial"/>
        </w:rPr>
        <w:t>.”</w:t>
      </w:r>
      <w:r w:rsidRPr="00FF350C">
        <w:rPr>
          <w:rStyle w:val="FootnoteReference"/>
          <w:rFonts w:cs="Arial"/>
        </w:rPr>
        <w:footnoteReference w:id="38"/>
      </w:r>
      <w:r w:rsidRPr="00FF350C">
        <w:rPr>
          <w:rFonts w:cs="Arial"/>
        </w:rPr>
        <w:t xml:space="preserve"> The test of where a duty applies was established most famously by </w:t>
      </w:r>
      <w:r w:rsidR="00C76120">
        <w:rPr>
          <w:rFonts w:cs="Arial"/>
        </w:rPr>
        <w:t xml:space="preserve">Lord Justice </w:t>
      </w:r>
      <w:r w:rsidRPr="00FF350C">
        <w:rPr>
          <w:rFonts w:cs="Arial"/>
        </w:rPr>
        <w:t>Bingham</w:t>
      </w:r>
      <w:r w:rsidR="00C76120">
        <w:rPr>
          <w:rFonts w:cs="Arial"/>
        </w:rPr>
        <w:t>’</w:t>
      </w:r>
      <w:r w:rsidRPr="00FF350C">
        <w:rPr>
          <w:rFonts w:cs="Arial"/>
        </w:rPr>
        <w:t xml:space="preserve">s three-part analysis in </w:t>
      </w:r>
      <w:proofErr w:type="spellStart"/>
      <w:r w:rsidRPr="00FF350C">
        <w:rPr>
          <w:rFonts w:cs="Arial"/>
          <w:i/>
        </w:rPr>
        <w:t>Caparo</w:t>
      </w:r>
      <w:proofErr w:type="spellEnd"/>
      <w:r w:rsidRPr="00FF350C">
        <w:rPr>
          <w:rFonts w:cs="Arial"/>
          <w:i/>
        </w:rPr>
        <w:t xml:space="preserve"> Industries v</w:t>
      </w:r>
      <w:r w:rsidR="00682A67">
        <w:rPr>
          <w:rFonts w:cs="Arial"/>
          <w:i/>
        </w:rPr>
        <w:t>.</w:t>
      </w:r>
      <w:r w:rsidRPr="00FF350C">
        <w:rPr>
          <w:rFonts w:cs="Arial"/>
          <w:i/>
        </w:rPr>
        <w:t xml:space="preserve"> </w:t>
      </w:r>
      <w:proofErr w:type="spellStart"/>
      <w:r w:rsidRPr="00FF350C">
        <w:rPr>
          <w:rFonts w:cs="Arial"/>
          <w:i/>
        </w:rPr>
        <w:t>Dickman</w:t>
      </w:r>
      <w:proofErr w:type="spellEnd"/>
      <w:r w:rsidRPr="00FF350C">
        <w:rPr>
          <w:rFonts w:cs="Arial"/>
        </w:rPr>
        <w:t>: the damage must be reasonably foreseeable, there must be sufficient proximity between the parties and it must be just and fair to impose the duty.</w:t>
      </w:r>
      <w:r w:rsidRPr="00FF350C">
        <w:rPr>
          <w:rStyle w:val="FootnoteReference"/>
          <w:rFonts w:cs="Arial"/>
        </w:rPr>
        <w:footnoteReference w:id="39"/>
      </w:r>
    </w:p>
    <w:p w14:paraId="27E84B74" w14:textId="77777777" w:rsidR="00C4583A" w:rsidRPr="00FF350C" w:rsidRDefault="00C4583A" w:rsidP="00C4583A">
      <w:pPr>
        <w:spacing w:after="0" w:line="240" w:lineRule="auto"/>
        <w:jc w:val="both"/>
        <w:rPr>
          <w:rFonts w:cs="Arial"/>
        </w:rPr>
      </w:pPr>
    </w:p>
    <w:p w14:paraId="15A36999" w14:textId="44AB2771" w:rsidR="00C4583A" w:rsidRDefault="00C4583A" w:rsidP="00C4583A">
      <w:pPr>
        <w:spacing w:after="0" w:line="240" w:lineRule="auto"/>
        <w:jc w:val="both"/>
        <w:rPr>
          <w:rFonts w:cs="Arial"/>
          <w:szCs w:val="20"/>
        </w:rPr>
      </w:pPr>
      <w:r w:rsidRPr="00FF350C">
        <w:rPr>
          <w:rFonts w:cs="Arial"/>
        </w:rPr>
        <w:t>In the sports context, negligence has been developed not only in relation to the duty owed by competitors to each other but also in three other crucial areas. Firstly, it is established there may be a duty owed by a competitor to spectators in certain circumstances.</w:t>
      </w:r>
      <w:r w:rsidRPr="00FF350C">
        <w:rPr>
          <w:rStyle w:val="FootnoteReference"/>
          <w:rFonts w:cs="Arial"/>
        </w:rPr>
        <w:footnoteReference w:id="40"/>
      </w:r>
      <w:r w:rsidRPr="00FF350C">
        <w:rPr>
          <w:rFonts w:cs="Arial"/>
        </w:rPr>
        <w:t xml:space="preserve"> Secondly, the duty can be established between an official and a participant.</w:t>
      </w:r>
      <w:r w:rsidRPr="00FF350C">
        <w:rPr>
          <w:rStyle w:val="FootnoteReference"/>
          <w:rFonts w:cs="Arial"/>
        </w:rPr>
        <w:footnoteReference w:id="41"/>
      </w:r>
      <w:r w:rsidRPr="00FF350C">
        <w:rPr>
          <w:rFonts w:cs="Arial"/>
        </w:rPr>
        <w:t xml:space="preserve"> Thirdly, the duty has been extended to sports governing bodies where they have a role in the regulation of the sport and/or events held under their auspices. In particular</w:t>
      </w:r>
      <w:r w:rsidR="00C76120">
        <w:rPr>
          <w:rFonts w:cs="Arial"/>
        </w:rPr>
        <w:t>,</w:t>
      </w:r>
      <w:r w:rsidRPr="00FF350C">
        <w:rPr>
          <w:rFonts w:cs="Arial"/>
        </w:rPr>
        <w:t xml:space="preserve"> the landmark case of </w:t>
      </w:r>
      <w:r w:rsidRPr="00FF350C">
        <w:rPr>
          <w:rFonts w:cs="Arial"/>
          <w:i/>
        </w:rPr>
        <w:t xml:space="preserve">Watson v BBBC </w:t>
      </w:r>
      <w:r w:rsidRPr="00FF350C">
        <w:rPr>
          <w:rFonts w:cs="Arial"/>
        </w:rPr>
        <w:t>made clear that, where their regulatory role is central to safety, national governing bodies have a duty to participants.</w:t>
      </w:r>
      <w:r w:rsidRPr="00FF350C">
        <w:rPr>
          <w:rStyle w:val="FootnoteReference"/>
          <w:rFonts w:cs="Arial"/>
        </w:rPr>
        <w:footnoteReference w:id="42"/>
      </w:r>
      <w:r w:rsidRPr="00FF350C">
        <w:rPr>
          <w:rFonts w:cs="Arial"/>
          <w:sz w:val="24"/>
        </w:rPr>
        <w:t xml:space="preserve"> </w:t>
      </w:r>
      <w:r w:rsidRPr="00FF350C">
        <w:rPr>
          <w:rFonts w:cs="Arial"/>
          <w:szCs w:val="20"/>
        </w:rPr>
        <w:t xml:space="preserve">In addition, </w:t>
      </w:r>
      <w:proofErr w:type="spellStart"/>
      <w:r w:rsidRPr="00FF350C">
        <w:rPr>
          <w:rFonts w:cs="Arial"/>
          <w:i/>
          <w:szCs w:val="20"/>
        </w:rPr>
        <w:t>Wattleworth</w:t>
      </w:r>
      <w:proofErr w:type="spellEnd"/>
      <w:r w:rsidRPr="00FF350C">
        <w:rPr>
          <w:rFonts w:cs="Arial"/>
          <w:i/>
          <w:szCs w:val="20"/>
        </w:rPr>
        <w:t xml:space="preserve"> v</w:t>
      </w:r>
      <w:r w:rsidR="00682A67">
        <w:rPr>
          <w:rFonts w:cs="Arial"/>
          <w:i/>
          <w:szCs w:val="20"/>
        </w:rPr>
        <w:t>.</w:t>
      </w:r>
      <w:r w:rsidRPr="00FF350C">
        <w:rPr>
          <w:rFonts w:cs="Arial"/>
          <w:i/>
          <w:szCs w:val="20"/>
        </w:rPr>
        <w:t xml:space="preserve"> </w:t>
      </w:r>
      <w:proofErr w:type="spellStart"/>
      <w:r w:rsidRPr="00FF350C">
        <w:rPr>
          <w:rFonts w:cs="Arial"/>
          <w:i/>
          <w:szCs w:val="20"/>
        </w:rPr>
        <w:t>Goodwood</w:t>
      </w:r>
      <w:proofErr w:type="spellEnd"/>
      <w:r w:rsidRPr="00FF350C">
        <w:rPr>
          <w:rFonts w:cs="Arial"/>
          <w:i/>
          <w:szCs w:val="20"/>
        </w:rPr>
        <w:t xml:space="preserve"> Racing Company Ltd and Royal Automobile Club Motor Sports Association Ltd and Federation Internationale de </w:t>
      </w:r>
      <w:proofErr w:type="spellStart"/>
      <w:r w:rsidRPr="00FF350C">
        <w:rPr>
          <w:rFonts w:cs="Arial"/>
          <w:i/>
          <w:szCs w:val="20"/>
        </w:rPr>
        <w:t>l’Automobile</w:t>
      </w:r>
      <w:proofErr w:type="spellEnd"/>
      <w:r w:rsidRPr="00FF350C">
        <w:rPr>
          <w:rFonts w:cs="Arial"/>
          <w:szCs w:val="20"/>
        </w:rPr>
        <w:t xml:space="preserve"> clarified that a similar duty could be extended to International Sports Federations where they set out rules or guidelines on safety.</w:t>
      </w:r>
      <w:r w:rsidRPr="00FF350C">
        <w:rPr>
          <w:rStyle w:val="FootnoteReference"/>
          <w:rFonts w:cs="Arial"/>
          <w:szCs w:val="20"/>
        </w:rPr>
        <w:footnoteReference w:id="43"/>
      </w:r>
    </w:p>
    <w:p w14:paraId="7E9C8B0A" w14:textId="77777777" w:rsidR="00C4583A" w:rsidRDefault="00C4583A" w:rsidP="00C4583A">
      <w:pPr>
        <w:spacing w:after="0" w:line="240" w:lineRule="auto"/>
        <w:jc w:val="both"/>
        <w:rPr>
          <w:rFonts w:cs="Arial"/>
          <w:szCs w:val="20"/>
        </w:rPr>
      </w:pPr>
    </w:p>
    <w:p w14:paraId="518D9D3C" w14:textId="072D1E8C" w:rsidR="002815CE" w:rsidRDefault="002815CE" w:rsidP="00C4583A">
      <w:pPr>
        <w:spacing w:after="0" w:line="240" w:lineRule="auto"/>
        <w:jc w:val="both"/>
        <w:rPr>
          <w:rFonts w:cs="Arial"/>
        </w:rPr>
      </w:pPr>
    </w:p>
    <w:p w14:paraId="62DB03C9" w14:textId="77777777" w:rsidR="002815CE" w:rsidRPr="00FF350C" w:rsidRDefault="002815CE" w:rsidP="00C4583A">
      <w:pPr>
        <w:spacing w:after="0" w:line="240" w:lineRule="auto"/>
        <w:jc w:val="both"/>
        <w:rPr>
          <w:rFonts w:cs="Arial"/>
        </w:rPr>
      </w:pPr>
    </w:p>
    <w:p w14:paraId="3D707451" w14:textId="43623E84" w:rsidR="00C4583A" w:rsidRPr="00C4583A" w:rsidRDefault="00C4583A" w:rsidP="00C4583A">
      <w:pPr>
        <w:spacing w:after="120" w:line="240" w:lineRule="auto"/>
        <w:jc w:val="both"/>
        <w:rPr>
          <w:rFonts w:cs="Arial"/>
          <w:b/>
          <w:sz w:val="24"/>
          <w:szCs w:val="24"/>
        </w:rPr>
      </w:pPr>
      <w:r w:rsidRPr="00C4583A">
        <w:rPr>
          <w:rFonts w:cs="Arial"/>
          <w:b/>
          <w:sz w:val="24"/>
          <w:szCs w:val="24"/>
        </w:rPr>
        <w:t>PRE-EVENT: HOW WERE SAFETY RISKS IDENTIFIED AND PLANNED FOR?</w:t>
      </w:r>
    </w:p>
    <w:p w14:paraId="7A4ED712" w14:textId="60E441FC" w:rsidR="00C4583A" w:rsidRDefault="00C4583A" w:rsidP="00C4583A">
      <w:pPr>
        <w:spacing w:after="0" w:line="240" w:lineRule="auto"/>
        <w:jc w:val="both"/>
        <w:rPr>
          <w:rFonts w:cs="Arial"/>
        </w:rPr>
      </w:pPr>
      <w:r w:rsidRPr="00FF350C">
        <w:rPr>
          <w:rFonts w:cs="Arial"/>
        </w:rPr>
        <w:t>The starting point for considering how risks were managed at the 2006 Tour of Britain is the regulatory framework set out by British Cycling for registered events and, supplementing this, the UCI regulations for international level events.</w:t>
      </w:r>
      <w:r w:rsidRPr="00FF350C">
        <w:rPr>
          <w:rStyle w:val="FootnoteReference"/>
          <w:rFonts w:cs="Arial"/>
        </w:rPr>
        <w:footnoteReference w:id="44"/>
      </w:r>
      <w:r w:rsidRPr="00FF350C">
        <w:rPr>
          <w:rFonts w:cs="Arial"/>
        </w:rPr>
        <w:t xml:space="preserve"> </w:t>
      </w:r>
    </w:p>
    <w:p w14:paraId="2B05268E" w14:textId="77777777" w:rsidR="00C4583A" w:rsidRPr="00FF350C" w:rsidRDefault="00C4583A" w:rsidP="00C4583A">
      <w:pPr>
        <w:spacing w:after="0" w:line="240" w:lineRule="auto"/>
        <w:jc w:val="both"/>
        <w:rPr>
          <w:rFonts w:cs="Arial"/>
        </w:rPr>
      </w:pPr>
    </w:p>
    <w:p w14:paraId="52125EF9" w14:textId="61447924" w:rsidR="00D209B7" w:rsidRDefault="00527E36" w:rsidP="00C4583A">
      <w:pPr>
        <w:spacing w:after="0" w:line="240" w:lineRule="auto"/>
        <w:jc w:val="both"/>
        <w:rPr>
          <w:rFonts w:cs="Arial"/>
        </w:rPr>
      </w:pPr>
      <w:r>
        <w:rPr>
          <w:rFonts w:cs="Arial"/>
        </w:rPr>
        <w:t xml:space="preserve">The </w:t>
      </w:r>
      <w:r w:rsidR="00D209B7">
        <w:rPr>
          <w:rFonts w:cs="Arial"/>
        </w:rPr>
        <w:t xml:space="preserve">essential safety </w:t>
      </w:r>
      <w:r>
        <w:rPr>
          <w:rFonts w:cs="Arial"/>
        </w:rPr>
        <w:t xml:space="preserve">requirements </w:t>
      </w:r>
      <w:r w:rsidR="00D209B7">
        <w:rPr>
          <w:rFonts w:cs="Arial"/>
        </w:rPr>
        <w:t xml:space="preserve">for British Cycling-sanctioned events are specified in the </w:t>
      </w:r>
      <w:r w:rsidR="00D209B7">
        <w:rPr>
          <w:rFonts w:cs="Arial"/>
          <w:i/>
        </w:rPr>
        <w:t>Road Race Organiser’s Guide</w:t>
      </w:r>
      <w:r w:rsidR="00D209B7">
        <w:rPr>
          <w:rFonts w:cs="Arial"/>
        </w:rPr>
        <w:t>.</w:t>
      </w:r>
      <w:r w:rsidR="00D209B7">
        <w:rPr>
          <w:rStyle w:val="FootnoteReference"/>
          <w:rFonts w:cs="Arial"/>
        </w:rPr>
        <w:footnoteReference w:id="45"/>
      </w:r>
      <w:r w:rsidR="00D209B7">
        <w:rPr>
          <w:rFonts w:cs="Arial"/>
          <w:i/>
        </w:rPr>
        <w:t xml:space="preserve"> </w:t>
      </w:r>
      <w:r w:rsidR="00C4583A" w:rsidRPr="00FF350C">
        <w:rPr>
          <w:rFonts w:cs="Arial"/>
        </w:rPr>
        <w:t>In addition to gaining the required approvals by the police and highways authorities for road closures, a</w:t>
      </w:r>
      <w:r w:rsidR="00D209B7">
        <w:rPr>
          <w:rFonts w:cs="Arial"/>
        </w:rPr>
        <w:t xml:space="preserve"> key</w:t>
      </w:r>
      <w:r w:rsidR="00C4583A" w:rsidRPr="00FF350C">
        <w:rPr>
          <w:rFonts w:cs="Arial"/>
        </w:rPr>
        <w:t xml:space="preserve"> precondition for British Cycling to sanction an event is the completion by organisers of a full risk assessment.</w:t>
      </w:r>
      <w:r w:rsidR="00C4583A" w:rsidRPr="00FF350C">
        <w:rPr>
          <w:rStyle w:val="FootnoteReference"/>
          <w:rFonts w:cs="Arial"/>
        </w:rPr>
        <w:footnoteReference w:id="46"/>
      </w:r>
    </w:p>
    <w:p w14:paraId="7DABFF3D" w14:textId="25D24F19" w:rsidR="00C4583A" w:rsidRPr="00FF350C" w:rsidRDefault="00C4583A" w:rsidP="00C4583A">
      <w:pPr>
        <w:spacing w:after="0" w:line="240" w:lineRule="auto"/>
        <w:jc w:val="both"/>
        <w:rPr>
          <w:rFonts w:cs="Arial"/>
        </w:rPr>
      </w:pPr>
      <w:r w:rsidRPr="00FF350C">
        <w:rPr>
          <w:rFonts w:cs="Arial"/>
        </w:rPr>
        <w:t xml:space="preserve"> </w:t>
      </w:r>
    </w:p>
    <w:p w14:paraId="4A6BB395" w14:textId="77777777" w:rsidR="00C4583A" w:rsidRPr="00FF350C" w:rsidRDefault="00C4583A" w:rsidP="00682A67">
      <w:pPr>
        <w:spacing w:after="120" w:line="240" w:lineRule="auto"/>
        <w:jc w:val="both"/>
        <w:rPr>
          <w:rFonts w:cs="Arial"/>
        </w:rPr>
      </w:pPr>
      <w:r w:rsidRPr="00FF350C">
        <w:rPr>
          <w:rFonts w:cs="Arial"/>
        </w:rPr>
        <w:t>Following the British Cycling template, the organisers of the 2006 Tour would therefore have had to provide a detailed risk assessment identifying:</w:t>
      </w:r>
    </w:p>
    <w:p w14:paraId="2D6C6AA1" w14:textId="77777777" w:rsidR="00C4583A" w:rsidRPr="00FF350C" w:rsidRDefault="00C4583A" w:rsidP="00B655A3">
      <w:pPr>
        <w:pStyle w:val="ListParagraph"/>
        <w:numPr>
          <w:ilvl w:val="0"/>
          <w:numId w:val="3"/>
        </w:numPr>
        <w:spacing w:after="0" w:line="240" w:lineRule="auto"/>
        <w:jc w:val="both"/>
        <w:rPr>
          <w:rFonts w:cs="Arial"/>
        </w:rPr>
      </w:pPr>
      <w:r w:rsidRPr="00FF350C">
        <w:rPr>
          <w:rFonts w:cs="Arial"/>
        </w:rPr>
        <w:t>Safety hazards and their location e.g. road junctions etc.;</w:t>
      </w:r>
    </w:p>
    <w:p w14:paraId="33437CC7" w14:textId="77777777" w:rsidR="00C4583A" w:rsidRPr="00FF350C" w:rsidRDefault="00C4583A" w:rsidP="00B655A3">
      <w:pPr>
        <w:pStyle w:val="ListParagraph"/>
        <w:numPr>
          <w:ilvl w:val="0"/>
          <w:numId w:val="3"/>
        </w:numPr>
        <w:spacing w:after="0" w:line="240" w:lineRule="auto"/>
        <w:jc w:val="both"/>
        <w:rPr>
          <w:rFonts w:cs="Arial"/>
        </w:rPr>
      </w:pPr>
      <w:r w:rsidRPr="00FF350C">
        <w:rPr>
          <w:rFonts w:cs="Arial"/>
        </w:rPr>
        <w:t>The hazard risk i.e. the likelihood of harm arising (ranked ‘High’, ‘Medium’ or ‘Low’);</w:t>
      </w:r>
    </w:p>
    <w:p w14:paraId="3F16B369" w14:textId="77777777" w:rsidR="00C4583A" w:rsidRPr="00FF350C" w:rsidRDefault="00C4583A" w:rsidP="00B655A3">
      <w:pPr>
        <w:pStyle w:val="ListParagraph"/>
        <w:numPr>
          <w:ilvl w:val="0"/>
          <w:numId w:val="3"/>
        </w:numPr>
        <w:spacing w:after="0" w:line="240" w:lineRule="auto"/>
        <w:jc w:val="both"/>
        <w:rPr>
          <w:rFonts w:cs="Arial"/>
        </w:rPr>
      </w:pPr>
      <w:r w:rsidRPr="00FF350C">
        <w:rPr>
          <w:rFonts w:cs="Arial"/>
        </w:rPr>
        <w:t>The persons at risk e.g. competitors, race officials, spectators, non-race traffic;</w:t>
      </w:r>
    </w:p>
    <w:p w14:paraId="64EDAA2B" w14:textId="77777777" w:rsidR="00C4583A" w:rsidRPr="00FF350C" w:rsidRDefault="00C4583A" w:rsidP="00B655A3">
      <w:pPr>
        <w:pStyle w:val="ListParagraph"/>
        <w:numPr>
          <w:ilvl w:val="0"/>
          <w:numId w:val="3"/>
        </w:numPr>
        <w:spacing w:after="0" w:line="240" w:lineRule="auto"/>
        <w:jc w:val="both"/>
        <w:rPr>
          <w:rFonts w:cs="Arial"/>
        </w:rPr>
      </w:pPr>
      <w:r w:rsidRPr="00FF350C">
        <w:rPr>
          <w:rFonts w:cs="Arial"/>
        </w:rPr>
        <w:t>The additional measures put in place where necessary to reduce hazard risk to ‘Low’.</w:t>
      </w:r>
      <w:r w:rsidRPr="00FF350C">
        <w:rPr>
          <w:rStyle w:val="FootnoteReference"/>
          <w:rFonts w:cs="Arial"/>
        </w:rPr>
        <w:footnoteReference w:id="47"/>
      </w:r>
    </w:p>
    <w:p w14:paraId="0CA62A76" w14:textId="77777777" w:rsidR="00C4583A" w:rsidRPr="00FF350C" w:rsidRDefault="00C4583A" w:rsidP="00C4583A">
      <w:pPr>
        <w:spacing w:after="0" w:line="240" w:lineRule="auto"/>
        <w:jc w:val="both"/>
        <w:rPr>
          <w:rFonts w:cs="Arial"/>
        </w:rPr>
      </w:pPr>
    </w:p>
    <w:p w14:paraId="5DB7A77D" w14:textId="5CE0F7BE" w:rsidR="00C4583A" w:rsidRPr="00FF350C" w:rsidRDefault="00C4583A" w:rsidP="00C4583A">
      <w:pPr>
        <w:spacing w:after="0" w:line="240" w:lineRule="auto"/>
        <w:jc w:val="both"/>
        <w:rPr>
          <w:rFonts w:cs="Arial"/>
        </w:rPr>
      </w:pPr>
      <w:r w:rsidRPr="00FF350C">
        <w:rPr>
          <w:rFonts w:cs="Arial"/>
        </w:rPr>
        <w:t xml:space="preserve">As such, the event organisers would have identified the precise location of hazards on the route and provided a </w:t>
      </w:r>
      <w:r w:rsidR="002B15FE">
        <w:rPr>
          <w:rFonts w:cs="Arial"/>
        </w:rPr>
        <w:t xml:space="preserve">detailed </w:t>
      </w:r>
      <w:r w:rsidRPr="00FF350C">
        <w:rPr>
          <w:rFonts w:cs="Arial"/>
        </w:rPr>
        <w:t>description of each.</w:t>
      </w:r>
      <w:r w:rsidRPr="00FF350C">
        <w:rPr>
          <w:rStyle w:val="FootnoteReference"/>
          <w:rFonts w:cs="Arial"/>
        </w:rPr>
        <w:footnoteReference w:id="48"/>
      </w:r>
      <w:r w:rsidRPr="00FF350C">
        <w:rPr>
          <w:rFonts w:cs="Arial"/>
        </w:rPr>
        <w:t xml:space="preserve"> In addition</w:t>
      </w:r>
      <w:r w:rsidR="002B15FE">
        <w:rPr>
          <w:rFonts w:cs="Arial"/>
        </w:rPr>
        <w:t>,</w:t>
      </w:r>
      <w:r w:rsidRPr="00FF350C">
        <w:rPr>
          <w:rFonts w:cs="Arial"/>
        </w:rPr>
        <w:t xml:space="preserve"> each mitigation measure applied to reduce a hazard risk to ‘Low’ is given a unique number code and so it is reasonable to assume a similar methodology was applied in the risk assessment for the 2006 Tour.</w:t>
      </w:r>
      <w:r w:rsidRPr="00FF350C">
        <w:rPr>
          <w:rStyle w:val="FootnoteReference"/>
          <w:rFonts w:cs="Arial"/>
        </w:rPr>
        <w:footnoteReference w:id="49"/>
      </w:r>
    </w:p>
    <w:p w14:paraId="6C8EED5F" w14:textId="77777777" w:rsidR="00C4583A" w:rsidRDefault="00C4583A" w:rsidP="00C4583A">
      <w:pPr>
        <w:spacing w:after="0" w:line="240" w:lineRule="auto"/>
        <w:jc w:val="both"/>
        <w:rPr>
          <w:rFonts w:cs="Arial"/>
        </w:rPr>
      </w:pPr>
    </w:p>
    <w:p w14:paraId="4512D2C7" w14:textId="77777777" w:rsidR="00C4583A" w:rsidRPr="00FF350C" w:rsidRDefault="00C4583A" w:rsidP="00C4583A">
      <w:pPr>
        <w:spacing w:after="0" w:line="240" w:lineRule="auto"/>
        <w:jc w:val="both"/>
        <w:rPr>
          <w:rFonts w:cs="Arial"/>
        </w:rPr>
      </w:pPr>
    </w:p>
    <w:p w14:paraId="423559D6" w14:textId="470F5E5F" w:rsidR="00C4583A" w:rsidRPr="008000E3" w:rsidRDefault="002815CE" w:rsidP="00C4583A">
      <w:pPr>
        <w:spacing w:after="120" w:line="240" w:lineRule="auto"/>
        <w:jc w:val="both"/>
        <w:rPr>
          <w:rFonts w:cs="Arial"/>
          <w:b/>
          <w:i/>
          <w:szCs w:val="24"/>
        </w:rPr>
      </w:pPr>
      <w:r w:rsidRPr="008000E3">
        <w:rPr>
          <w:rFonts w:cs="Arial"/>
          <w:b/>
          <w:i/>
          <w:szCs w:val="24"/>
        </w:rPr>
        <w:t>Event Safety Plan and the Event Technical Guide</w:t>
      </w:r>
    </w:p>
    <w:p w14:paraId="17F5EF1C" w14:textId="212B1052" w:rsidR="00C4583A" w:rsidRPr="00FF350C" w:rsidRDefault="00C4583A" w:rsidP="00C4583A">
      <w:pPr>
        <w:spacing w:after="120" w:line="240" w:lineRule="auto"/>
        <w:jc w:val="both"/>
        <w:rPr>
          <w:rFonts w:cs="Arial"/>
        </w:rPr>
      </w:pPr>
      <w:r w:rsidRPr="00FF350C">
        <w:rPr>
          <w:rFonts w:cs="Arial"/>
        </w:rPr>
        <w:t>In addition to a risk assessment</w:t>
      </w:r>
      <w:r w:rsidR="00C31B22">
        <w:rPr>
          <w:rFonts w:cs="Arial"/>
        </w:rPr>
        <w:t>,</w:t>
      </w:r>
      <w:r w:rsidRPr="00FF350C">
        <w:rPr>
          <w:rFonts w:cs="Arial"/>
        </w:rPr>
        <w:t xml:space="preserve"> British Cycling also require</w:t>
      </w:r>
      <w:r w:rsidR="00A66E88">
        <w:rPr>
          <w:rFonts w:cs="Arial"/>
        </w:rPr>
        <w:t>s</w:t>
      </w:r>
      <w:r w:rsidRPr="00FF350C">
        <w:rPr>
          <w:rFonts w:cs="Arial"/>
        </w:rPr>
        <w:t xml:space="preserve"> organisers to produce both an Event Safety Plan and an Event Technical Guide.</w:t>
      </w:r>
      <w:r w:rsidRPr="00FF350C">
        <w:rPr>
          <w:rStyle w:val="FootnoteReference"/>
          <w:rFonts w:cs="Arial"/>
        </w:rPr>
        <w:footnoteReference w:id="50"/>
      </w:r>
      <w:r w:rsidRPr="00FF350C">
        <w:rPr>
          <w:rFonts w:cs="Arial"/>
        </w:rPr>
        <w:t xml:space="preserve"> The Event Safety Plan must be developed by a Safety Advisory Group (SAG) comprising as a minimum the event organisers, relevant Local Authorities and emergency services.</w:t>
      </w:r>
      <w:r w:rsidRPr="00FF350C">
        <w:rPr>
          <w:rStyle w:val="FootnoteReference"/>
          <w:rFonts w:cs="Arial"/>
        </w:rPr>
        <w:footnoteReference w:id="51"/>
      </w:r>
      <w:r w:rsidRPr="00FF350C">
        <w:rPr>
          <w:rFonts w:cs="Arial"/>
        </w:rPr>
        <w:t xml:space="preserve"> Although the precise contents of the Event Safety Plan are not prescribed, the guidance supplied by British Cycling </w:t>
      </w:r>
      <w:r w:rsidR="00C31B22">
        <w:rPr>
          <w:rFonts w:cs="Arial"/>
        </w:rPr>
        <w:t>specifies 17 individual items the plan</w:t>
      </w:r>
      <w:r w:rsidRPr="00FF350C">
        <w:rPr>
          <w:rFonts w:cs="Arial"/>
        </w:rPr>
        <w:t xml:space="preserve"> must cover including:</w:t>
      </w:r>
    </w:p>
    <w:p w14:paraId="50E2CFCD"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An overview of the event and the management team (Items 1 and 2);</w:t>
      </w:r>
    </w:p>
    <w:p w14:paraId="284AC204"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Race detail and event itinerary (Items 4 and 5);</w:t>
      </w:r>
    </w:p>
    <w:p w14:paraId="5701E56C"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Marshalling plan (Item 6);</w:t>
      </w:r>
    </w:p>
    <w:p w14:paraId="7ECB557E"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Site safety (Item 7);</w:t>
      </w:r>
    </w:p>
    <w:p w14:paraId="599BCD3D"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Crowd management (Item 10);</w:t>
      </w:r>
    </w:p>
    <w:p w14:paraId="491D90C6"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First aid and welfare (Item 12);</w:t>
      </w:r>
    </w:p>
    <w:p w14:paraId="0E47E030" w14:textId="77777777" w:rsidR="00C4583A" w:rsidRPr="00FF350C" w:rsidRDefault="00C4583A" w:rsidP="00B655A3">
      <w:pPr>
        <w:pStyle w:val="ListParagraph"/>
        <w:numPr>
          <w:ilvl w:val="0"/>
          <w:numId w:val="4"/>
        </w:numPr>
        <w:spacing w:after="0" w:line="240" w:lineRule="auto"/>
        <w:jc w:val="both"/>
        <w:rPr>
          <w:rFonts w:cs="Arial"/>
        </w:rPr>
      </w:pPr>
      <w:r w:rsidRPr="00FF350C">
        <w:rPr>
          <w:rFonts w:cs="Arial"/>
        </w:rPr>
        <w:t>Incident management procedures (Item 15).</w:t>
      </w:r>
      <w:r w:rsidRPr="00FF350C">
        <w:rPr>
          <w:rStyle w:val="FootnoteReference"/>
          <w:rFonts w:cs="Arial"/>
        </w:rPr>
        <w:footnoteReference w:id="52"/>
      </w:r>
    </w:p>
    <w:p w14:paraId="76704642" w14:textId="77777777" w:rsidR="00C4583A" w:rsidRPr="00FF350C" w:rsidRDefault="00C4583A" w:rsidP="00C4583A">
      <w:pPr>
        <w:spacing w:after="0" w:line="240" w:lineRule="auto"/>
        <w:jc w:val="both"/>
        <w:rPr>
          <w:rFonts w:cs="Arial"/>
        </w:rPr>
      </w:pPr>
    </w:p>
    <w:p w14:paraId="5C7107D2" w14:textId="03A7AF1F" w:rsidR="00C4583A" w:rsidRPr="00FF350C" w:rsidRDefault="00C4583A" w:rsidP="00C31B22">
      <w:pPr>
        <w:spacing w:after="120" w:line="240" w:lineRule="auto"/>
        <w:jc w:val="both"/>
        <w:rPr>
          <w:rFonts w:cs="Arial"/>
        </w:rPr>
      </w:pPr>
      <w:r w:rsidRPr="00FF350C">
        <w:rPr>
          <w:rFonts w:cs="Arial"/>
        </w:rPr>
        <w:t>As with the risk assessment, it is reasonable to assume that the organisers of the 2006 Tour developed a similar Event Safety Plan covering most if not all of these areas. The final piece of planning required is the production of an Event Technical Guide which sits underneath the Event Safety Plan.</w:t>
      </w:r>
      <w:r w:rsidR="00A66E88" w:rsidRPr="00FF350C">
        <w:rPr>
          <w:rStyle w:val="FootnoteReference"/>
          <w:rFonts w:cs="Arial"/>
        </w:rPr>
        <w:footnoteReference w:id="53"/>
      </w:r>
      <w:r w:rsidRPr="00FF350C">
        <w:rPr>
          <w:rFonts w:cs="Arial"/>
        </w:rPr>
        <w:t xml:space="preserve"> The Event Technical Guide is primarily aimed at participants in the race – including riders, team staff and race officials – and should contain </w:t>
      </w:r>
      <w:r w:rsidRPr="00FF350C">
        <w:rPr>
          <w:rFonts w:cs="Arial"/>
          <w:i/>
        </w:rPr>
        <w:t>inter alia</w:t>
      </w:r>
      <w:r w:rsidRPr="00FF350C">
        <w:rPr>
          <w:rFonts w:cs="Arial"/>
        </w:rPr>
        <w:t>:</w:t>
      </w:r>
    </w:p>
    <w:p w14:paraId="4E2A0DB2" w14:textId="77777777" w:rsidR="00C4583A" w:rsidRPr="00FF350C" w:rsidRDefault="00C4583A" w:rsidP="00B655A3">
      <w:pPr>
        <w:pStyle w:val="ListParagraph"/>
        <w:numPr>
          <w:ilvl w:val="0"/>
          <w:numId w:val="5"/>
        </w:numPr>
        <w:spacing w:after="0" w:line="240" w:lineRule="auto"/>
        <w:jc w:val="both"/>
        <w:rPr>
          <w:rFonts w:cs="Arial"/>
        </w:rPr>
      </w:pPr>
      <w:r w:rsidRPr="00FF350C">
        <w:rPr>
          <w:rFonts w:cs="Arial"/>
        </w:rPr>
        <w:t>The detailed race route;</w:t>
      </w:r>
    </w:p>
    <w:p w14:paraId="3E5C39CF" w14:textId="77777777" w:rsidR="00C4583A" w:rsidRPr="00FF350C" w:rsidRDefault="00C4583A" w:rsidP="00B655A3">
      <w:pPr>
        <w:pStyle w:val="ListParagraph"/>
        <w:numPr>
          <w:ilvl w:val="0"/>
          <w:numId w:val="5"/>
        </w:numPr>
        <w:spacing w:after="0" w:line="240" w:lineRule="auto"/>
        <w:jc w:val="both"/>
        <w:rPr>
          <w:rFonts w:cs="Arial"/>
        </w:rPr>
      </w:pPr>
      <w:r w:rsidRPr="00FF350C">
        <w:rPr>
          <w:rFonts w:cs="Arial"/>
        </w:rPr>
        <w:t>The sporting regulations applicable to the race;</w:t>
      </w:r>
    </w:p>
    <w:p w14:paraId="7322935C" w14:textId="78E35662" w:rsidR="00C4583A" w:rsidRPr="00FF350C" w:rsidRDefault="00C4583A" w:rsidP="00B655A3">
      <w:pPr>
        <w:pStyle w:val="ListParagraph"/>
        <w:numPr>
          <w:ilvl w:val="0"/>
          <w:numId w:val="5"/>
        </w:numPr>
        <w:spacing w:after="0" w:line="240" w:lineRule="auto"/>
        <w:jc w:val="both"/>
        <w:rPr>
          <w:rFonts w:cs="Arial"/>
        </w:rPr>
      </w:pPr>
      <w:r w:rsidRPr="00FF350C">
        <w:rPr>
          <w:rFonts w:cs="Arial"/>
        </w:rPr>
        <w:t>Maps of the start and finish areas.</w:t>
      </w:r>
    </w:p>
    <w:p w14:paraId="107C3679" w14:textId="77777777" w:rsidR="00C4583A" w:rsidRPr="00FF350C" w:rsidRDefault="00C4583A" w:rsidP="00C4583A">
      <w:pPr>
        <w:spacing w:after="0" w:line="240" w:lineRule="auto"/>
        <w:jc w:val="both"/>
        <w:rPr>
          <w:rFonts w:cs="Arial"/>
        </w:rPr>
      </w:pPr>
    </w:p>
    <w:p w14:paraId="084271CA" w14:textId="77777777" w:rsidR="00C4583A" w:rsidRDefault="00C4583A" w:rsidP="00C4583A">
      <w:pPr>
        <w:spacing w:after="0" w:line="240" w:lineRule="auto"/>
        <w:jc w:val="both"/>
        <w:rPr>
          <w:rFonts w:cs="Arial"/>
        </w:rPr>
      </w:pPr>
      <w:r w:rsidRPr="00FF350C">
        <w:rPr>
          <w:rFonts w:cs="Arial"/>
        </w:rPr>
        <w:t>Again it is reasonable to assume that the 2006 Tour organisers developed an Event Technical Guide for participants in line with British Cycling requirements.</w:t>
      </w:r>
    </w:p>
    <w:p w14:paraId="1FD9B1C8" w14:textId="77777777" w:rsidR="00C4583A" w:rsidRDefault="00C4583A" w:rsidP="00C4583A">
      <w:pPr>
        <w:spacing w:after="0" w:line="240" w:lineRule="auto"/>
        <w:jc w:val="both"/>
        <w:rPr>
          <w:rFonts w:cs="Arial"/>
        </w:rPr>
      </w:pPr>
    </w:p>
    <w:p w14:paraId="7D860CE9" w14:textId="77777777" w:rsidR="00C4583A" w:rsidRPr="00FF350C" w:rsidRDefault="00C4583A" w:rsidP="00C4583A">
      <w:pPr>
        <w:spacing w:after="0" w:line="240" w:lineRule="auto"/>
        <w:jc w:val="both"/>
        <w:rPr>
          <w:rFonts w:cs="Arial"/>
        </w:rPr>
      </w:pPr>
    </w:p>
    <w:p w14:paraId="7813FDD7" w14:textId="77777777" w:rsidR="00C4583A" w:rsidRPr="00FF350C" w:rsidRDefault="00C4583A" w:rsidP="00C4583A">
      <w:pPr>
        <w:spacing w:after="0" w:line="240" w:lineRule="auto"/>
        <w:jc w:val="both"/>
        <w:rPr>
          <w:rFonts w:cs="Arial"/>
        </w:rPr>
      </w:pPr>
    </w:p>
    <w:p w14:paraId="31FE086F" w14:textId="443131C1" w:rsidR="00C4583A" w:rsidRPr="008000E3" w:rsidRDefault="008000E3" w:rsidP="00C4583A">
      <w:pPr>
        <w:spacing w:after="120" w:line="240" w:lineRule="auto"/>
        <w:jc w:val="both"/>
        <w:rPr>
          <w:rFonts w:cs="Arial"/>
          <w:b/>
          <w:i/>
        </w:rPr>
      </w:pPr>
      <w:r w:rsidRPr="008000E3">
        <w:rPr>
          <w:rFonts w:cs="Arial"/>
          <w:b/>
          <w:i/>
        </w:rPr>
        <w:t>UCI regulations and guidance</w:t>
      </w:r>
    </w:p>
    <w:p w14:paraId="544F0AA1" w14:textId="58B769AA" w:rsidR="00C4583A" w:rsidRPr="00FF350C" w:rsidRDefault="00C4583A" w:rsidP="00C4583A">
      <w:pPr>
        <w:spacing w:after="0" w:line="240" w:lineRule="auto"/>
        <w:jc w:val="both"/>
        <w:rPr>
          <w:rFonts w:cs="Arial"/>
        </w:rPr>
      </w:pPr>
      <w:r w:rsidRPr="00FF350C">
        <w:rPr>
          <w:rFonts w:cs="Arial"/>
        </w:rPr>
        <w:t xml:space="preserve">The 2006 Tour was registered as a 2.1 category international race on the UCI Europe Tour. As such, in addition to British Cycling requirements, the 2006 Tour organisers would also have had to abide by any relevant rules, regulations or guidance provided by the UCI </w:t>
      </w:r>
      <w:r w:rsidR="003704FA">
        <w:rPr>
          <w:rFonts w:cs="Arial"/>
        </w:rPr>
        <w:t>in relation to</w:t>
      </w:r>
      <w:r w:rsidRPr="00FF350C">
        <w:rPr>
          <w:rFonts w:cs="Arial"/>
        </w:rPr>
        <w:t xml:space="preserve"> the race.</w:t>
      </w:r>
      <w:r w:rsidRPr="00FF350C">
        <w:rPr>
          <w:rStyle w:val="FootnoteReference"/>
          <w:rFonts w:cs="Arial"/>
        </w:rPr>
        <w:footnoteReference w:id="54"/>
      </w:r>
      <w:r w:rsidR="00C31B22">
        <w:rPr>
          <w:rFonts w:cs="Arial"/>
        </w:rPr>
        <w:t xml:space="preserve"> </w:t>
      </w:r>
      <w:r w:rsidRPr="00FF350C">
        <w:rPr>
          <w:rFonts w:cs="Arial"/>
        </w:rPr>
        <w:t xml:space="preserve">The key document in this regard is the </w:t>
      </w:r>
      <w:r w:rsidR="00D209B7">
        <w:rPr>
          <w:rFonts w:cs="Arial"/>
        </w:rPr>
        <w:t xml:space="preserve">UCI’s </w:t>
      </w:r>
      <w:r w:rsidRPr="00527E36">
        <w:rPr>
          <w:rFonts w:cs="Arial"/>
          <w:i/>
        </w:rPr>
        <w:t>Organiser’s Guide to Road Events</w:t>
      </w:r>
      <w:r w:rsidRPr="00FF350C">
        <w:rPr>
          <w:rFonts w:cs="Arial"/>
        </w:rPr>
        <w:t xml:space="preserve"> (the </w:t>
      </w:r>
      <w:r w:rsidR="00527E36">
        <w:rPr>
          <w:rFonts w:cs="Arial"/>
        </w:rPr>
        <w:t>‘</w:t>
      </w:r>
      <w:r w:rsidRPr="00FF350C">
        <w:rPr>
          <w:rFonts w:cs="Arial"/>
        </w:rPr>
        <w:t>UCI Guide</w:t>
      </w:r>
      <w:r w:rsidR="00527E36">
        <w:rPr>
          <w:rFonts w:cs="Arial"/>
        </w:rPr>
        <w:t>’</w:t>
      </w:r>
      <w:r w:rsidRPr="00FF350C">
        <w:rPr>
          <w:rFonts w:cs="Arial"/>
        </w:rPr>
        <w:t>).</w:t>
      </w:r>
      <w:r w:rsidRPr="00FF350C">
        <w:rPr>
          <w:rStyle w:val="FootnoteReference"/>
          <w:rFonts w:cs="Arial"/>
        </w:rPr>
        <w:footnoteReference w:id="55"/>
      </w:r>
      <w:r w:rsidRPr="00FF350C">
        <w:rPr>
          <w:rFonts w:cs="Arial"/>
        </w:rPr>
        <w:t xml:space="preserve"> This contains a significant amount of guidance for race organisers particularly regarding the management of safety.</w:t>
      </w:r>
      <w:r w:rsidRPr="00FF350C">
        <w:rPr>
          <w:rStyle w:val="FootnoteReference"/>
          <w:rFonts w:cs="Arial"/>
        </w:rPr>
        <w:footnoteReference w:id="56"/>
      </w:r>
      <w:r w:rsidRPr="00FF350C">
        <w:rPr>
          <w:rFonts w:cs="Arial"/>
        </w:rPr>
        <w:t xml:space="preserve"> In particular it sets out precise guidance – through the use of detailed graphical representations of possible race scenarios and site maps –</w:t>
      </w:r>
      <w:r w:rsidR="00D209B7">
        <w:rPr>
          <w:rFonts w:cs="Arial"/>
        </w:rPr>
        <w:t xml:space="preserve"> regarding</w:t>
      </w:r>
      <w:r w:rsidR="003704FA">
        <w:rPr>
          <w:rFonts w:cs="Arial"/>
        </w:rPr>
        <w:t xml:space="preserve"> the use of road closures as well as</w:t>
      </w:r>
      <w:r w:rsidRPr="00FF350C">
        <w:rPr>
          <w:rFonts w:cs="Arial"/>
        </w:rPr>
        <w:t xml:space="preserve"> the responsibilities of marshals and various officials within the race convoy to ensure competitor and spectator safety.</w:t>
      </w:r>
      <w:r w:rsidRPr="00FF350C">
        <w:rPr>
          <w:rStyle w:val="FootnoteReference"/>
          <w:rFonts w:cs="Arial"/>
        </w:rPr>
        <w:footnoteReference w:id="57"/>
      </w:r>
      <w:r w:rsidRPr="00FF350C">
        <w:rPr>
          <w:rFonts w:cs="Arial"/>
        </w:rPr>
        <w:t xml:space="preserve"> </w:t>
      </w:r>
    </w:p>
    <w:p w14:paraId="7757B55A" w14:textId="77777777" w:rsidR="00C4583A" w:rsidRPr="00FF350C" w:rsidRDefault="00C4583A" w:rsidP="00C4583A">
      <w:pPr>
        <w:spacing w:after="0" w:line="240" w:lineRule="auto"/>
        <w:jc w:val="both"/>
        <w:rPr>
          <w:rFonts w:cs="Arial"/>
        </w:rPr>
      </w:pPr>
    </w:p>
    <w:p w14:paraId="5E92764F" w14:textId="484CFF2C" w:rsidR="00C4583A" w:rsidRPr="00FF350C" w:rsidRDefault="00C31B22" w:rsidP="00C4583A">
      <w:pPr>
        <w:spacing w:after="120" w:line="240" w:lineRule="auto"/>
        <w:jc w:val="both"/>
        <w:rPr>
          <w:rFonts w:cs="Arial"/>
        </w:rPr>
      </w:pPr>
      <w:r>
        <w:rPr>
          <w:rFonts w:cs="Arial"/>
        </w:rPr>
        <w:t>T</w:t>
      </w:r>
      <w:r w:rsidR="00C4583A" w:rsidRPr="00FF350C">
        <w:rPr>
          <w:rFonts w:cs="Arial"/>
        </w:rPr>
        <w:t xml:space="preserve">he document </w:t>
      </w:r>
      <w:r>
        <w:rPr>
          <w:rFonts w:cs="Arial"/>
        </w:rPr>
        <w:t xml:space="preserve">also </w:t>
      </w:r>
      <w:r w:rsidR="00C4583A" w:rsidRPr="00FF350C">
        <w:rPr>
          <w:rFonts w:cs="Arial"/>
        </w:rPr>
        <w:t>establishes a number of important mandatory requirements:</w:t>
      </w:r>
    </w:p>
    <w:p w14:paraId="33D18D0A" w14:textId="77777777" w:rsidR="00C4583A" w:rsidRPr="00FF350C" w:rsidRDefault="00C4583A" w:rsidP="00B655A3">
      <w:pPr>
        <w:pStyle w:val="ListParagraph"/>
        <w:numPr>
          <w:ilvl w:val="0"/>
          <w:numId w:val="6"/>
        </w:numPr>
        <w:spacing w:after="0" w:line="240" w:lineRule="auto"/>
        <w:jc w:val="both"/>
        <w:rPr>
          <w:rFonts w:cs="Arial"/>
        </w:rPr>
      </w:pPr>
      <w:r w:rsidRPr="00FF350C">
        <w:rPr>
          <w:rFonts w:cs="Arial"/>
        </w:rPr>
        <w:t>Race organisers should be affiliated to a National Federation;</w:t>
      </w:r>
    </w:p>
    <w:p w14:paraId="091C9865" w14:textId="77777777" w:rsidR="00C4583A" w:rsidRPr="00FF350C" w:rsidRDefault="00C4583A" w:rsidP="00B655A3">
      <w:pPr>
        <w:pStyle w:val="ListParagraph"/>
        <w:numPr>
          <w:ilvl w:val="0"/>
          <w:numId w:val="6"/>
        </w:numPr>
        <w:spacing w:after="0" w:line="240" w:lineRule="auto"/>
        <w:jc w:val="both"/>
        <w:rPr>
          <w:rFonts w:cs="Arial"/>
        </w:rPr>
      </w:pPr>
      <w:r w:rsidRPr="00FF350C">
        <w:rPr>
          <w:rFonts w:cs="Arial"/>
        </w:rPr>
        <w:t>Any application for a race to be registered on the UCI international calendar must be made to the relevant National Federation which passes the application on to the UCI for approval;</w:t>
      </w:r>
    </w:p>
    <w:p w14:paraId="290F136A" w14:textId="77777777" w:rsidR="00C4583A" w:rsidRPr="00FF350C" w:rsidRDefault="00C4583A" w:rsidP="00B655A3">
      <w:pPr>
        <w:pStyle w:val="ListParagraph"/>
        <w:numPr>
          <w:ilvl w:val="0"/>
          <w:numId w:val="6"/>
        </w:numPr>
        <w:spacing w:after="40" w:line="240" w:lineRule="auto"/>
        <w:ind w:left="714" w:hanging="357"/>
        <w:contextualSpacing w:val="0"/>
        <w:jc w:val="both"/>
        <w:rPr>
          <w:rFonts w:cs="Arial"/>
        </w:rPr>
      </w:pPr>
      <w:r w:rsidRPr="00FF350C">
        <w:rPr>
          <w:rFonts w:cs="Arial"/>
        </w:rPr>
        <w:t>Where an event is registered, the organiser should:</w:t>
      </w:r>
    </w:p>
    <w:p w14:paraId="4268903E" w14:textId="77777777" w:rsidR="00C4583A" w:rsidRPr="00FF350C" w:rsidRDefault="00C4583A" w:rsidP="00B655A3">
      <w:pPr>
        <w:pStyle w:val="ListParagraph"/>
        <w:numPr>
          <w:ilvl w:val="1"/>
          <w:numId w:val="6"/>
        </w:numPr>
        <w:spacing w:after="0" w:line="240" w:lineRule="auto"/>
        <w:jc w:val="both"/>
        <w:rPr>
          <w:rFonts w:cs="Arial"/>
        </w:rPr>
      </w:pPr>
      <w:r w:rsidRPr="00FF350C">
        <w:rPr>
          <w:rFonts w:cs="Arial"/>
        </w:rPr>
        <w:t>Ensure the event complies with all relevant UCI rules;</w:t>
      </w:r>
    </w:p>
    <w:p w14:paraId="40725FFB" w14:textId="77777777" w:rsidR="00C4583A" w:rsidRPr="00FF350C" w:rsidRDefault="00C4583A" w:rsidP="00B655A3">
      <w:pPr>
        <w:pStyle w:val="ListParagraph"/>
        <w:numPr>
          <w:ilvl w:val="1"/>
          <w:numId w:val="6"/>
        </w:numPr>
        <w:spacing w:after="0" w:line="240" w:lineRule="auto"/>
        <w:jc w:val="both"/>
        <w:rPr>
          <w:rFonts w:cs="Arial"/>
        </w:rPr>
      </w:pPr>
      <w:r w:rsidRPr="00FF350C">
        <w:rPr>
          <w:rFonts w:cs="Arial"/>
        </w:rPr>
        <w:t>Ensure the event complies with applicable national laws or regulations;</w:t>
      </w:r>
    </w:p>
    <w:p w14:paraId="7ED908A1" w14:textId="77777777" w:rsidR="00C4583A" w:rsidRPr="00FF350C" w:rsidRDefault="00C4583A" w:rsidP="00B655A3">
      <w:pPr>
        <w:pStyle w:val="ListParagraph"/>
        <w:numPr>
          <w:ilvl w:val="1"/>
          <w:numId w:val="6"/>
        </w:numPr>
        <w:spacing w:after="0" w:line="240" w:lineRule="auto"/>
        <w:jc w:val="both"/>
        <w:rPr>
          <w:rFonts w:cs="Arial"/>
        </w:rPr>
      </w:pPr>
      <w:r w:rsidRPr="00FF350C">
        <w:rPr>
          <w:rFonts w:cs="Arial"/>
        </w:rPr>
        <w:t xml:space="preserve">Allow an International </w:t>
      </w:r>
      <w:proofErr w:type="spellStart"/>
      <w:r w:rsidRPr="00FF350C">
        <w:rPr>
          <w:rFonts w:cs="Arial"/>
        </w:rPr>
        <w:t>Commissaire</w:t>
      </w:r>
      <w:proofErr w:type="spellEnd"/>
      <w:r w:rsidRPr="00FF350C">
        <w:rPr>
          <w:rFonts w:cs="Arial"/>
        </w:rPr>
        <w:t xml:space="preserve"> to monitor the race on behalf of the UCI;</w:t>
      </w:r>
    </w:p>
    <w:p w14:paraId="672D10A2" w14:textId="77777777" w:rsidR="00C4583A" w:rsidRPr="00FF350C" w:rsidRDefault="00C4583A" w:rsidP="00B655A3">
      <w:pPr>
        <w:pStyle w:val="ListParagraph"/>
        <w:numPr>
          <w:ilvl w:val="1"/>
          <w:numId w:val="6"/>
        </w:numPr>
        <w:spacing w:after="0" w:line="240" w:lineRule="auto"/>
        <w:jc w:val="both"/>
        <w:rPr>
          <w:rFonts w:cs="Arial"/>
        </w:rPr>
      </w:pPr>
      <w:r w:rsidRPr="00FF350C">
        <w:rPr>
          <w:rFonts w:cs="Arial"/>
        </w:rPr>
        <w:t>Take out insurance and name the UCI as co-insured so as to cover any potential claims against the UCI in relation to the event.</w:t>
      </w:r>
      <w:r w:rsidRPr="00FF350C">
        <w:rPr>
          <w:rStyle w:val="FootnoteReference"/>
          <w:rFonts w:cs="Arial"/>
        </w:rPr>
        <w:footnoteReference w:id="58"/>
      </w:r>
    </w:p>
    <w:p w14:paraId="46E3F257" w14:textId="77777777" w:rsidR="00C4583A" w:rsidRPr="00FF350C" w:rsidRDefault="00C4583A" w:rsidP="00C4583A">
      <w:pPr>
        <w:spacing w:after="0" w:line="240" w:lineRule="auto"/>
        <w:jc w:val="both"/>
        <w:rPr>
          <w:rFonts w:cs="Arial"/>
        </w:rPr>
      </w:pPr>
    </w:p>
    <w:p w14:paraId="431D1B85" w14:textId="5E309CA8" w:rsidR="00C4583A" w:rsidRDefault="00C4583A" w:rsidP="00C4583A">
      <w:pPr>
        <w:spacing w:after="0" w:line="240" w:lineRule="auto"/>
        <w:jc w:val="both"/>
        <w:rPr>
          <w:rFonts w:cs="Arial"/>
        </w:rPr>
      </w:pPr>
      <w:r w:rsidRPr="00FF350C">
        <w:rPr>
          <w:rFonts w:cs="Arial"/>
        </w:rPr>
        <w:t>The importance of these mandatory measures is that they bind the UCI into a relationship with the event organiser and the National Governing Body (NGB). This has significance in that it could provide grounds for extending the scope of any legal liability to the UCI.</w:t>
      </w:r>
      <w:r w:rsidRPr="00FF350C">
        <w:rPr>
          <w:rStyle w:val="FootnoteReference"/>
          <w:rFonts w:cs="Arial"/>
        </w:rPr>
        <w:footnoteReference w:id="59"/>
      </w:r>
      <w:r w:rsidRPr="00FF350C">
        <w:rPr>
          <w:rFonts w:cs="Arial"/>
        </w:rPr>
        <w:t xml:space="preserve"> As with the preceding discussion, given that it was a registered race on the UCI calendar it seems safe to assume that the 2006 Tour of Britain complied with the mandatory requirements of the UCI Guide and that the organisers had taken due account of the relevant guidance in relation to safety matters.</w:t>
      </w:r>
    </w:p>
    <w:p w14:paraId="199C4EA8" w14:textId="77777777" w:rsidR="00C4583A" w:rsidRPr="00FF350C" w:rsidRDefault="00C4583A" w:rsidP="00C4583A">
      <w:pPr>
        <w:spacing w:after="0" w:line="240" w:lineRule="auto"/>
        <w:jc w:val="both"/>
        <w:rPr>
          <w:rFonts w:cs="Arial"/>
        </w:rPr>
      </w:pPr>
    </w:p>
    <w:p w14:paraId="4EB58852" w14:textId="77777777" w:rsidR="00C4583A" w:rsidRDefault="00C4583A" w:rsidP="00C4583A">
      <w:pPr>
        <w:spacing w:after="0" w:line="240" w:lineRule="auto"/>
        <w:jc w:val="both"/>
        <w:rPr>
          <w:rFonts w:cs="Arial"/>
          <w:b/>
        </w:rPr>
      </w:pPr>
    </w:p>
    <w:p w14:paraId="661FF620" w14:textId="77777777" w:rsidR="002815CE" w:rsidRPr="00FF350C" w:rsidRDefault="002815CE" w:rsidP="00C4583A">
      <w:pPr>
        <w:spacing w:after="0" w:line="240" w:lineRule="auto"/>
        <w:jc w:val="both"/>
        <w:rPr>
          <w:rFonts w:cs="Arial"/>
          <w:b/>
        </w:rPr>
      </w:pPr>
    </w:p>
    <w:p w14:paraId="253B84D0" w14:textId="64437972" w:rsidR="00C4583A" w:rsidRPr="00C4583A" w:rsidRDefault="008000E3" w:rsidP="00C4583A">
      <w:pPr>
        <w:spacing w:after="120" w:line="240" w:lineRule="auto"/>
        <w:jc w:val="both"/>
        <w:rPr>
          <w:rFonts w:cs="Arial"/>
          <w:b/>
          <w:sz w:val="24"/>
          <w:szCs w:val="24"/>
        </w:rPr>
      </w:pPr>
      <w:r>
        <w:rPr>
          <w:rFonts w:cs="Arial"/>
          <w:b/>
          <w:sz w:val="24"/>
          <w:szCs w:val="24"/>
        </w:rPr>
        <w:t xml:space="preserve">THE ‘LIVE’ EVENT: </w:t>
      </w:r>
      <w:r w:rsidR="00C4583A" w:rsidRPr="00C4583A">
        <w:rPr>
          <w:rFonts w:cs="Arial"/>
          <w:b/>
          <w:sz w:val="24"/>
          <w:szCs w:val="24"/>
        </w:rPr>
        <w:t>WHAT HAPPENED IN PRACTICE?</w:t>
      </w:r>
    </w:p>
    <w:p w14:paraId="26C2673C" w14:textId="1B89AF2E" w:rsidR="00C4583A" w:rsidRPr="00FF350C" w:rsidRDefault="00C4583A" w:rsidP="00C4583A">
      <w:pPr>
        <w:spacing w:after="0" w:line="240" w:lineRule="auto"/>
        <w:jc w:val="both"/>
        <w:rPr>
          <w:rFonts w:cs="Arial"/>
        </w:rPr>
      </w:pPr>
      <w:r w:rsidRPr="00FF350C">
        <w:rPr>
          <w:rFonts w:cs="Arial"/>
        </w:rPr>
        <w:t xml:space="preserve">The 2006 Tour of Britain </w:t>
      </w:r>
      <w:r w:rsidR="00D209B7">
        <w:rPr>
          <w:rFonts w:cs="Arial"/>
        </w:rPr>
        <w:t>ran from</w:t>
      </w:r>
      <w:r w:rsidRPr="00FF350C">
        <w:rPr>
          <w:rFonts w:cs="Arial"/>
        </w:rPr>
        <w:t xml:space="preserve"> 29 August-3 September and consisted of six stages covering 870 kilometres in total.</w:t>
      </w:r>
      <w:r w:rsidRPr="00FF350C">
        <w:rPr>
          <w:rStyle w:val="FootnoteReference"/>
          <w:rFonts w:cs="Arial"/>
        </w:rPr>
        <w:footnoteReference w:id="60"/>
      </w:r>
      <w:r w:rsidRPr="00FF350C">
        <w:rPr>
          <w:rFonts w:cs="Arial"/>
        </w:rPr>
        <w:t xml:space="preserve"> The race began in the Scottish borders, took in the Pennines and the Kent countryside and finished with a showpiece stage in central London.</w:t>
      </w:r>
      <w:r w:rsidRPr="00FF350C">
        <w:rPr>
          <w:rStyle w:val="FootnoteReference"/>
          <w:rFonts w:cs="Arial"/>
        </w:rPr>
        <w:footnoteReference w:id="61"/>
      </w:r>
      <w:r w:rsidRPr="00FF350C">
        <w:rPr>
          <w:rFonts w:cs="Arial"/>
        </w:rPr>
        <w:t xml:space="preserve"> The intention behind the final stage was in part to act as a warm</w:t>
      </w:r>
      <w:r w:rsidR="00D209B7">
        <w:rPr>
          <w:rFonts w:cs="Arial"/>
        </w:rPr>
        <w:t>-</w:t>
      </w:r>
      <w:r w:rsidRPr="00FF350C">
        <w:rPr>
          <w:rFonts w:cs="Arial"/>
        </w:rPr>
        <w:t>up for the 2007 Tour de France which was due to start in London.</w:t>
      </w:r>
      <w:r w:rsidRPr="00FF350C">
        <w:rPr>
          <w:rStyle w:val="FootnoteReference"/>
          <w:rFonts w:cs="Arial"/>
        </w:rPr>
        <w:footnoteReference w:id="62"/>
      </w:r>
    </w:p>
    <w:p w14:paraId="4AF9445D" w14:textId="77777777" w:rsidR="00C31B22" w:rsidRDefault="00C31B22" w:rsidP="00C4583A">
      <w:pPr>
        <w:spacing w:after="0" w:line="240" w:lineRule="auto"/>
        <w:jc w:val="both"/>
        <w:rPr>
          <w:rFonts w:cs="Arial"/>
        </w:rPr>
      </w:pPr>
    </w:p>
    <w:p w14:paraId="7DE90B04" w14:textId="34C827F5" w:rsidR="00C31B22" w:rsidRDefault="00C4583A" w:rsidP="00C4583A">
      <w:pPr>
        <w:spacing w:after="0" w:line="240" w:lineRule="auto"/>
        <w:jc w:val="both"/>
        <w:rPr>
          <w:rFonts w:cs="Arial"/>
        </w:rPr>
      </w:pPr>
      <w:r w:rsidRPr="00FF350C">
        <w:rPr>
          <w:rFonts w:cs="Arial"/>
        </w:rPr>
        <w:t>Three stages in particular were marked by serious safety incidents which highlighted deficiencies in the way in which safety risks were managed in the ‘live’ event environment.</w:t>
      </w:r>
      <w:r w:rsidR="00C31B22">
        <w:rPr>
          <w:rFonts w:cs="Arial"/>
        </w:rPr>
        <w:t xml:space="preserve"> </w:t>
      </w:r>
      <w:r w:rsidRPr="00FF350C">
        <w:rPr>
          <w:rFonts w:cs="Arial"/>
        </w:rPr>
        <w:t>On Stage 3 (Bradford-Sheffield), the rolling road closures were unable to prevent non-race traffic from coming into contact with riders as the race entered into Sheffield. While fortunately no accidents or injuries resulted, a number of riders complained of the danger and one claimed he ‘nearly got run over five times’ by cars which had penetrated the safety cordon provided by police and race marshals.</w:t>
      </w:r>
      <w:r w:rsidRPr="00FF350C">
        <w:rPr>
          <w:rStyle w:val="FootnoteReference"/>
          <w:rFonts w:cs="Arial"/>
        </w:rPr>
        <w:footnoteReference w:id="63"/>
      </w:r>
      <w:r w:rsidR="00C31B22">
        <w:rPr>
          <w:rFonts w:cs="Arial"/>
        </w:rPr>
        <w:t xml:space="preserve"> </w:t>
      </w:r>
    </w:p>
    <w:p w14:paraId="0EF418AA" w14:textId="77777777" w:rsidR="00C31B22" w:rsidRDefault="00C31B22" w:rsidP="00C4583A">
      <w:pPr>
        <w:spacing w:after="0" w:line="240" w:lineRule="auto"/>
        <w:jc w:val="both"/>
        <w:rPr>
          <w:rFonts w:cs="Arial"/>
        </w:rPr>
      </w:pPr>
    </w:p>
    <w:p w14:paraId="76568CA6" w14:textId="70588506" w:rsidR="00C4583A" w:rsidRPr="00FF350C" w:rsidRDefault="00C4583A" w:rsidP="00C4583A">
      <w:pPr>
        <w:spacing w:after="0" w:line="240" w:lineRule="auto"/>
        <w:jc w:val="both"/>
        <w:rPr>
          <w:rFonts w:cs="Arial"/>
        </w:rPr>
      </w:pPr>
      <w:r w:rsidRPr="00FF350C">
        <w:rPr>
          <w:rFonts w:cs="Arial"/>
        </w:rPr>
        <w:t>On Stage 5 (Rochester-Canterbury), the peloton was directed off the race route into heavy traffic. Although the peloton was eventually directed back on course, a number of riders subsequently staged a ‘go slow’ protest at the perceived lack of protection provided by the race organisers.</w:t>
      </w:r>
      <w:r w:rsidRPr="00FF350C">
        <w:rPr>
          <w:rStyle w:val="FootnoteReference"/>
          <w:rFonts w:cs="Arial"/>
        </w:rPr>
        <w:footnoteReference w:id="64"/>
      </w:r>
    </w:p>
    <w:p w14:paraId="715EA56D" w14:textId="77777777" w:rsidR="00C4583A" w:rsidRPr="00FF350C" w:rsidRDefault="00C4583A" w:rsidP="00C4583A">
      <w:pPr>
        <w:spacing w:after="0" w:line="240" w:lineRule="auto"/>
        <w:jc w:val="both"/>
        <w:rPr>
          <w:rFonts w:cs="Arial"/>
        </w:rPr>
      </w:pPr>
    </w:p>
    <w:p w14:paraId="56FD40CE" w14:textId="5C4460CA" w:rsidR="00C4583A" w:rsidRDefault="00C4583A" w:rsidP="00C4583A">
      <w:pPr>
        <w:spacing w:after="0" w:line="240" w:lineRule="auto"/>
        <w:jc w:val="both"/>
        <w:rPr>
          <w:rFonts w:cs="Arial"/>
        </w:rPr>
      </w:pPr>
      <w:r w:rsidRPr="00FF350C">
        <w:rPr>
          <w:rFonts w:cs="Arial"/>
        </w:rPr>
        <w:t xml:space="preserve">On Stage 6 (Greenwich-central London), a police motorcyclist and a race marshal (also on a motorcycle) collided on entry to the race convoy diversion zone </w:t>
      </w:r>
      <w:r w:rsidR="005D401E" w:rsidRPr="005D401E">
        <w:rPr>
          <w:rFonts w:cs="Arial"/>
        </w:rPr>
        <w:t xml:space="preserve">on the Mall </w:t>
      </w:r>
      <w:r w:rsidRPr="00FF350C">
        <w:rPr>
          <w:rFonts w:cs="Arial"/>
        </w:rPr>
        <w:t>and crashed into spectators who were standing behind safety barriers. Both the police escort rider and marshal were injured along with spectators. Five people were taken to hospital, two of whom sustained fractured ankles.</w:t>
      </w:r>
      <w:r w:rsidRPr="00FF350C">
        <w:rPr>
          <w:rStyle w:val="FootnoteReference"/>
          <w:rFonts w:cs="Arial"/>
        </w:rPr>
        <w:footnoteReference w:id="65"/>
      </w:r>
    </w:p>
    <w:p w14:paraId="2FFBD80E" w14:textId="77777777" w:rsidR="00C4583A" w:rsidRDefault="00C4583A" w:rsidP="00C4583A">
      <w:pPr>
        <w:spacing w:after="0" w:line="240" w:lineRule="auto"/>
        <w:jc w:val="both"/>
        <w:rPr>
          <w:rFonts w:cs="Arial"/>
        </w:rPr>
      </w:pPr>
    </w:p>
    <w:p w14:paraId="0C12486A" w14:textId="4BB38D7A" w:rsidR="00D209B7" w:rsidRDefault="00C4583A" w:rsidP="00C4583A">
      <w:pPr>
        <w:spacing w:after="0" w:line="240" w:lineRule="auto"/>
        <w:jc w:val="both"/>
        <w:rPr>
          <w:rFonts w:cs="Arial"/>
        </w:rPr>
      </w:pPr>
      <w:r w:rsidRPr="00FF350C">
        <w:rPr>
          <w:rFonts w:cs="Arial"/>
        </w:rPr>
        <w:t xml:space="preserve">These incidents highlight that, even where safety risks are identified </w:t>
      </w:r>
      <w:r w:rsidR="00785FD9">
        <w:rPr>
          <w:rFonts w:cs="Arial"/>
        </w:rPr>
        <w:t xml:space="preserve">and addressed </w:t>
      </w:r>
      <w:r w:rsidRPr="00FF350C">
        <w:rPr>
          <w:rFonts w:cs="Arial"/>
        </w:rPr>
        <w:t xml:space="preserve">in pre-event planning, </w:t>
      </w:r>
      <w:r w:rsidR="003704FA" w:rsidRPr="00785FD9">
        <w:rPr>
          <w:rFonts w:cs="Arial"/>
        </w:rPr>
        <w:t xml:space="preserve">the effectiveness of </w:t>
      </w:r>
      <w:r w:rsidR="00A54CEF" w:rsidRPr="00785FD9">
        <w:rPr>
          <w:rFonts w:cs="Arial"/>
        </w:rPr>
        <w:t>any</w:t>
      </w:r>
      <w:r w:rsidRPr="00785FD9">
        <w:rPr>
          <w:rFonts w:cs="Arial"/>
        </w:rPr>
        <w:t xml:space="preserve"> mitigation measures </w:t>
      </w:r>
      <w:r w:rsidR="003704FA" w:rsidRPr="00785FD9">
        <w:rPr>
          <w:rFonts w:cs="Arial"/>
        </w:rPr>
        <w:t>put in place</w:t>
      </w:r>
      <w:r w:rsidRPr="00A54CEF">
        <w:rPr>
          <w:rFonts w:cs="Arial"/>
        </w:rPr>
        <w:t xml:space="preserve"> </w:t>
      </w:r>
      <w:r w:rsidRPr="00FF350C">
        <w:rPr>
          <w:rFonts w:cs="Arial"/>
        </w:rPr>
        <w:t>needs careful c</w:t>
      </w:r>
      <w:r w:rsidR="003704FA">
        <w:rPr>
          <w:rFonts w:cs="Arial"/>
        </w:rPr>
        <w:t>onsideration and – if necessary</w:t>
      </w:r>
      <w:r w:rsidRPr="00FF350C">
        <w:rPr>
          <w:rFonts w:cs="Arial"/>
        </w:rPr>
        <w:t xml:space="preserve"> </w:t>
      </w:r>
      <w:r w:rsidR="003704FA">
        <w:rPr>
          <w:rFonts w:cs="Arial"/>
        </w:rPr>
        <w:t xml:space="preserve">– </w:t>
      </w:r>
      <w:r w:rsidRPr="00FF350C">
        <w:rPr>
          <w:rFonts w:cs="Arial"/>
        </w:rPr>
        <w:t>review in light of experience. This is of particular importance where the mitigation measures rely on human intervention and where the relev</w:t>
      </w:r>
      <w:r w:rsidR="00785FD9">
        <w:rPr>
          <w:rFonts w:cs="Arial"/>
        </w:rPr>
        <w:t>ant event staff require specialist</w:t>
      </w:r>
      <w:r w:rsidRPr="00FF350C">
        <w:rPr>
          <w:rFonts w:cs="Arial"/>
        </w:rPr>
        <w:t xml:space="preserve"> technical skills </w:t>
      </w:r>
      <w:r w:rsidR="003704FA">
        <w:rPr>
          <w:rFonts w:cs="Arial"/>
        </w:rPr>
        <w:t>or exper</w:t>
      </w:r>
      <w:r w:rsidR="00785FD9">
        <w:rPr>
          <w:rFonts w:cs="Arial"/>
        </w:rPr>
        <w:t>tise</w:t>
      </w:r>
      <w:r w:rsidR="003704FA">
        <w:rPr>
          <w:rFonts w:cs="Arial"/>
        </w:rPr>
        <w:t xml:space="preserve"> to carry out their</w:t>
      </w:r>
      <w:r w:rsidRPr="00FF350C">
        <w:rPr>
          <w:rFonts w:cs="Arial"/>
        </w:rPr>
        <w:t xml:space="preserve"> duties.</w:t>
      </w:r>
    </w:p>
    <w:p w14:paraId="621036EB" w14:textId="77777777" w:rsidR="00D209B7" w:rsidRDefault="00D209B7" w:rsidP="00C4583A">
      <w:pPr>
        <w:spacing w:after="0" w:line="240" w:lineRule="auto"/>
        <w:jc w:val="both"/>
        <w:rPr>
          <w:rFonts w:cs="Arial"/>
        </w:rPr>
      </w:pPr>
    </w:p>
    <w:p w14:paraId="7C01D7AF" w14:textId="28AEEAA1" w:rsidR="00C4583A" w:rsidRPr="00FF350C" w:rsidRDefault="00C4583A" w:rsidP="00C4583A">
      <w:pPr>
        <w:spacing w:after="0" w:line="240" w:lineRule="auto"/>
        <w:jc w:val="both"/>
        <w:rPr>
          <w:rFonts w:cs="Arial"/>
        </w:rPr>
      </w:pPr>
      <w:r w:rsidRPr="00FF350C">
        <w:rPr>
          <w:rFonts w:cs="Arial"/>
        </w:rPr>
        <w:t>The clearest example of this can be seen in the rolling road closures which were put in place to reduce the risk to participants by eliminating any conflict between riders and non-race traffic. These rolling closures were not enforced adequately for two critical reasons.</w:t>
      </w:r>
      <w:r w:rsidR="00C31B22">
        <w:rPr>
          <w:rFonts w:cs="Arial"/>
        </w:rPr>
        <w:t xml:space="preserve"> </w:t>
      </w:r>
      <w:r w:rsidRPr="00FF350C">
        <w:rPr>
          <w:rFonts w:cs="Arial"/>
        </w:rPr>
        <w:t>Firstly, the police escort riders at the event had limited prior experience of escorting road cyc</w:t>
      </w:r>
      <w:r w:rsidR="00785FD9">
        <w:rPr>
          <w:rFonts w:cs="Arial"/>
        </w:rPr>
        <w:t xml:space="preserve">le races. An officer </w:t>
      </w:r>
      <w:r w:rsidR="00FC5EB5">
        <w:rPr>
          <w:rFonts w:cs="Arial"/>
        </w:rPr>
        <w:t xml:space="preserve">involved in </w:t>
      </w:r>
      <w:r w:rsidR="00785FD9">
        <w:rPr>
          <w:rFonts w:cs="Arial"/>
        </w:rPr>
        <w:t xml:space="preserve">escorting the race </w:t>
      </w:r>
      <w:r w:rsidR="00FC5EB5">
        <w:rPr>
          <w:rFonts w:cs="Arial"/>
        </w:rPr>
        <w:t>around</w:t>
      </w:r>
      <w:r w:rsidR="00785FD9">
        <w:rPr>
          <w:rFonts w:cs="Arial"/>
        </w:rPr>
        <w:t xml:space="preserve"> this period described the situation as</w:t>
      </w:r>
      <w:r w:rsidR="00FC5EB5">
        <w:rPr>
          <w:rFonts w:cs="Arial"/>
        </w:rPr>
        <w:t xml:space="preserve"> </w:t>
      </w:r>
      <w:r w:rsidR="00D209B7">
        <w:rPr>
          <w:rFonts w:cs="Arial"/>
        </w:rPr>
        <w:t>“…</w:t>
      </w:r>
      <w:r w:rsidR="00FC5EB5">
        <w:rPr>
          <w:rFonts w:cs="Arial"/>
        </w:rPr>
        <w:t xml:space="preserve">a bit </w:t>
      </w:r>
      <w:r w:rsidRPr="00FF350C">
        <w:rPr>
          <w:rFonts w:cs="Arial"/>
        </w:rPr>
        <w:t>disorganised, with no consistent approach</w:t>
      </w:r>
      <w:r w:rsidR="00FC5EB5">
        <w:rPr>
          <w:rFonts w:cs="Arial"/>
        </w:rPr>
        <w:t>.”</w:t>
      </w:r>
      <w:r w:rsidRPr="00FF350C">
        <w:rPr>
          <w:rStyle w:val="FootnoteReference"/>
          <w:rFonts w:cs="Arial"/>
        </w:rPr>
        <w:footnoteReference w:id="66"/>
      </w:r>
      <w:r w:rsidRPr="00FF350C">
        <w:rPr>
          <w:rFonts w:cs="Arial"/>
        </w:rPr>
        <w:t xml:space="preserve"> It </w:t>
      </w:r>
      <w:r w:rsidR="00430BDC">
        <w:rPr>
          <w:rFonts w:cs="Arial"/>
        </w:rPr>
        <w:t>is</w:t>
      </w:r>
      <w:r w:rsidRPr="00FF350C">
        <w:rPr>
          <w:rFonts w:cs="Arial"/>
        </w:rPr>
        <w:t xml:space="preserve"> quite likely that this was due to the </w:t>
      </w:r>
      <w:r w:rsidR="00D209B7">
        <w:rPr>
          <w:rFonts w:cs="Arial"/>
        </w:rPr>
        <w:t xml:space="preserve">hiatus in the race between 1999 and </w:t>
      </w:r>
      <w:r w:rsidRPr="00FF350C">
        <w:rPr>
          <w:rFonts w:cs="Arial"/>
        </w:rPr>
        <w:t>2004; during this period</w:t>
      </w:r>
      <w:r w:rsidR="00D209B7">
        <w:rPr>
          <w:rFonts w:cs="Arial"/>
        </w:rPr>
        <w:t>,</w:t>
      </w:r>
      <w:r w:rsidRPr="00FF350C">
        <w:rPr>
          <w:rFonts w:cs="Arial"/>
        </w:rPr>
        <w:t xml:space="preserve"> police expertise previously built up from escorting the race was almost certainly lost. Given the importance of the police escort riders and marshals in ensuring the effectiveness of rolling road closures</w:t>
      </w:r>
      <w:r w:rsidR="00C31B22">
        <w:rPr>
          <w:rFonts w:cs="Arial"/>
        </w:rPr>
        <w:t>,</w:t>
      </w:r>
      <w:r w:rsidRPr="00FF350C">
        <w:rPr>
          <w:rFonts w:cs="Arial"/>
        </w:rPr>
        <w:t xml:space="preserve"> this loss of expertise turned out to be a major problem in the ‘live’ race environment. It seems reasonable to conclude that this lack of technical skill and experience of escorting a race contributed directly to all three incidents and in particular to the crash on Stage 6.</w:t>
      </w:r>
    </w:p>
    <w:p w14:paraId="6DBC4B55" w14:textId="77777777" w:rsidR="00C4583A" w:rsidRPr="00FF350C" w:rsidRDefault="00C4583A" w:rsidP="00C4583A">
      <w:pPr>
        <w:spacing w:after="0" w:line="240" w:lineRule="auto"/>
        <w:jc w:val="both"/>
        <w:rPr>
          <w:rFonts w:cs="Arial"/>
        </w:rPr>
      </w:pPr>
    </w:p>
    <w:p w14:paraId="5BEAA204" w14:textId="77777777" w:rsidR="00C80582" w:rsidRDefault="00C4583A" w:rsidP="00C4583A">
      <w:pPr>
        <w:spacing w:after="0" w:line="240" w:lineRule="auto"/>
        <w:jc w:val="both"/>
        <w:rPr>
          <w:rFonts w:cs="Arial"/>
        </w:rPr>
      </w:pPr>
      <w:r w:rsidRPr="00FF350C">
        <w:rPr>
          <w:rFonts w:cs="Arial"/>
        </w:rPr>
        <w:t>Secondly, the 2006 Tour organisers were not able to call on a single team of police motorcyclists nor, similarly, a single team of experienced motorcycle race marshals. Instead, the organisers had to deal with each individual police constabulary across whose boundaries the race passed.</w:t>
      </w:r>
      <w:r w:rsidRPr="00FF350C">
        <w:rPr>
          <w:rStyle w:val="FootnoteReference"/>
          <w:rFonts w:cs="Arial"/>
        </w:rPr>
        <w:footnoteReference w:id="67"/>
      </w:r>
      <w:r w:rsidRPr="00FF350C">
        <w:rPr>
          <w:rFonts w:cs="Arial"/>
        </w:rPr>
        <w:t xml:space="preserve"> It is estimated that the 2006 Tour may have involved up to 12 different police constabularies.</w:t>
      </w:r>
      <w:r w:rsidRPr="00FF350C">
        <w:rPr>
          <w:rStyle w:val="FootnoteReference"/>
          <w:rFonts w:cs="Arial"/>
        </w:rPr>
        <w:footnoteReference w:id="68"/>
      </w:r>
      <w:r w:rsidRPr="00FF350C">
        <w:rPr>
          <w:rFonts w:cs="Arial"/>
        </w:rPr>
        <w:t xml:space="preserve"> As such</w:t>
      </w:r>
      <w:r w:rsidR="00C31B22">
        <w:rPr>
          <w:rFonts w:cs="Arial"/>
        </w:rPr>
        <w:t>,</w:t>
      </w:r>
      <w:r w:rsidRPr="00FF350C">
        <w:rPr>
          <w:rFonts w:cs="Arial"/>
        </w:rPr>
        <w:t xml:space="preserve"> each constabulary followed its own procedures and the police staff escorting the race varied each day.</w:t>
      </w:r>
      <w:r w:rsidRPr="00FF350C">
        <w:rPr>
          <w:rStyle w:val="FootnoteReference"/>
          <w:rFonts w:cs="Arial"/>
        </w:rPr>
        <w:footnoteReference w:id="69"/>
      </w:r>
      <w:r w:rsidRPr="00FF350C">
        <w:rPr>
          <w:rFonts w:cs="Arial"/>
        </w:rPr>
        <w:t xml:space="preserve"> Not only did this arrangement present a major logist</w:t>
      </w:r>
      <w:r w:rsidR="009366DD">
        <w:rPr>
          <w:rFonts w:cs="Arial"/>
        </w:rPr>
        <w:t>i</w:t>
      </w:r>
      <w:r w:rsidR="00C80582">
        <w:rPr>
          <w:rFonts w:cs="Arial"/>
        </w:rPr>
        <w:t>cal challenge to the organisers but</w:t>
      </w:r>
      <w:r w:rsidR="009366DD">
        <w:rPr>
          <w:rFonts w:cs="Arial"/>
        </w:rPr>
        <w:t xml:space="preserve"> from a safety perspective</w:t>
      </w:r>
      <w:r w:rsidRPr="00FF350C">
        <w:rPr>
          <w:rFonts w:cs="Arial"/>
        </w:rPr>
        <w:t xml:space="preserve"> it </w:t>
      </w:r>
      <w:r w:rsidR="009366DD">
        <w:rPr>
          <w:rFonts w:cs="Arial"/>
        </w:rPr>
        <w:t xml:space="preserve">also </w:t>
      </w:r>
      <w:r w:rsidRPr="00FF350C">
        <w:rPr>
          <w:rFonts w:cs="Arial"/>
        </w:rPr>
        <w:t>put an emphasis on ensuring the respective roles of police and marshals were clear</w:t>
      </w:r>
      <w:r w:rsidR="00C80582">
        <w:rPr>
          <w:rFonts w:cs="Arial"/>
        </w:rPr>
        <w:t xml:space="preserve"> on each day’s stage</w:t>
      </w:r>
      <w:r w:rsidRPr="00FF350C">
        <w:rPr>
          <w:rFonts w:cs="Arial"/>
        </w:rPr>
        <w:t xml:space="preserve">. </w:t>
      </w:r>
      <w:r w:rsidR="00C31B22">
        <w:rPr>
          <w:rFonts w:cs="Arial"/>
        </w:rPr>
        <w:t>I</w:t>
      </w:r>
      <w:r w:rsidRPr="00FF350C">
        <w:rPr>
          <w:rFonts w:cs="Arial"/>
        </w:rPr>
        <w:t>n practice</w:t>
      </w:r>
      <w:r w:rsidR="00C31B22">
        <w:rPr>
          <w:rFonts w:cs="Arial"/>
        </w:rPr>
        <w:t xml:space="preserve">, </w:t>
      </w:r>
      <w:r w:rsidRPr="00FF350C">
        <w:rPr>
          <w:rFonts w:cs="Arial"/>
        </w:rPr>
        <w:t xml:space="preserve">it appears </w:t>
      </w:r>
      <w:r w:rsidR="00C31B22">
        <w:rPr>
          <w:rFonts w:cs="Arial"/>
        </w:rPr>
        <w:t xml:space="preserve">that </w:t>
      </w:r>
      <w:r w:rsidRPr="00FF350C">
        <w:rPr>
          <w:rFonts w:cs="Arial"/>
        </w:rPr>
        <w:t xml:space="preserve">neither the police nor marshals </w:t>
      </w:r>
      <w:r w:rsidR="00C80582">
        <w:rPr>
          <w:rFonts w:cs="Arial"/>
        </w:rPr>
        <w:t>were</w:t>
      </w:r>
      <w:r w:rsidRPr="00FF350C">
        <w:rPr>
          <w:rFonts w:cs="Arial"/>
        </w:rPr>
        <w:t xml:space="preserve"> sure of their precise responsibi</w:t>
      </w:r>
      <w:r w:rsidR="00C80582">
        <w:rPr>
          <w:rFonts w:cs="Arial"/>
        </w:rPr>
        <w:t xml:space="preserve">lities within the race convoy with obvious consequences for the </w:t>
      </w:r>
      <w:r w:rsidRPr="00FF350C">
        <w:rPr>
          <w:rFonts w:cs="Arial"/>
        </w:rPr>
        <w:t>safety of participants and spectators along the route.</w:t>
      </w:r>
      <w:r w:rsidRPr="00FF350C">
        <w:rPr>
          <w:rStyle w:val="FootnoteReference"/>
          <w:rFonts w:cs="Arial"/>
        </w:rPr>
        <w:footnoteReference w:id="70"/>
      </w:r>
      <w:r w:rsidR="00C31B22">
        <w:rPr>
          <w:rFonts w:cs="Arial"/>
        </w:rPr>
        <w:t xml:space="preserve"> </w:t>
      </w:r>
    </w:p>
    <w:p w14:paraId="344420DD" w14:textId="77777777" w:rsidR="00C80582" w:rsidRDefault="00C80582" w:rsidP="00C4583A">
      <w:pPr>
        <w:spacing w:after="0" w:line="240" w:lineRule="auto"/>
        <w:jc w:val="both"/>
        <w:rPr>
          <w:rFonts w:cs="Arial"/>
        </w:rPr>
      </w:pPr>
    </w:p>
    <w:p w14:paraId="1FD52BC7" w14:textId="5BD2EA24" w:rsidR="00C4583A" w:rsidRDefault="00C4583A" w:rsidP="00C4583A">
      <w:pPr>
        <w:spacing w:after="0" w:line="240" w:lineRule="auto"/>
        <w:jc w:val="both"/>
        <w:rPr>
          <w:rFonts w:cs="Arial"/>
        </w:rPr>
      </w:pPr>
      <w:r w:rsidRPr="00FF350C">
        <w:rPr>
          <w:rFonts w:cs="Arial"/>
        </w:rPr>
        <w:t xml:space="preserve">In this respect it is </w:t>
      </w:r>
      <w:r w:rsidR="00C80582">
        <w:rPr>
          <w:rFonts w:cs="Arial"/>
        </w:rPr>
        <w:t>of</w:t>
      </w:r>
      <w:r w:rsidRPr="00FF350C">
        <w:rPr>
          <w:rFonts w:cs="Arial"/>
        </w:rPr>
        <w:t xml:space="preserve"> note that</w:t>
      </w:r>
      <w:r w:rsidR="00C80582">
        <w:rPr>
          <w:rFonts w:cs="Arial"/>
        </w:rPr>
        <w:t>,</w:t>
      </w:r>
      <w:r w:rsidRPr="00FF350C">
        <w:rPr>
          <w:rFonts w:cs="Arial"/>
        </w:rPr>
        <w:t xml:space="preserve"> since 2008, a single national police escort team of 28 motorcycle outriders has been in place.</w:t>
      </w:r>
      <w:r w:rsidRPr="00FF350C">
        <w:rPr>
          <w:rStyle w:val="FootnoteReference"/>
          <w:rFonts w:cs="Arial"/>
        </w:rPr>
        <w:footnoteReference w:id="71"/>
      </w:r>
      <w:r w:rsidRPr="00FF350C">
        <w:rPr>
          <w:rFonts w:cs="Arial"/>
        </w:rPr>
        <w:t xml:space="preserve"> This team has escorted the Tour of Britain for each subsequent year to date as well as the London 2012 Olympic Games. Furthermore, a single national motorcycle marshal team – the National Escort Group (NEG) – has been established with the aim of providing an accredited team of civilian marshals for cycle races held on public roads.</w:t>
      </w:r>
      <w:r w:rsidRPr="00FF350C">
        <w:rPr>
          <w:rStyle w:val="FootnoteReference"/>
          <w:rFonts w:cs="Arial"/>
        </w:rPr>
        <w:footnoteReference w:id="72"/>
      </w:r>
      <w:r w:rsidRPr="00FF350C">
        <w:rPr>
          <w:rFonts w:cs="Arial"/>
        </w:rPr>
        <w:t xml:space="preserve"> Although it is not possible to confirm precisely when the NEG was established, it seems probable that the events of the 2006 Tour precipitated the formation of these two groups.</w:t>
      </w:r>
    </w:p>
    <w:p w14:paraId="74775D6A" w14:textId="77777777" w:rsidR="00C4583A" w:rsidRDefault="00C4583A" w:rsidP="00C4583A">
      <w:pPr>
        <w:spacing w:after="0" w:line="240" w:lineRule="auto"/>
        <w:jc w:val="both"/>
        <w:rPr>
          <w:rFonts w:cs="Arial"/>
        </w:rPr>
      </w:pPr>
    </w:p>
    <w:p w14:paraId="4F915777" w14:textId="77777777" w:rsidR="00C4583A" w:rsidRDefault="00C4583A" w:rsidP="00C4583A">
      <w:pPr>
        <w:spacing w:after="0" w:line="240" w:lineRule="auto"/>
        <w:jc w:val="both"/>
        <w:rPr>
          <w:rFonts w:cs="Arial"/>
        </w:rPr>
      </w:pPr>
    </w:p>
    <w:p w14:paraId="0C00F071" w14:textId="77777777" w:rsidR="002815CE" w:rsidRDefault="002815CE" w:rsidP="00C4583A">
      <w:pPr>
        <w:spacing w:after="0" w:line="240" w:lineRule="auto"/>
        <w:jc w:val="both"/>
        <w:rPr>
          <w:rFonts w:cs="Arial"/>
        </w:rPr>
      </w:pPr>
    </w:p>
    <w:p w14:paraId="3F19387D" w14:textId="3076CF2E" w:rsidR="00C4583A" w:rsidRPr="00C4583A" w:rsidRDefault="00C4583A" w:rsidP="00C4583A">
      <w:pPr>
        <w:spacing w:after="120" w:line="240" w:lineRule="auto"/>
        <w:jc w:val="both"/>
        <w:rPr>
          <w:rFonts w:cs="Arial"/>
          <w:b/>
          <w:sz w:val="24"/>
        </w:rPr>
      </w:pPr>
      <w:r w:rsidRPr="00C4583A">
        <w:rPr>
          <w:rFonts w:cs="Arial"/>
          <w:b/>
          <w:sz w:val="24"/>
        </w:rPr>
        <w:t>LEGAL ISSUES ARISING</w:t>
      </w:r>
    </w:p>
    <w:p w14:paraId="137148DA" w14:textId="77777777" w:rsidR="00C4583A" w:rsidRDefault="00C4583A" w:rsidP="00C4583A">
      <w:pPr>
        <w:spacing w:after="0" w:line="240" w:lineRule="auto"/>
        <w:jc w:val="both"/>
        <w:rPr>
          <w:rFonts w:cs="Arial"/>
        </w:rPr>
      </w:pPr>
      <w:r w:rsidRPr="00FF350C">
        <w:rPr>
          <w:rFonts w:cs="Arial"/>
        </w:rPr>
        <w:t xml:space="preserve">Aside from the lessons learned in terms of safety management, the incidents at the 2006 Tour also raise some interesting issues in respect of the potential for extension of legal liability in two areas. </w:t>
      </w:r>
    </w:p>
    <w:p w14:paraId="6E74A872" w14:textId="77777777" w:rsidR="002815CE" w:rsidRDefault="002815CE" w:rsidP="00C4583A">
      <w:pPr>
        <w:spacing w:after="0" w:line="240" w:lineRule="auto"/>
        <w:jc w:val="both"/>
        <w:rPr>
          <w:rFonts w:cs="Arial"/>
        </w:rPr>
      </w:pPr>
    </w:p>
    <w:p w14:paraId="568990D1" w14:textId="512C80B3" w:rsidR="00C4583A" w:rsidRPr="00C43070" w:rsidRDefault="002815CE" w:rsidP="00C4583A">
      <w:pPr>
        <w:spacing w:after="120" w:line="240" w:lineRule="auto"/>
        <w:jc w:val="both"/>
        <w:rPr>
          <w:rFonts w:cs="Arial"/>
          <w:b/>
          <w:i/>
        </w:rPr>
      </w:pPr>
      <w:r w:rsidRPr="00C43070">
        <w:rPr>
          <w:rFonts w:cs="Arial"/>
          <w:b/>
          <w:i/>
        </w:rPr>
        <w:t xml:space="preserve">Extension of </w:t>
      </w:r>
      <w:r w:rsidR="00C43070">
        <w:rPr>
          <w:rFonts w:cs="Arial"/>
          <w:b/>
          <w:i/>
        </w:rPr>
        <w:t>s</w:t>
      </w:r>
      <w:r w:rsidRPr="00C43070">
        <w:rPr>
          <w:rFonts w:cs="Arial"/>
          <w:b/>
          <w:i/>
        </w:rPr>
        <w:t xml:space="preserve">tatutory </w:t>
      </w:r>
      <w:r w:rsidR="00C43070">
        <w:rPr>
          <w:rFonts w:cs="Arial"/>
          <w:b/>
          <w:i/>
        </w:rPr>
        <w:t>l</w:t>
      </w:r>
      <w:r w:rsidRPr="00C43070">
        <w:rPr>
          <w:rFonts w:cs="Arial"/>
          <w:b/>
          <w:i/>
        </w:rPr>
        <w:t>iability to Event Organisers under H</w:t>
      </w:r>
      <w:r w:rsidR="00C76120" w:rsidRPr="00C43070">
        <w:rPr>
          <w:rFonts w:cs="Arial"/>
          <w:b/>
          <w:i/>
        </w:rPr>
        <w:t>A</w:t>
      </w:r>
      <w:r w:rsidRPr="00C43070">
        <w:rPr>
          <w:rFonts w:cs="Arial"/>
          <w:b/>
          <w:i/>
        </w:rPr>
        <w:t>SAW and OLA</w:t>
      </w:r>
    </w:p>
    <w:p w14:paraId="7B70CE49" w14:textId="733AAE8B" w:rsidR="00C4583A" w:rsidRPr="00FF350C" w:rsidRDefault="00C4583A" w:rsidP="00C4583A">
      <w:pPr>
        <w:spacing w:after="0" w:line="240" w:lineRule="auto"/>
        <w:jc w:val="both"/>
        <w:rPr>
          <w:rFonts w:cs="Arial"/>
        </w:rPr>
      </w:pPr>
      <w:r w:rsidRPr="00FF350C">
        <w:rPr>
          <w:rFonts w:cs="Arial"/>
        </w:rPr>
        <w:t xml:space="preserve">Two factors distinguish the Tour from most other sporting events with respect to the statutory duties under </w:t>
      </w:r>
      <w:r w:rsidR="00FC5EB5">
        <w:rPr>
          <w:rFonts w:cs="Arial"/>
        </w:rPr>
        <w:t xml:space="preserve">the </w:t>
      </w:r>
      <w:r w:rsidRPr="00C31B22">
        <w:rPr>
          <w:rFonts w:cs="Arial"/>
          <w:i/>
        </w:rPr>
        <w:t>H</w:t>
      </w:r>
      <w:r w:rsidR="00FC5EB5">
        <w:rPr>
          <w:rFonts w:cs="Arial"/>
          <w:i/>
        </w:rPr>
        <w:t>ea</w:t>
      </w:r>
      <w:r w:rsidR="00132E83">
        <w:rPr>
          <w:rFonts w:cs="Arial"/>
          <w:i/>
        </w:rPr>
        <w:t>l</w:t>
      </w:r>
      <w:r w:rsidR="00FC5EB5">
        <w:rPr>
          <w:rFonts w:cs="Arial"/>
          <w:i/>
        </w:rPr>
        <w:t xml:space="preserve">th and Safety at Work Act 1974 </w:t>
      </w:r>
      <w:r w:rsidR="00FC5EB5">
        <w:rPr>
          <w:rFonts w:cs="Arial"/>
        </w:rPr>
        <w:t>a</w:t>
      </w:r>
      <w:r w:rsidRPr="00FF350C">
        <w:rPr>
          <w:rFonts w:cs="Arial"/>
        </w:rPr>
        <w:t>nd</w:t>
      </w:r>
      <w:r w:rsidR="00C31B22">
        <w:rPr>
          <w:rFonts w:cs="Arial"/>
        </w:rPr>
        <w:t xml:space="preserve"> the</w:t>
      </w:r>
      <w:r w:rsidRPr="00FF350C">
        <w:rPr>
          <w:rFonts w:cs="Arial"/>
        </w:rPr>
        <w:t xml:space="preserve"> </w:t>
      </w:r>
      <w:r w:rsidRPr="00C31B22">
        <w:rPr>
          <w:rFonts w:cs="Arial"/>
          <w:i/>
        </w:rPr>
        <w:t>O</w:t>
      </w:r>
      <w:r w:rsidR="00FC5EB5">
        <w:rPr>
          <w:rFonts w:cs="Arial"/>
          <w:i/>
        </w:rPr>
        <w:t xml:space="preserve">ccupiers Liability Act </w:t>
      </w:r>
      <w:r w:rsidR="00490332" w:rsidRPr="00FC5EB5">
        <w:rPr>
          <w:rFonts w:cs="Arial"/>
          <w:i/>
        </w:rPr>
        <w:t>1957</w:t>
      </w:r>
      <w:r w:rsidR="00132E83">
        <w:rPr>
          <w:rFonts w:cs="Arial"/>
          <w:i/>
        </w:rPr>
        <w:t xml:space="preserve"> </w:t>
      </w:r>
      <w:r w:rsidR="00132E83">
        <w:rPr>
          <w:rFonts w:cs="Arial"/>
        </w:rPr>
        <w:t xml:space="preserve">and </w:t>
      </w:r>
      <w:r w:rsidR="00490332" w:rsidRPr="00FC5EB5">
        <w:rPr>
          <w:rFonts w:cs="Arial"/>
          <w:i/>
        </w:rPr>
        <w:t>1984</w:t>
      </w:r>
      <w:r w:rsidR="00FC5EB5">
        <w:rPr>
          <w:rFonts w:cs="Arial"/>
        </w:rPr>
        <w:t>.</w:t>
      </w:r>
      <w:r w:rsidRPr="00FF350C">
        <w:rPr>
          <w:rFonts w:cs="Arial"/>
        </w:rPr>
        <w:t xml:space="preserve"> Firstly, the event is organised by a third party outside of the direct employment relationship between a rider and his team. Secondly</w:t>
      </w:r>
      <w:r w:rsidR="00C31B22">
        <w:rPr>
          <w:rFonts w:cs="Arial"/>
        </w:rPr>
        <w:t>,</w:t>
      </w:r>
      <w:r w:rsidRPr="00FF350C">
        <w:rPr>
          <w:rFonts w:cs="Arial"/>
        </w:rPr>
        <w:t xml:space="preserve"> the event takes place on public roads rather than in a purpose-built venue. Both these factors </w:t>
      </w:r>
      <w:r w:rsidR="00C31B22">
        <w:rPr>
          <w:rFonts w:cs="Arial"/>
        </w:rPr>
        <w:t xml:space="preserve">therefore </w:t>
      </w:r>
      <w:r w:rsidRPr="00FF350C">
        <w:rPr>
          <w:rFonts w:cs="Arial"/>
        </w:rPr>
        <w:t xml:space="preserve">complicate the standard employer-employee and occupier-visitor relationships that are contained in </w:t>
      </w:r>
      <w:r w:rsidRPr="00132E83">
        <w:rPr>
          <w:rFonts w:cs="Arial"/>
          <w:i/>
        </w:rPr>
        <w:t>H</w:t>
      </w:r>
      <w:r w:rsidR="00C31B22" w:rsidRPr="00132E83">
        <w:rPr>
          <w:rFonts w:cs="Arial"/>
          <w:i/>
        </w:rPr>
        <w:t>A</w:t>
      </w:r>
      <w:r w:rsidRPr="00132E83">
        <w:rPr>
          <w:rFonts w:cs="Arial"/>
          <w:i/>
        </w:rPr>
        <w:t>SAW</w:t>
      </w:r>
      <w:r w:rsidR="009366DD" w:rsidRPr="009366DD">
        <w:rPr>
          <w:rFonts w:cs="Arial"/>
          <w:i/>
        </w:rPr>
        <w:t xml:space="preserve"> </w:t>
      </w:r>
      <w:r w:rsidRPr="00FF350C">
        <w:rPr>
          <w:rFonts w:cs="Arial"/>
        </w:rPr>
        <w:t xml:space="preserve">and </w:t>
      </w:r>
      <w:r w:rsidRPr="00132E83">
        <w:rPr>
          <w:rFonts w:cs="Arial"/>
          <w:i/>
        </w:rPr>
        <w:t>OLA</w:t>
      </w:r>
      <w:r w:rsidR="009366DD" w:rsidRPr="009366DD">
        <w:rPr>
          <w:rFonts w:cs="Arial"/>
          <w:i/>
        </w:rPr>
        <w:t xml:space="preserve"> </w:t>
      </w:r>
      <w:r w:rsidR="00FC5EB5">
        <w:rPr>
          <w:rFonts w:cs="Arial"/>
        </w:rPr>
        <w:t>(</w:t>
      </w:r>
      <w:r w:rsidR="00FC5EB5" w:rsidRPr="00132E83">
        <w:rPr>
          <w:rFonts w:cs="Arial"/>
          <w:i/>
        </w:rPr>
        <w:t>1957</w:t>
      </w:r>
      <w:r w:rsidR="00FC5EB5">
        <w:rPr>
          <w:rFonts w:cs="Arial"/>
        </w:rPr>
        <w:t xml:space="preserve"> and </w:t>
      </w:r>
      <w:r w:rsidR="00FC5EB5" w:rsidRPr="00132E83">
        <w:rPr>
          <w:rFonts w:cs="Arial"/>
          <w:i/>
        </w:rPr>
        <w:t>1984</w:t>
      </w:r>
      <w:r w:rsidR="00FC5EB5">
        <w:rPr>
          <w:rFonts w:cs="Arial"/>
        </w:rPr>
        <w:t xml:space="preserve">) </w:t>
      </w:r>
      <w:r w:rsidRPr="00FF350C">
        <w:rPr>
          <w:rFonts w:cs="Arial"/>
        </w:rPr>
        <w:t xml:space="preserve">respectively. </w:t>
      </w:r>
    </w:p>
    <w:p w14:paraId="31A6AF0C" w14:textId="77777777" w:rsidR="00C4583A" w:rsidRPr="00FF350C" w:rsidRDefault="00C4583A" w:rsidP="00C4583A">
      <w:pPr>
        <w:spacing w:after="0" w:line="240" w:lineRule="auto"/>
        <w:jc w:val="both"/>
        <w:rPr>
          <w:rFonts w:cs="Arial"/>
        </w:rPr>
      </w:pPr>
    </w:p>
    <w:p w14:paraId="629621D2" w14:textId="3397FD62" w:rsidR="00C4583A" w:rsidRPr="00FF350C" w:rsidRDefault="00C4583A" w:rsidP="00C4583A">
      <w:pPr>
        <w:spacing w:after="0" w:line="240" w:lineRule="auto"/>
        <w:jc w:val="both"/>
        <w:rPr>
          <w:rFonts w:cs="Arial"/>
          <w:sz w:val="24"/>
        </w:rPr>
      </w:pPr>
      <w:r w:rsidRPr="00FF350C">
        <w:rPr>
          <w:rFonts w:cs="Arial"/>
        </w:rPr>
        <w:t xml:space="preserve">In terms of the </w:t>
      </w:r>
      <w:r w:rsidRPr="00132E83">
        <w:rPr>
          <w:rFonts w:cs="Arial"/>
          <w:i/>
        </w:rPr>
        <w:t>OLA</w:t>
      </w:r>
      <w:r w:rsidRPr="00FF350C">
        <w:rPr>
          <w:rFonts w:cs="Arial"/>
        </w:rPr>
        <w:t>, the question as to who precisely is the ‘occupier’ is in practice likely to be the relevant Local Authority since it is they who are the highway authority and permit</w:t>
      </w:r>
      <w:r w:rsidR="00C31B22">
        <w:rPr>
          <w:rFonts w:cs="Arial"/>
        </w:rPr>
        <w:t xml:space="preserve"> racing to be undertaken on it (</w:t>
      </w:r>
      <w:r w:rsidRPr="00FF350C">
        <w:rPr>
          <w:rFonts w:cs="Arial"/>
        </w:rPr>
        <w:t>albeit under the auspices of the event organiser</w:t>
      </w:r>
      <w:r w:rsidR="00C31B22">
        <w:rPr>
          <w:rFonts w:cs="Arial"/>
        </w:rPr>
        <w:t>)</w:t>
      </w:r>
      <w:r w:rsidRPr="00FF350C">
        <w:rPr>
          <w:rFonts w:cs="Arial"/>
        </w:rPr>
        <w:t>. In this context</w:t>
      </w:r>
      <w:r w:rsidR="00C31B22">
        <w:rPr>
          <w:rFonts w:cs="Arial"/>
        </w:rPr>
        <w:t>,</w:t>
      </w:r>
      <w:r w:rsidRPr="00FF350C">
        <w:rPr>
          <w:rFonts w:cs="Arial"/>
        </w:rPr>
        <w:t xml:space="preserve"> the duty would be on the Local Authority to ensure that the roads were in a sufficiently safe condition for the purposes of a road cycling event. However</w:t>
      </w:r>
      <w:r w:rsidR="00C43070">
        <w:rPr>
          <w:rFonts w:cs="Arial"/>
        </w:rPr>
        <w:t>,</w:t>
      </w:r>
      <w:r w:rsidRPr="00FF350C">
        <w:rPr>
          <w:rFonts w:cs="Arial"/>
        </w:rPr>
        <w:t xml:space="preserve"> given that that Local Authorities have a range of ongoing statutory duties in relation to maintenance of the highways and safety – and which apply to all road users – it seems </w:t>
      </w:r>
      <w:r w:rsidRPr="00FF350C">
        <w:rPr>
          <w:rFonts w:cs="Arial"/>
          <w:szCs w:val="20"/>
        </w:rPr>
        <w:t xml:space="preserve">likely that acting in accordance with these would be sufficient to withstand a claim under the </w:t>
      </w:r>
      <w:r w:rsidRPr="00C31B22">
        <w:rPr>
          <w:rFonts w:cs="Arial"/>
          <w:i/>
          <w:szCs w:val="20"/>
        </w:rPr>
        <w:t>OLA</w:t>
      </w:r>
      <w:r w:rsidRPr="00FF350C">
        <w:rPr>
          <w:rFonts w:cs="Arial"/>
          <w:szCs w:val="20"/>
        </w:rPr>
        <w:t>.</w:t>
      </w:r>
      <w:r w:rsidRPr="00FF350C">
        <w:rPr>
          <w:rStyle w:val="FootnoteReference"/>
          <w:rFonts w:cs="Arial"/>
          <w:szCs w:val="20"/>
        </w:rPr>
        <w:footnoteReference w:id="73"/>
      </w:r>
    </w:p>
    <w:p w14:paraId="349C538D" w14:textId="77777777" w:rsidR="00C4583A" w:rsidRPr="00FF350C" w:rsidRDefault="00C4583A" w:rsidP="00C4583A">
      <w:pPr>
        <w:spacing w:after="0" w:line="240" w:lineRule="auto"/>
        <w:jc w:val="both"/>
        <w:rPr>
          <w:rFonts w:cs="Arial"/>
        </w:rPr>
      </w:pPr>
    </w:p>
    <w:p w14:paraId="6C3E0F07" w14:textId="010CC8FA" w:rsidR="00C4583A" w:rsidRPr="00FF350C" w:rsidRDefault="00C4583A" w:rsidP="00C4583A">
      <w:pPr>
        <w:spacing w:after="0" w:line="240" w:lineRule="auto"/>
        <w:jc w:val="both"/>
        <w:rPr>
          <w:rFonts w:cs="Arial"/>
        </w:rPr>
      </w:pPr>
      <w:r w:rsidRPr="00FF350C">
        <w:rPr>
          <w:rFonts w:cs="Arial"/>
        </w:rPr>
        <w:t xml:space="preserve">In practice therefore, neither the </w:t>
      </w:r>
      <w:r w:rsidRPr="00C31B22">
        <w:rPr>
          <w:rFonts w:cs="Arial"/>
          <w:i/>
        </w:rPr>
        <w:t>H</w:t>
      </w:r>
      <w:r w:rsidR="00C31B22" w:rsidRPr="00C31B22">
        <w:rPr>
          <w:rFonts w:cs="Arial"/>
          <w:i/>
        </w:rPr>
        <w:t>A</w:t>
      </w:r>
      <w:r w:rsidRPr="00C31B22">
        <w:rPr>
          <w:rFonts w:cs="Arial"/>
          <w:i/>
        </w:rPr>
        <w:t>SAW</w:t>
      </w:r>
      <w:r w:rsidRPr="00FF350C">
        <w:rPr>
          <w:rFonts w:cs="Arial"/>
        </w:rPr>
        <w:t xml:space="preserve"> nor </w:t>
      </w:r>
      <w:r w:rsidRPr="00C31B22">
        <w:rPr>
          <w:rFonts w:cs="Arial"/>
          <w:i/>
        </w:rPr>
        <w:t>OLA</w:t>
      </w:r>
      <w:r w:rsidRPr="00FF350C">
        <w:rPr>
          <w:rFonts w:cs="Arial"/>
        </w:rPr>
        <w:t xml:space="preserve"> provides a particularly satisfactory route for a claim against an event organiser and it is more than likely </w:t>
      </w:r>
      <w:r w:rsidR="00C31B22">
        <w:rPr>
          <w:rFonts w:cs="Arial"/>
        </w:rPr>
        <w:t xml:space="preserve">that </w:t>
      </w:r>
      <w:r w:rsidRPr="00FF350C">
        <w:rPr>
          <w:rFonts w:cs="Arial"/>
        </w:rPr>
        <w:t xml:space="preserve">any claim by a participant or spectator would instead fall under common law negligence. Nonetheless, three cases demonstrate it is possible (at least in theory) for the statutory duties specified under the </w:t>
      </w:r>
      <w:r w:rsidRPr="00C31B22">
        <w:rPr>
          <w:rFonts w:cs="Arial"/>
          <w:i/>
        </w:rPr>
        <w:t xml:space="preserve">HASAW </w:t>
      </w:r>
      <w:r w:rsidRPr="00FF350C">
        <w:rPr>
          <w:rFonts w:cs="Arial"/>
        </w:rPr>
        <w:t xml:space="preserve">or </w:t>
      </w:r>
      <w:r w:rsidRPr="00C31B22">
        <w:rPr>
          <w:rFonts w:cs="Arial"/>
          <w:i/>
        </w:rPr>
        <w:t xml:space="preserve">OLA </w:t>
      </w:r>
      <w:r w:rsidRPr="00FF350C">
        <w:rPr>
          <w:rFonts w:cs="Arial"/>
        </w:rPr>
        <w:t>to be extended to organisers of the Tour of Britain.</w:t>
      </w:r>
    </w:p>
    <w:p w14:paraId="23D37256" w14:textId="77777777" w:rsidR="00C4583A" w:rsidRPr="00FF350C" w:rsidRDefault="00C4583A" w:rsidP="00C4583A">
      <w:pPr>
        <w:spacing w:after="0" w:line="240" w:lineRule="auto"/>
        <w:jc w:val="both"/>
        <w:rPr>
          <w:rFonts w:cs="Arial"/>
        </w:rPr>
      </w:pPr>
    </w:p>
    <w:p w14:paraId="352CDE0A" w14:textId="6CD28F6F" w:rsidR="00C4583A" w:rsidRPr="00FF350C" w:rsidRDefault="00C4583A" w:rsidP="00C4583A">
      <w:pPr>
        <w:spacing w:after="0" w:line="240" w:lineRule="auto"/>
        <w:jc w:val="both"/>
        <w:rPr>
          <w:rFonts w:cs="Arial"/>
        </w:rPr>
      </w:pPr>
      <w:r w:rsidRPr="00FF350C">
        <w:rPr>
          <w:rFonts w:cs="Arial"/>
        </w:rPr>
        <w:t xml:space="preserve">In </w:t>
      </w:r>
      <w:r w:rsidRPr="00FF350C">
        <w:rPr>
          <w:rFonts w:cs="Arial"/>
          <w:i/>
        </w:rPr>
        <w:t xml:space="preserve">Andersen v R </w:t>
      </w:r>
      <w:r w:rsidRPr="00FF350C">
        <w:rPr>
          <w:rFonts w:cs="Arial"/>
        </w:rPr>
        <w:t xml:space="preserve">the organiser of a road cycle race </w:t>
      </w:r>
      <w:r w:rsidR="00C31B22">
        <w:rPr>
          <w:rFonts w:cs="Arial"/>
        </w:rPr>
        <w:t xml:space="preserve">in New Zealand </w:t>
      </w:r>
      <w:r w:rsidRPr="00FF350C">
        <w:rPr>
          <w:rFonts w:cs="Arial"/>
        </w:rPr>
        <w:t>was held liable for the death of a cyclist who had been struck by a vehicle.</w:t>
      </w:r>
      <w:r w:rsidRPr="00FF350C">
        <w:rPr>
          <w:rStyle w:val="FootnoteReference"/>
          <w:rFonts w:cs="Arial"/>
        </w:rPr>
        <w:footnoteReference w:id="74"/>
      </w:r>
      <w:r w:rsidRPr="00FF350C">
        <w:rPr>
          <w:rFonts w:cs="Arial"/>
        </w:rPr>
        <w:t xml:space="preserve"> </w:t>
      </w:r>
      <w:r w:rsidR="00C43070">
        <w:rPr>
          <w:rFonts w:cs="Arial"/>
        </w:rPr>
        <w:t>On the evidence i</w:t>
      </w:r>
      <w:r w:rsidRPr="00FF350C">
        <w:rPr>
          <w:rFonts w:cs="Arial"/>
        </w:rPr>
        <w:t xml:space="preserve">t appeared the cyclist was under the erroneous impression that the road had been closed for the event and had overtaken a </w:t>
      </w:r>
      <w:r w:rsidR="00C43070">
        <w:rPr>
          <w:rFonts w:cs="Arial"/>
        </w:rPr>
        <w:t xml:space="preserve">fellow </w:t>
      </w:r>
      <w:r w:rsidRPr="00FF350C">
        <w:rPr>
          <w:rFonts w:cs="Arial"/>
        </w:rPr>
        <w:t xml:space="preserve">competitor only to be hit by an oncoming car. At first instance the race organiser (Andersen) was held to be guilty of committing a criminal nuisance arising from </w:t>
      </w:r>
      <w:r w:rsidR="00C43070">
        <w:rPr>
          <w:rFonts w:cs="Arial"/>
        </w:rPr>
        <w:t>a statutory duty on “</w:t>
      </w:r>
      <w:r w:rsidRPr="00FF350C">
        <w:rPr>
          <w:rFonts w:cs="Arial"/>
        </w:rPr>
        <w:t>person</w:t>
      </w:r>
      <w:r w:rsidR="00C43070">
        <w:rPr>
          <w:rFonts w:cs="Arial"/>
        </w:rPr>
        <w:t>s in charge of dangerous things”</w:t>
      </w:r>
      <w:r w:rsidRPr="00FF350C">
        <w:rPr>
          <w:rFonts w:cs="Arial"/>
        </w:rPr>
        <w:t xml:space="preserve"> to take reasonable precautions against endangering life.</w:t>
      </w:r>
      <w:r w:rsidRPr="00FF350C">
        <w:rPr>
          <w:rStyle w:val="FootnoteReference"/>
          <w:rFonts w:cs="Arial"/>
        </w:rPr>
        <w:footnoteReference w:id="75"/>
      </w:r>
      <w:r w:rsidRPr="00FF350C">
        <w:rPr>
          <w:rFonts w:cs="Arial"/>
        </w:rPr>
        <w:t xml:space="preserve"> This is not dissimilar to the duty placed on employers or occupiers under the </w:t>
      </w:r>
      <w:r w:rsidRPr="00C31B22">
        <w:rPr>
          <w:rFonts w:cs="Arial"/>
          <w:i/>
        </w:rPr>
        <w:t>H</w:t>
      </w:r>
      <w:r w:rsidR="00C31B22" w:rsidRPr="00C31B22">
        <w:rPr>
          <w:rFonts w:cs="Arial"/>
          <w:i/>
        </w:rPr>
        <w:t>A</w:t>
      </w:r>
      <w:r w:rsidRPr="00C31B22">
        <w:rPr>
          <w:rFonts w:cs="Arial"/>
          <w:i/>
        </w:rPr>
        <w:t>SAW</w:t>
      </w:r>
      <w:r w:rsidRPr="00FF350C">
        <w:rPr>
          <w:rFonts w:cs="Arial"/>
        </w:rPr>
        <w:t xml:space="preserve"> and </w:t>
      </w:r>
      <w:r w:rsidRPr="00C31B22">
        <w:rPr>
          <w:rFonts w:cs="Arial"/>
          <w:i/>
        </w:rPr>
        <w:t>OLA</w:t>
      </w:r>
      <w:r w:rsidRPr="00FF350C">
        <w:rPr>
          <w:rFonts w:cs="Arial"/>
        </w:rPr>
        <w:t xml:space="preserve"> in that a person can be held criminally responsible for failure to discharge the</w:t>
      </w:r>
      <w:r w:rsidR="00C43070">
        <w:rPr>
          <w:rFonts w:cs="Arial"/>
        </w:rPr>
        <w:t xml:space="preserve"> relevant</w:t>
      </w:r>
      <w:r w:rsidRPr="00FF350C">
        <w:rPr>
          <w:rFonts w:cs="Arial"/>
        </w:rPr>
        <w:t xml:space="preserve"> duty.</w:t>
      </w:r>
      <w:r w:rsidR="00C31B22">
        <w:rPr>
          <w:rFonts w:cs="Arial"/>
        </w:rPr>
        <w:t xml:space="preserve"> </w:t>
      </w:r>
      <w:r w:rsidRPr="00FF350C">
        <w:rPr>
          <w:rFonts w:cs="Arial"/>
        </w:rPr>
        <w:t xml:space="preserve">While the initial verdict </w:t>
      </w:r>
      <w:r w:rsidR="00C43070">
        <w:rPr>
          <w:rFonts w:cs="Arial"/>
        </w:rPr>
        <w:t xml:space="preserve">in </w:t>
      </w:r>
      <w:r w:rsidR="00C43070">
        <w:rPr>
          <w:rFonts w:cs="Arial"/>
          <w:i/>
        </w:rPr>
        <w:t xml:space="preserve">Andersen </w:t>
      </w:r>
      <w:r w:rsidRPr="00FF350C">
        <w:rPr>
          <w:rFonts w:cs="Arial"/>
        </w:rPr>
        <w:t xml:space="preserve">was ultimately overturned on appeal, the </w:t>
      </w:r>
      <w:r w:rsidRPr="00C31B22">
        <w:rPr>
          <w:rFonts w:cs="Arial"/>
        </w:rPr>
        <w:t xml:space="preserve">ratio </w:t>
      </w:r>
      <w:r w:rsidRPr="00FF350C">
        <w:rPr>
          <w:rFonts w:cs="Arial"/>
        </w:rPr>
        <w:t>for the latter decision was a narrow one which rested on the conclusion that the appellant had to have known that her omission would endanger life in order to have committed an offence.</w:t>
      </w:r>
      <w:r w:rsidRPr="00FF350C">
        <w:rPr>
          <w:rStyle w:val="FootnoteReference"/>
          <w:rFonts w:cs="Arial"/>
        </w:rPr>
        <w:footnoteReference w:id="76"/>
      </w:r>
      <w:r w:rsidRPr="00FF350C">
        <w:rPr>
          <w:rFonts w:cs="Arial"/>
        </w:rPr>
        <w:t xml:space="preserve"> As this knowledge could not be demonstrated</w:t>
      </w:r>
      <w:r w:rsidR="00C31B22">
        <w:rPr>
          <w:rFonts w:cs="Arial"/>
        </w:rPr>
        <w:t>,</w:t>
      </w:r>
      <w:r w:rsidRPr="00FF350C">
        <w:rPr>
          <w:rFonts w:cs="Arial"/>
        </w:rPr>
        <w:t xml:space="preserve"> she was acquitted. </w:t>
      </w:r>
    </w:p>
    <w:p w14:paraId="154EF294" w14:textId="77777777" w:rsidR="00C4583A" w:rsidRPr="00FF350C" w:rsidRDefault="00C4583A" w:rsidP="00C4583A">
      <w:pPr>
        <w:spacing w:after="0" w:line="240" w:lineRule="auto"/>
        <w:jc w:val="both"/>
        <w:rPr>
          <w:rFonts w:cs="Arial"/>
        </w:rPr>
      </w:pPr>
    </w:p>
    <w:p w14:paraId="10BCD0E7" w14:textId="0AF91A53" w:rsidR="00C4583A" w:rsidRPr="00FF350C" w:rsidRDefault="00C4583A" w:rsidP="00C4583A">
      <w:pPr>
        <w:spacing w:after="0" w:line="240" w:lineRule="auto"/>
        <w:jc w:val="both"/>
        <w:rPr>
          <w:rFonts w:cs="Arial"/>
        </w:rPr>
      </w:pPr>
      <w:r w:rsidRPr="00FF350C">
        <w:rPr>
          <w:rFonts w:cs="Arial"/>
        </w:rPr>
        <w:t xml:space="preserve">In </w:t>
      </w:r>
      <w:r w:rsidR="00C31B22">
        <w:rPr>
          <w:rFonts w:cs="Arial"/>
          <w:i/>
        </w:rPr>
        <w:t>Uren v</w:t>
      </w:r>
      <w:r w:rsidR="00682A67">
        <w:rPr>
          <w:rFonts w:cs="Arial"/>
          <w:i/>
        </w:rPr>
        <w:t>.</w:t>
      </w:r>
      <w:r w:rsidR="00C31B22">
        <w:rPr>
          <w:rFonts w:cs="Arial"/>
          <w:i/>
        </w:rPr>
        <w:t xml:space="preserve"> Corporate Leisure UK Ltd,</w:t>
      </w:r>
      <w:r w:rsidRPr="00FF350C">
        <w:rPr>
          <w:rFonts w:cs="Arial"/>
          <w:i/>
        </w:rPr>
        <w:t xml:space="preserve"> </w:t>
      </w:r>
      <w:r w:rsidRPr="00FF350C">
        <w:rPr>
          <w:rFonts w:cs="Arial"/>
        </w:rPr>
        <w:t xml:space="preserve">a man was rendered </w:t>
      </w:r>
      <w:proofErr w:type="spellStart"/>
      <w:r w:rsidRPr="00FF350C">
        <w:rPr>
          <w:rFonts w:cs="Arial"/>
        </w:rPr>
        <w:t>tetraplegic</w:t>
      </w:r>
      <w:proofErr w:type="spellEnd"/>
      <w:r w:rsidRPr="00FF350C">
        <w:rPr>
          <w:rFonts w:cs="Arial"/>
        </w:rPr>
        <w:t xml:space="preserve"> as a result of diving into a pool of shallow water during a ‘fun day’ event.</w:t>
      </w:r>
      <w:r w:rsidRPr="00FF350C">
        <w:rPr>
          <w:rStyle w:val="FootnoteReference"/>
          <w:rFonts w:cs="Arial"/>
        </w:rPr>
        <w:footnoteReference w:id="77"/>
      </w:r>
      <w:r w:rsidRPr="00FF350C">
        <w:rPr>
          <w:rFonts w:cs="Arial"/>
        </w:rPr>
        <w:t xml:space="preserve"> On appeal</w:t>
      </w:r>
      <w:r w:rsidR="00C31B22">
        <w:rPr>
          <w:rFonts w:cs="Arial"/>
        </w:rPr>
        <w:t>,</w:t>
      </w:r>
      <w:r w:rsidRPr="00FF350C">
        <w:rPr>
          <w:rFonts w:cs="Arial"/>
        </w:rPr>
        <w:t xml:space="preserve"> the court found for the claimant</w:t>
      </w:r>
      <w:r w:rsidR="00C31B22">
        <w:rPr>
          <w:rFonts w:cs="Arial"/>
        </w:rPr>
        <w:t>,</w:t>
      </w:r>
      <w:r w:rsidRPr="00FF350C">
        <w:rPr>
          <w:rFonts w:cs="Arial"/>
        </w:rPr>
        <w:t xml:space="preserve"> in large part due to the fact that the risk assessments that had been carried out were defective as they had failed to identify the clear risk of serious injury. </w:t>
      </w:r>
    </w:p>
    <w:p w14:paraId="36A6E16F" w14:textId="77777777" w:rsidR="00C4583A" w:rsidRPr="00FF350C" w:rsidRDefault="00C4583A" w:rsidP="00C4583A">
      <w:pPr>
        <w:spacing w:after="0" w:line="240" w:lineRule="auto"/>
        <w:jc w:val="both"/>
        <w:rPr>
          <w:rFonts w:cs="Arial"/>
        </w:rPr>
      </w:pPr>
    </w:p>
    <w:p w14:paraId="3B23214D" w14:textId="758EB0DE" w:rsidR="00C4583A" w:rsidRPr="00FF350C" w:rsidRDefault="00C4583A" w:rsidP="00C4583A">
      <w:pPr>
        <w:spacing w:after="0" w:line="240" w:lineRule="auto"/>
        <w:jc w:val="both"/>
        <w:rPr>
          <w:rFonts w:cs="Arial"/>
        </w:rPr>
      </w:pPr>
      <w:r w:rsidRPr="00FF350C">
        <w:rPr>
          <w:rFonts w:cs="Arial"/>
        </w:rPr>
        <w:t xml:space="preserve">In a similar case – </w:t>
      </w:r>
      <w:r w:rsidRPr="00FF350C">
        <w:rPr>
          <w:rFonts w:cs="Arial"/>
          <w:i/>
        </w:rPr>
        <w:t>Blair-Ford v</w:t>
      </w:r>
      <w:r w:rsidR="00682A67">
        <w:rPr>
          <w:rFonts w:cs="Arial"/>
          <w:i/>
        </w:rPr>
        <w:t>.</w:t>
      </w:r>
      <w:r w:rsidRPr="00FF350C">
        <w:rPr>
          <w:rFonts w:cs="Arial"/>
          <w:i/>
        </w:rPr>
        <w:t xml:space="preserve"> CRS Adventures Ltd</w:t>
      </w:r>
      <w:r w:rsidRPr="00FF350C">
        <w:rPr>
          <w:rFonts w:cs="Arial"/>
        </w:rPr>
        <w:t xml:space="preserve"> – the court found for the defendant</w:t>
      </w:r>
      <w:r w:rsidR="00C31B22">
        <w:rPr>
          <w:rFonts w:cs="Arial"/>
        </w:rPr>
        <w:t>,</w:t>
      </w:r>
      <w:r w:rsidRPr="00FF350C">
        <w:rPr>
          <w:rFonts w:cs="Arial"/>
        </w:rPr>
        <w:t xml:space="preserve"> but noted the importance of undertaking ‘dynamic’ risk assessments which build on ‘static’ pre-event assessment to account for modifications to activities or changes in conditions.</w:t>
      </w:r>
      <w:r w:rsidRPr="00FF350C">
        <w:rPr>
          <w:rStyle w:val="FootnoteReference"/>
          <w:rFonts w:cs="Arial"/>
        </w:rPr>
        <w:footnoteReference w:id="78"/>
      </w:r>
    </w:p>
    <w:p w14:paraId="4DC14B28" w14:textId="77777777" w:rsidR="00C4583A" w:rsidRPr="00FF350C" w:rsidRDefault="00C4583A" w:rsidP="00C4583A">
      <w:pPr>
        <w:spacing w:after="0" w:line="240" w:lineRule="auto"/>
        <w:jc w:val="both"/>
        <w:rPr>
          <w:rFonts w:cs="Arial"/>
        </w:rPr>
      </w:pPr>
    </w:p>
    <w:p w14:paraId="0B6D229D" w14:textId="101537D5" w:rsidR="00C4583A" w:rsidRPr="00FF350C" w:rsidRDefault="00C4583A" w:rsidP="00C4583A">
      <w:pPr>
        <w:spacing w:after="0" w:line="240" w:lineRule="auto"/>
        <w:jc w:val="both"/>
        <w:rPr>
          <w:rFonts w:cs="Arial"/>
        </w:rPr>
      </w:pPr>
      <w:r w:rsidRPr="00FF350C">
        <w:rPr>
          <w:rFonts w:cs="Arial"/>
        </w:rPr>
        <w:t xml:space="preserve">Although </w:t>
      </w:r>
      <w:r w:rsidRPr="00FF350C">
        <w:rPr>
          <w:rFonts w:cs="Arial"/>
          <w:i/>
        </w:rPr>
        <w:t xml:space="preserve">Andersen </w:t>
      </w:r>
      <w:r w:rsidRPr="00FF350C">
        <w:rPr>
          <w:rFonts w:cs="Arial"/>
        </w:rPr>
        <w:t xml:space="preserve">was a decision by a New Zealand court, it could have persuasive value in demonstrating that a statutory duty – such as that set down by the </w:t>
      </w:r>
      <w:r w:rsidRPr="00C31B22">
        <w:rPr>
          <w:rFonts w:cs="Arial"/>
          <w:i/>
        </w:rPr>
        <w:t>H</w:t>
      </w:r>
      <w:r w:rsidR="00C31B22" w:rsidRPr="00C31B22">
        <w:rPr>
          <w:rFonts w:cs="Arial"/>
          <w:i/>
        </w:rPr>
        <w:t>A</w:t>
      </w:r>
      <w:r w:rsidRPr="00C31B22">
        <w:rPr>
          <w:rFonts w:cs="Arial"/>
          <w:i/>
        </w:rPr>
        <w:t>SAW</w:t>
      </w:r>
      <w:r w:rsidRPr="00FF350C">
        <w:rPr>
          <w:rFonts w:cs="Arial"/>
        </w:rPr>
        <w:t xml:space="preserve"> or </w:t>
      </w:r>
      <w:r w:rsidRPr="00C31B22">
        <w:rPr>
          <w:rFonts w:cs="Arial"/>
          <w:i/>
        </w:rPr>
        <w:t>OLA</w:t>
      </w:r>
      <w:r w:rsidRPr="00FF350C">
        <w:rPr>
          <w:rFonts w:cs="Arial"/>
        </w:rPr>
        <w:t xml:space="preserve"> – could in principle be extended to place a liability on race organisers. This is reinforced by the fact that race organisers, by virtue of their position, bear a direct responsibility for participant safety.</w:t>
      </w:r>
      <w:r w:rsidRPr="00FF350C">
        <w:rPr>
          <w:rStyle w:val="FootnoteReference"/>
          <w:rFonts w:cs="Arial"/>
        </w:rPr>
        <w:footnoteReference w:id="79"/>
      </w:r>
      <w:r w:rsidRPr="00FF350C">
        <w:rPr>
          <w:rFonts w:cs="Arial"/>
        </w:rPr>
        <w:t xml:space="preserve"> Similarly</w:t>
      </w:r>
      <w:r w:rsidR="00C31B22">
        <w:rPr>
          <w:rFonts w:cs="Arial"/>
        </w:rPr>
        <w:t>,</w:t>
      </w:r>
      <w:r w:rsidRPr="00FF350C">
        <w:rPr>
          <w:rFonts w:cs="Arial"/>
        </w:rPr>
        <w:t xml:space="preserve"> the decisions in </w:t>
      </w:r>
      <w:r w:rsidRPr="00FF350C">
        <w:rPr>
          <w:rFonts w:cs="Arial"/>
          <w:i/>
        </w:rPr>
        <w:t xml:space="preserve">Uren </w:t>
      </w:r>
      <w:r w:rsidRPr="00FF350C">
        <w:rPr>
          <w:rFonts w:cs="Arial"/>
        </w:rPr>
        <w:t xml:space="preserve">and </w:t>
      </w:r>
      <w:r w:rsidRPr="00FF350C">
        <w:rPr>
          <w:rFonts w:cs="Arial"/>
          <w:i/>
        </w:rPr>
        <w:t xml:space="preserve">Blair-Ford </w:t>
      </w:r>
      <w:r w:rsidRPr="00FF350C">
        <w:rPr>
          <w:rFonts w:cs="Arial"/>
        </w:rPr>
        <w:t>indicate that</w:t>
      </w:r>
      <w:r w:rsidR="00C31B22">
        <w:rPr>
          <w:rFonts w:cs="Arial"/>
        </w:rPr>
        <w:t xml:space="preserve"> a </w:t>
      </w:r>
      <w:r w:rsidRPr="00FF350C">
        <w:rPr>
          <w:rFonts w:cs="Arial"/>
        </w:rPr>
        <w:t>failure to carry out a proper risk assessment (either static or dynamic) may bring forth liability. In this context</w:t>
      </w:r>
      <w:r w:rsidR="001C003E">
        <w:rPr>
          <w:rFonts w:cs="Arial"/>
        </w:rPr>
        <w:t>,</w:t>
      </w:r>
      <w:r w:rsidRPr="00FF350C">
        <w:rPr>
          <w:rFonts w:cs="Arial"/>
        </w:rPr>
        <w:t xml:space="preserve"> it is reasonable to speculate whether </w:t>
      </w:r>
      <w:r w:rsidR="00F7716C">
        <w:rPr>
          <w:rFonts w:cs="Arial"/>
        </w:rPr>
        <w:t xml:space="preserve">or not </w:t>
      </w:r>
      <w:r w:rsidRPr="00FF350C">
        <w:rPr>
          <w:rFonts w:cs="Arial"/>
        </w:rPr>
        <w:t xml:space="preserve">the risk assessments carried out for the 2006 Tour </w:t>
      </w:r>
      <w:r w:rsidR="00F7716C">
        <w:rPr>
          <w:rFonts w:cs="Arial"/>
        </w:rPr>
        <w:t>– and any adjustments made during the race – were</w:t>
      </w:r>
      <w:r w:rsidRPr="00FF350C">
        <w:rPr>
          <w:rFonts w:cs="Arial"/>
        </w:rPr>
        <w:t xml:space="preserve"> sufficient given the nature of the incidents that occurred.</w:t>
      </w:r>
    </w:p>
    <w:p w14:paraId="74D595C8" w14:textId="77777777" w:rsidR="00C4583A" w:rsidRPr="00FF350C" w:rsidRDefault="00C4583A" w:rsidP="00C4583A">
      <w:pPr>
        <w:spacing w:after="0" w:line="240" w:lineRule="auto"/>
        <w:jc w:val="both"/>
        <w:rPr>
          <w:rFonts w:cs="Arial"/>
        </w:rPr>
      </w:pPr>
    </w:p>
    <w:p w14:paraId="40E01510" w14:textId="691768F0" w:rsidR="00C4583A" w:rsidRDefault="00C4583A" w:rsidP="00C4583A">
      <w:pPr>
        <w:spacing w:after="0" w:line="240" w:lineRule="auto"/>
        <w:jc w:val="both"/>
        <w:rPr>
          <w:rFonts w:cs="Arial"/>
        </w:rPr>
      </w:pPr>
      <w:r w:rsidRPr="00FF350C">
        <w:rPr>
          <w:rFonts w:cs="Arial"/>
          <w:szCs w:val="20"/>
        </w:rPr>
        <w:t xml:space="preserve">Interestingly, the potential extension of a statutory duty </w:t>
      </w:r>
      <w:r w:rsidR="00E1312F">
        <w:rPr>
          <w:rFonts w:cs="Arial"/>
          <w:szCs w:val="20"/>
        </w:rPr>
        <w:t xml:space="preserve">highlighted by </w:t>
      </w:r>
      <w:r w:rsidR="00E1312F">
        <w:rPr>
          <w:rFonts w:cs="Arial"/>
          <w:i/>
          <w:szCs w:val="20"/>
        </w:rPr>
        <w:t>Andersen</w:t>
      </w:r>
      <w:r w:rsidRPr="00FF350C">
        <w:rPr>
          <w:rFonts w:cs="Arial"/>
          <w:szCs w:val="20"/>
        </w:rPr>
        <w:t xml:space="preserve"> raises </w:t>
      </w:r>
      <w:r w:rsidR="00A17DE5">
        <w:rPr>
          <w:rFonts w:cs="Arial"/>
          <w:szCs w:val="20"/>
        </w:rPr>
        <w:t>a further issue</w:t>
      </w:r>
      <w:r w:rsidRPr="00FF350C">
        <w:rPr>
          <w:rFonts w:cs="Arial"/>
          <w:szCs w:val="20"/>
        </w:rPr>
        <w:t xml:space="preserve"> in relation to the</w:t>
      </w:r>
      <w:r w:rsidR="004F7CD1">
        <w:rPr>
          <w:rFonts w:cs="Arial"/>
          <w:szCs w:val="20"/>
        </w:rPr>
        <w:t xml:space="preserve"> precise duties contained within the</w:t>
      </w:r>
      <w:r w:rsidRPr="00FF350C">
        <w:rPr>
          <w:rFonts w:cs="Arial"/>
          <w:szCs w:val="20"/>
        </w:rPr>
        <w:t xml:space="preserve"> </w:t>
      </w:r>
      <w:r w:rsidRPr="001C003E">
        <w:rPr>
          <w:rFonts w:cs="Arial"/>
          <w:i/>
          <w:szCs w:val="20"/>
        </w:rPr>
        <w:t>OLA 1957</w:t>
      </w:r>
      <w:r w:rsidRPr="00FF350C">
        <w:rPr>
          <w:rFonts w:cs="Arial"/>
          <w:szCs w:val="20"/>
        </w:rPr>
        <w:t xml:space="preserve"> and </w:t>
      </w:r>
      <w:r w:rsidR="004F7CD1">
        <w:rPr>
          <w:rFonts w:cs="Arial"/>
          <w:i/>
          <w:szCs w:val="20"/>
        </w:rPr>
        <w:t xml:space="preserve">OLA </w:t>
      </w:r>
      <w:r w:rsidRPr="001C003E">
        <w:rPr>
          <w:rFonts w:cs="Arial"/>
          <w:i/>
          <w:szCs w:val="20"/>
        </w:rPr>
        <w:t>1984</w:t>
      </w:r>
      <w:r w:rsidRPr="00FF350C">
        <w:rPr>
          <w:rFonts w:cs="Arial"/>
          <w:szCs w:val="20"/>
        </w:rPr>
        <w:t>. Specifically</w:t>
      </w:r>
      <w:r w:rsidRPr="00FF350C">
        <w:rPr>
          <w:rFonts w:cs="Arial"/>
        </w:rPr>
        <w:t xml:space="preserve">, almost all spectators at cycle races are non-paying due to the lack of formal ticketing arrangements. As such, were a claim to be brought under the </w:t>
      </w:r>
      <w:r w:rsidRPr="001C003E">
        <w:rPr>
          <w:rFonts w:cs="Arial"/>
          <w:i/>
        </w:rPr>
        <w:t>OLA</w:t>
      </w:r>
      <w:r w:rsidRPr="00FF350C">
        <w:rPr>
          <w:rFonts w:cs="Arial"/>
        </w:rPr>
        <w:t xml:space="preserve"> by</w:t>
      </w:r>
      <w:r w:rsidR="00E1312F">
        <w:rPr>
          <w:rFonts w:cs="Arial"/>
        </w:rPr>
        <w:t xml:space="preserve"> a spectator – for example on a</w:t>
      </w:r>
      <w:r w:rsidRPr="00FF350C">
        <w:rPr>
          <w:rFonts w:cs="Arial"/>
        </w:rPr>
        <w:t xml:space="preserve"> basis</w:t>
      </w:r>
      <w:r w:rsidR="00E1312F">
        <w:rPr>
          <w:rFonts w:cs="Arial"/>
        </w:rPr>
        <w:t xml:space="preserve"> similar</w:t>
      </w:r>
      <w:r w:rsidRPr="00FF350C">
        <w:rPr>
          <w:rFonts w:cs="Arial"/>
        </w:rPr>
        <w:t xml:space="preserve"> to </w:t>
      </w:r>
      <w:r w:rsidRPr="00FF350C">
        <w:rPr>
          <w:rFonts w:cs="Arial"/>
          <w:i/>
        </w:rPr>
        <w:t>Andersen</w:t>
      </w:r>
      <w:r w:rsidRPr="00FF350C">
        <w:rPr>
          <w:rFonts w:cs="Arial"/>
        </w:rPr>
        <w:t xml:space="preserve"> that a statutory duty on the organiser existed to prevent harm to spectators – an important question would be whether </w:t>
      </w:r>
      <w:r w:rsidR="00E1312F">
        <w:rPr>
          <w:rFonts w:cs="Arial"/>
        </w:rPr>
        <w:t xml:space="preserve">or not </w:t>
      </w:r>
      <w:r w:rsidRPr="00FF350C">
        <w:rPr>
          <w:rFonts w:cs="Arial"/>
        </w:rPr>
        <w:t xml:space="preserve">the </w:t>
      </w:r>
      <w:r w:rsidR="004F7CD1">
        <w:rPr>
          <w:rFonts w:cs="Arial"/>
        </w:rPr>
        <w:t>person</w:t>
      </w:r>
      <w:r w:rsidRPr="00FF350C">
        <w:rPr>
          <w:rFonts w:cs="Arial"/>
        </w:rPr>
        <w:t xml:space="preserve"> bringing the claim ought to be treated as a ‘trespasser’ or a lawful guest at the race. This is because the precise answer determines which Act – and therefore which duty – applies.</w:t>
      </w:r>
    </w:p>
    <w:p w14:paraId="3520669C" w14:textId="77777777" w:rsidR="00C4583A" w:rsidRDefault="00C4583A" w:rsidP="00C4583A">
      <w:pPr>
        <w:spacing w:after="0" w:line="240" w:lineRule="auto"/>
        <w:jc w:val="both"/>
        <w:rPr>
          <w:rFonts w:cs="Arial"/>
        </w:rPr>
      </w:pPr>
    </w:p>
    <w:p w14:paraId="370D4D4F" w14:textId="77777777" w:rsidR="00C4583A" w:rsidRPr="00FF350C" w:rsidRDefault="00C4583A" w:rsidP="00C4583A">
      <w:pPr>
        <w:spacing w:after="0" w:line="240" w:lineRule="auto"/>
        <w:jc w:val="both"/>
        <w:rPr>
          <w:rFonts w:cs="Arial"/>
          <w:sz w:val="24"/>
        </w:rPr>
      </w:pPr>
    </w:p>
    <w:p w14:paraId="3E6CAD7A" w14:textId="0B298954" w:rsidR="00C4583A" w:rsidRPr="00C43070" w:rsidRDefault="00C43070" w:rsidP="00C4583A">
      <w:pPr>
        <w:spacing w:after="120" w:line="240" w:lineRule="auto"/>
        <w:jc w:val="both"/>
        <w:rPr>
          <w:rFonts w:cs="Arial"/>
          <w:b/>
          <w:i/>
        </w:rPr>
      </w:pPr>
      <w:r>
        <w:rPr>
          <w:rFonts w:cs="Arial"/>
          <w:b/>
          <w:i/>
        </w:rPr>
        <w:t>Common law n</w:t>
      </w:r>
      <w:r w:rsidR="002815CE" w:rsidRPr="00C43070">
        <w:rPr>
          <w:rFonts w:cs="Arial"/>
          <w:b/>
          <w:i/>
        </w:rPr>
        <w:t xml:space="preserve">egligence and </w:t>
      </w:r>
      <w:r>
        <w:rPr>
          <w:rFonts w:cs="Arial"/>
          <w:b/>
          <w:i/>
        </w:rPr>
        <w:t>cycling’s governing b</w:t>
      </w:r>
      <w:r w:rsidR="002815CE" w:rsidRPr="00C43070">
        <w:rPr>
          <w:rFonts w:cs="Arial"/>
          <w:b/>
          <w:i/>
        </w:rPr>
        <w:t>odies</w:t>
      </w:r>
    </w:p>
    <w:p w14:paraId="36EB6776" w14:textId="75942AD2" w:rsidR="00C4583A" w:rsidRPr="00FF350C" w:rsidRDefault="00E05961" w:rsidP="00C4583A">
      <w:pPr>
        <w:spacing w:after="0" w:line="240" w:lineRule="auto"/>
        <w:jc w:val="both"/>
        <w:rPr>
          <w:rFonts w:cs="Arial"/>
        </w:rPr>
      </w:pPr>
      <w:r>
        <w:rPr>
          <w:rFonts w:cs="Arial"/>
        </w:rPr>
        <w:t>Both t</w:t>
      </w:r>
      <w:r w:rsidR="00C4583A" w:rsidRPr="00FF350C">
        <w:rPr>
          <w:rFonts w:cs="Arial"/>
        </w:rPr>
        <w:t xml:space="preserve">he </w:t>
      </w:r>
      <w:r>
        <w:rPr>
          <w:rFonts w:cs="Arial"/>
          <w:i/>
        </w:rPr>
        <w:t xml:space="preserve">Watson </w:t>
      </w:r>
      <w:r>
        <w:rPr>
          <w:rFonts w:cs="Arial"/>
        </w:rPr>
        <w:t xml:space="preserve">and </w:t>
      </w:r>
      <w:proofErr w:type="spellStart"/>
      <w:r>
        <w:rPr>
          <w:rFonts w:cs="Arial"/>
          <w:i/>
        </w:rPr>
        <w:t>Wattleworth</w:t>
      </w:r>
      <w:proofErr w:type="spellEnd"/>
      <w:r>
        <w:rPr>
          <w:rFonts w:cs="Arial"/>
          <w:i/>
        </w:rPr>
        <w:t xml:space="preserve"> </w:t>
      </w:r>
      <w:r w:rsidR="00C4583A" w:rsidRPr="00FF350C">
        <w:rPr>
          <w:rFonts w:cs="Arial"/>
        </w:rPr>
        <w:t>cases highlighted earlier have established how sports governing bodies can be held liable in negligence.</w:t>
      </w:r>
      <w:r w:rsidR="00C4583A" w:rsidRPr="00FF350C">
        <w:rPr>
          <w:rStyle w:val="FootnoteReference"/>
          <w:rFonts w:cs="Arial"/>
        </w:rPr>
        <w:footnoteReference w:id="80"/>
      </w:r>
      <w:r w:rsidR="00C4583A" w:rsidRPr="00FF350C">
        <w:rPr>
          <w:rFonts w:cs="Arial"/>
        </w:rPr>
        <w:t xml:space="preserve"> While </w:t>
      </w:r>
      <w:r>
        <w:rPr>
          <w:rFonts w:cs="Arial"/>
        </w:rPr>
        <w:t>neither related specifically to the sport of cycling</w:t>
      </w:r>
      <w:r w:rsidR="001C003E">
        <w:rPr>
          <w:rFonts w:cs="Arial"/>
        </w:rPr>
        <w:t>,</w:t>
      </w:r>
      <w:r w:rsidR="00C4583A" w:rsidRPr="00FF350C">
        <w:rPr>
          <w:rFonts w:cs="Arial"/>
        </w:rPr>
        <w:t xml:space="preserve"> one </w:t>
      </w:r>
      <w:r>
        <w:rPr>
          <w:rFonts w:cs="Arial"/>
        </w:rPr>
        <w:t xml:space="preserve">more recent </w:t>
      </w:r>
      <w:r w:rsidR="00C4583A" w:rsidRPr="00FF350C">
        <w:rPr>
          <w:rFonts w:cs="Arial"/>
        </w:rPr>
        <w:t>case illustrates that cycling governing bodies may indeed be held liable for safety-related incidents at road races.</w:t>
      </w:r>
      <w:r w:rsidR="001C003E">
        <w:rPr>
          <w:rFonts w:cs="Arial"/>
        </w:rPr>
        <w:t xml:space="preserve"> </w:t>
      </w:r>
      <w:r w:rsidR="00C4583A" w:rsidRPr="00FF350C">
        <w:rPr>
          <w:rFonts w:cs="Arial"/>
        </w:rPr>
        <w:t xml:space="preserve">In </w:t>
      </w:r>
      <w:r w:rsidR="00C4583A" w:rsidRPr="00FF350C">
        <w:rPr>
          <w:rFonts w:cs="Arial"/>
          <w:i/>
        </w:rPr>
        <w:t>Brown v</w:t>
      </w:r>
      <w:r w:rsidR="00682A67">
        <w:rPr>
          <w:rFonts w:cs="Arial"/>
          <w:i/>
        </w:rPr>
        <w:t>.</w:t>
      </w:r>
      <w:r w:rsidR="00C4583A" w:rsidRPr="00FF350C">
        <w:rPr>
          <w:rFonts w:cs="Arial"/>
          <w:i/>
        </w:rPr>
        <w:t xml:space="preserve"> Brent and BCF</w:t>
      </w:r>
      <w:r w:rsidR="00C4583A" w:rsidRPr="00FF350C">
        <w:rPr>
          <w:rFonts w:cs="Arial"/>
        </w:rPr>
        <w:t>, British Cycling was the second defendant in a case brought by a casual cyclist injured by a rider in an amateur race taking place on public roads.</w:t>
      </w:r>
      <w:r w:rsidR="00C4583A" w:rsidRPr="00FF350C">
        <w:rPr>
          <w:rStyle w:val="FootnoteReference"/>
          <w:rFonts w:cs="Arial"/>
        </w:rPr>
        <w:footnoteReference w:id="81"/>
      </w:r>
      <w:r w:rsidR="00C4583A" w:rsidRPr="00FF350C">
        <w:rPr>
          <w:rFonts w:cs="Arial"/>
        </w:rPr>
        <w:t xml:space="preserve"> The claimant was injured after he ignored warnings by a marshal and cycled onto the course whereupon he collided with the participant.</w:t>
      </w:r>
      <w:r w:rsidR="001C003E">
        <w:rPr>
          <w:rFonts w:cs="Arial"/>
        </w:rPr>
        <w:t xml:space="preserve"> </w:t>
      </w:r>
      <w:r w:rsidR="00C4583A" w:rsidRPr="00FF350C">
        <w:rPr>
          <w:rFonts w:cs="Arial"/>
        </w:rPr>
        <w:t>Ultimately the judge ruled the claimant to be partially to blame for the accident and British Cycling were cleared on the facts</w:t>
      </w:r>
      <w:r w:rsidR="00DE61B9">
        <w:rPr>
          <w:rFonts w:cs="Arial"/>
        </w:rPr>
        <w:t>. However the judge</w:t>
      </w:r>
      <w:r w:rsidR="00C4583A" w:rsidRPr="00FF350C">
        <w:rPr>
          <w:rFonts w:cs="Arial"/>
        </w:rPr>
        <w:t xml:space="preserve"> did examine the safety measu</w:t>
      </w:r>
      <w:r w:rsidR="00DE61B9">
        <w:rPr>
          <w:rFonts w:cs="Arial"/>
        </w:rPr>
        <w:t>res that had been put in place – and which followed British Cycling guidance –</w:t>
      </w:r>
      <w:r w:rsidR="00C4583A" w:rsidRPr="00FF350C">
        <w:rPr>
          <w:rFonts w:cs="Arial"/>
        </w:rPr>
        <w:t xml:space="preserve"> including warning signage and event marshalling.</w:t>
      </w:r>
      <w:r w:rsidR="00C4583A" w:rsidRPr="00FF350C">
        <w:rPr>
          <w:rStyle w:val="FootnoteReference"/>
          <w:rFonts w:cs="Arial"/>
        </w:rPr>
        <w:footnoteReference w:id="82"/>
      </w:r>
      <w:r w:rsidR="00DE61B9">
        <w:rPr>
          <w:rFonts w:cs="Arial"/>
        </w:rPr>
        <w:t xml:space="preserve"> While</w:t>
      </w:r>
      <w:r w:rsidR="00C4583A" w:rsidRPr="00FF350C">
        <w:rPr>
          <w:rFonts w:cs="Arial"/>
        </w:rPr>
        <w:t xml:space="preserve"> a County Court judgement, </w:t>
      </w:r>
      <w:r w:rsidR="00DE61B9">
        <w:rPr>
          <w:rFonts w:cs="Arial"/>
          <w:i/>
        </w:rPr>
        <w:t>Brown</w:t>
      </w:r>
      <w:r w:rsidR="00C4583A" w:rsidRPr="00FF350C">
        <w:rPr>
          <w:rFonts w:cs="Arial"/>
        </w:rPr>
        <w:t xml:space="preserve"> noneth</w:t>
      </w:r>
      <w:r w:rsidR="00DE61B9">
        <w:rPr>
          <w:rFonts w:cs="Arial"/>
        </w:rPr>
        <w:t>eless indicates that cycling’s national governing b</w:t>
      </w:r>
      <w:r w:rsidR="00C4583A" w:rsidRPr="00FF350C">
        <w:rPr>
          <w:rFonts w:cs="Arial"/>
        </w:rPr>
        <w:t>ody is not beyond the reach</w:t>
      </w:r>
      <w:r w:rsidR="00DE61B9">
        <w:rPr>
          <w:rFonts w:cs="Arial"/>
        </w:rPr>
        <w:t xml:space="preserve"> of the common law in respect of</w:t>
      </w:r>
      <w:r w:rsidR="00C4583A" w:rsidRPr="00FF350C">
        <w:rPr>
          <w:rFonts w:cs="Arial"/>
        </w:rPr>
        <w:t xml:space="preserve"> its role in providing safety advice and guidance.</w:t>
      </w:r>
    </w:p>
    <w:p w14:paraId="7FECDCC6" w14:textId="77777777" w:rsidR="00C4583A" w:rsidRPr="00FF350C" w:rsidRDefault="00C4583A" w:rsidP="00C4583A">
      <w:pPr>
        <w:spacing w:after="0" w:line="240" w:lineRule="auto"/>
        <w:jc w:val="both"/>
        <w:rPr>
          <w:rFonts w:cs="Arial"/>
        </w:rPr>
      </w:pPr>
    </w:p>
    <w:p w14:paraId="3CDEA000" w14:textId="1459E239" w:rsidR="00C4583A" w:rsidRDefault="00C4583A" w:rsidP="00C4583A">
      <w:pPr>
        <w:spacing w:after="0" w:line="240" w:lineRule="auto"/>
        <w:jc w:val="both"/>
        <w:rPr>
          <w:rFonts w:cs="Arial"/>
        </w:rPr>
      </w:pPr>
      <w:r w:rsidRPr="00FF350C">
        <w:rPr>
          <w:rFonts w:cs="Arial"/>
        </w:rPr>
        <w:t>Importantly, this conclusion applies as much to the UCI as it does to British Cycling. As already noted, despite the UCI’s attempts to limit its liability</w:t>
      </w:r>
      <w:r w:rsidR="00DE61B9">
        <w:rPr>
          <w:rFonts w:cs="Arial"/>
        </w:rPr>
        <w:t xml:space="preserve"> in relation to sanctioned events</w:t>
      </w:r>
      <w:r w:rsidRPr="00FF350C">
        <w:rPr>
          <w:rFonts w:cs="Arial"/>
        </w:rPr>
        <w:t xml:space="preserve">, the mandatory requirements placed on organisers by the UCI Guide combined with the extent of the guidance </w:t>
      </w:r>
      <w:r w:rsidR="00DE61B9">
        <w:rPr>
          <w:rFonts w:cs="Arial"/>
        </w:rPr>
        <w:t xml:space="preserve">the UCI provides </w:t>
      </w:r>
      <w:r w:rsidRPr="00FF350C">
        <w:rPr>
          <w:rFonts w:cs="Arial"/>
        </w:rPr>
        <w:t xml:space="preserve">on safety risk management could </w:t>
      </w:r>
      <w:r w:rsidR="00DE61B9">
        <w:rPr>
          <w:rFonts w:cs="Arial"/>
        </w:rPr>
        <w:t xml:space="preserve">potentially </w:t>
      </w:r>
      <w:r w:rsidRPr="00FF350C">
        <w:rPr>
          <w:rFonts w:cs="Arial"/>
        </w:rPr>
        <w:t xml:space="preserve">provide </w:t>
      </w:r>
      <w:r w:rsidR="00DE61B9">
        <w:rPr>
          <w:rFonts w:cs="Arial"/>
        </w:rPr>
        <w:t>the</w:t>
      </w:r>
      <w:r w:rsidRPr="00FF350C">
        <w:rPr>
          <w:rFonts w:cs="Arial"/>
        </w:rPr>
        <w:t xml:space="preserve"> grounds for a claim in negligence following the path laid down by </w:t>
      </w:r>
      <w:r w:rsidRPr="00FF350C">
        <w:rPr>
          <w:rFonts w:cs="Arial"/>
          <w:i/>
        </w:rPr>
        <w:t xml:space="preserve">Watson </w:t>
      </w:r>
      <w:r w:rsidRPr="00FF350C">
        <w:rPr>
          <w:rFonts w:cs="Arial"/>
        </w:rPr>
        <w:t xml:space="preserve">and </w:t>
      </w:r>
      <w:proofErr w:type="spellStart"/>
      <w:r w:rsidRPr="00FF350C">
        <w:rPr>
          <w:rFonts w:cs="Arial"/>
          <w:i/>
        </w:rPr>
        <w:t>Wattleworth</w:t>
      </w:r>
      <w:proofErr w:type="spellEnd"/>
      <w:r w:rsidRPr="00FF350C">
        <w:rPr>
          <w:rFonts w:cs="Arial"/>
        </w:rPr>
        <w:t>.</w:t>
      </w:r>
      <w:r w:rsidRPr="00FF350C">
        <w:rPr>
          <w:rStyle w:val="FootnoteReference"/>
          <w:rFonts w:cs="Arial"/>
        </w:rPr>
        <w:footnoteReference w:id="83"/>
      </w:r>
      <w:r w:rsidRPr="00FF350C">
        <w:rPr>
          <w:rFonts w:cs="Arial"/>
        </w:rPr>
        <w:t xml:space="preserve"> </w:t>
      </w:r>
    </w:p>
    <w:p w14:paraId="697579A0" w14:textId="4EBC9E0C" w:rsidR="001C003E" w:rsidRDefault="001C003E" w:rsidP="00C4583A">
      <w:pPr>
        <w:spacing w:after="0" w:line="240" w:lineRule="auto"/>
        <w:jc w:val="both"/>
        <w:rPr>
          <w:rFonts w:cs="Arial"/>
        </w:rPr>
      </w:pPr>
    </w:p>
    <w:p w14:paraId="4B3BC335" w14:textId="77777777" w:rsidR="001C003E" w:rsidRDefault="001C003E" w:rsidP="00C4583A">
      <w:pPr>
        <w:spacing w:after="0" w:line="240" w:lineRule="auto"/>
        <w:jc w:val="both"/>
        <w:rPr>
          <w:rFonts w:cs="Arial"/>
        </w:rPr>
      </w:pPr>
    </w:p>
    <w:p w14:paraId="769EDE5D" w14:textId="77777777" w:rsidR="001C003E" w:rsidRDefault="001C003E" w:rsidP="00C4583A">
      <w:pPr>
        <w:spacing w:after="0" w:line="240" w:lineRule="auto"/>
        <w:jc w:val="both"/>
        <w:rPr>
          <w:rFonts w:cs="Arial"/>
        </w:rPr>
      </w:pPr>
    </w:p>
    <w:p w14:paraId="5D2A8816" w14:textId="0C8B81E9" w:rsidR="00C4583A" w:rsidRPr="00C4583A" w:rsidRDefault="00C4583A" w:rsidP="00C4583A">
      <w:pPr>
        <w:spacing w:after="120" w:line="240" w:lineRule="auto"/>
        <w:jc w:val="both"/>
        <w:rPr>
          <w:rFonts w:cs="Arial"/>
          <w:b/>
          <w:sz w:val="24"/>
        </w:rPr>
      </w:pPr>
      <w:r w:rsidRPr="00C4583A">
        <w:rPr>
          <w:rFonts w:cs="Arial"/>
          <w:b/>
          <w:sz w:val="24"/>
        </w:rPr>
        <w:t>CONCLUSION</w:t>
      </w:r>
    </w:p>
    <w:p w14:paraId="5E7C8633" w14:textId="1D0C24AE" w:rsidR="00C4583A" w:rsidRPr="00FF350C" w:rsidRDefault="00C4583A" w:rsidP="00C4583A">
      <w:pPr>
        <w:spacing w:after="0" w:line="240" w:lineRule="auto"/>
        <w:jc w:val="both"/>
        <w:rPr>
          <w:rFonts w:cs="Arial"/>
        </w:rPr>
      </w:pPr>
      <w:r w:rsidRPr="00FF350C">
        <w:rPr>
          <w:rFonts w:cs="Arial"/>
        </w:rPr>
        <w:t>This analysis has examined the Tour of Britain 2006 and highlighted a number of areas where, despite the identification of hazards in pre-event risk assessments, the management of safety in the ‘live’ race environment posed unforeseen problems. It is clear that important lessons have been learned from the event in terms of how best to police and mar</w:t>
      </w:r>
      <w:r w:rsidR="001C003E">
        <w:rPr>
          <w:rFonts w:cs="Arial"/>
        </w:rPr>
        <w:t>shal road cycle races in the UK</w:t>
      </w:r>
      <w:r w:rsidR="00766AF0">
        <w:rPr>
          <w:rFonts w:cs="Arial"/>
        </w:rPr>
        <w:t xml:space="preserve"> and which are </w:t>
      </w:r>
      <w:r w:rsidRPr="00FF350C">
        <w:rPr>
          <w:rFonts w:cs="Arial"/>
        </w:rPr>
        <w:t>reflected in the creation of national escort groups for both police and civilian marshals.</w:t>
      </w:r>
    </w:p>
    <w:p w14:paraId="6A3535A8" w14:textId="77777777" w:rsidR="00C4583A" w:rsidRPr="00FF350C" w:rsidRDefault="00C4583A" w:rsidP="00C4583A">
      <w:pPr>
        <w:spacing w:after="0" w:line="240" w:lineRule="auto"/>
        <w:jc w:val="both"/>
        <w:rPr>
          <w:rFonts w:cs="Arial"/>
        </w:rPr>
      </w:pPr>
    </w:p>
    <w:p w14:paraId="06516295" w14:textId="6BBCABA3" w:rsidR="00C4583A" w:rsidRPr="00FF350C" w:rsidRDefault="00C4583A" w:rsidP="00C4583A">
      <w:pPr>
        <w:spacing w:after="0" w:line="240" w:lineRule="auto"/>
        <w:jc w:val="both"/>
        <w:rPr>
          <w:rFonts w:cs="Arial"/>
        </w:rPr>
      </w:pPr>
      <w:r w:rsidRPr="00FF350C">
        <w:rPr>
          <w:rFonts w:cs="Arial"/>
        </w:rPr>
        <w:t>In addition, the race illustrates that duties of care imposed both by statute and the common law are, in certain circumstances, capable of being applied to event organisers and governing bodies. Given the increasing popularity of road cycling in the UK and the growing number of events taking place on public roads, this is a legal area that will be worth watching closely.</w:t>
      </w:r>
    </w:p>
    <w:p w14:paraId="7B3FAB31" w14:textId="77777777" w:rsidR="00C4583A" w:rsidRPr="00FF350C" w:rsidRDefault="00C4583A" w:rsidP="00C4583A">
      <w:pPr>
        <w:spacing w:after="0" w:line="240" w:lineRule="auto"/>
        <w:jc w:val="both"/>
        <w:rPr>
          <w:rFonts w:cs="Arial"/>
        </w:rPr>
      </w:pPr>
    </w:p>
    <w:p w14:paraId="5497786D" w14:textId="77777777" w:rsidR="00C4583A" w:rsidRPr="00FF350C" w:rsidRDefault="00C4583A" w:rsidP="00C4583A">
      <w:pPr>
        <w:spacing w:after="0" w:line="240" w:lineRule="auto"/>
        <w:rPr>
          <w:rFonts w:cs="Arial"/>
        </w:rPr>
      </w:pPr>
      <w:r w:rsidRPr="00FF350C">
        <w:rPr>
          <w:rFonts w:cs="Arial"/>
        </w:rPr>
        <w:br w:type="page"/>
      </w:r>
    </w:p>
    <w:p w14:paraId="201BE904" w14:textId="02E2BE8C" w:rsidR="009A18B7" w:rsidRPr="004E170C" w:rsidRDefault="004E170C" w:rsidP="00FB7E7D">
      <w:pPr>
        <w:spacing w:after="0"/>
        <w:rPr>
          <w:b/>
          <w:sz w:val="24"/>
          <w:u w:val="single"/>
        </w:rPr>
      </w:pPr>
      <w:r w:rsidRPr="004E170C">
        <w:rPr>
          <w:b/>
          <w:sz w:val="24"/>
          <w:u w:val="single"/>
        </w:rPr>
        <w:t>BIBLIOGRAPHY</w:t>
      </w:r>
    </w:p>
    <w:p w14:paraId="69C6FD04" w14:textId="77777777" w:rsidR="009A18B7" w:rsidRPr="009A18B7" w:rsidRDefault="009A18B7" w:rsidP="00FB7E7D">
      <w:pPr>
        <w:spacing w:after="0"/>
        <w:outlineLvl w:val="0"/>
        <w:rPr>
          <w:rFonts w:eastAsia="Arial Unicode MS"/>
          <w:color w:val="000000"/>
          <w:u w:color="000000"/>
        </w:rPr>
      </w:pPr>
    </w:p>
    <w:p w14:paraId="11E575FF" w14:textId="656091B9" w:rsidR="009A18B7" w:rsidRPr="00C11BD8" w:rsidRDefault="005F57A1" w:rsidP="00FB7E7D">
      <w:pPr>
        <w:spacing w:after="0"/>
        <w:outlineLvl w:val="0"/>
        <w:rPr>
          <w:rFonts w:eastAsia="Arial Unicode MS"/>
          <w:b/>
          <w:color w:val="000000"/>
          <w:u w:color="000000"/>
        </w:rPr>
      </w:pPr>
      <w:r w:rsidRPr="00C11BD8">
        <w:rPr>
          <w:rFonts w:eastAsia="Arial Unicode MS"/>
          <w:b/>
          <w:color w:val="000000"/>
          <w:u w:color="000000"/>
        </w:rPr>
        <w:t>Cases</w:t>
      </w:r>
      <w:r w:rsidR="002C4A4D">
        <w:rPr>
          <w:rFonts w:eastAsia="Arial Unicode MS"/>
          <w:b/>
          <w:color w:val="000000"/>
          <w:u w:color="000000"/>
        </w:rPr>
        <w:t xml:space="preserve"> (UK)</w:t>
      </w:r>
    </w:p>
    <w:p w14:paraId="51F94413" w14:textId="17B0A3DE" w:rsidR="003D1484" w:rsidRPr="00053C9E" w:rsidRDefault="003D1484" w:rsidP="00B655A3">
      <w:pPr>
        <w:pStyle w:val="FootnoteText"/>
        <w:numPr>
          <w:ilvl w:val="0"/>
          <w:numId w:val="7"/>
        </w:numPr>
        <w:spacing w:before="40" w:after="40" w:line="276" w:lineRule="auto"/>
        <w:rPr>
          <w:rFonts w:cs="Arial"/>
          <w:i/>
          <w:sz w:val="18"/>
          <w:szCs w:val="18"/>
        </w:rPr>
      </w:pPr>
      <w:r w:rsidRPr="00053C9E">
        <w:rPr>
          <w:rFonts w:cs="Arial"/>
          <w:i/>
          <w:sz w:val="18"/>
          <w:szCs w:val="18"/>
        </w:rPr>
        <w:t>Blair-Ford v</w:t>
      </w:r>
      <w:r w:rsidR="00C84E6E">
        <w:rPr>
          <w:rFonts w:cs="Arial"/>
          <w:i/>
          <w:sz w:val="18"/>
          <w:szCs w:val="18"/>
        </w:rPr>
        <w:t>.</w:t>
      </w:r>
      <w:r w:rsidRPr="00053C9E">
        <w:rPr>
          <w:rFonts w:cs="Arial"/>
          <w:i/>
          <w:sz w:val="18"/>
          <w:szCs w:val="18"/>
        </w:rPr>
        <w:t xml:space="preserve"> CRS Adventures </w:t>
      </w:r>
      <w:r w:rsidRPr="00053C9E">
        <w:rPr>
          <w:rFonts w:cs="Arial"/>
          <w:sz w:val="18"/>
          <w:szCs w:val="18"/>
        </w:rPr>
        <w:t>Ltd [2012] EWHC 2360 (QB)</w:t>
      </w:r>
      <w:r w:rsidRPr="00053C9E">
        <w:rPr>
          <w:rFonts w:cs="Arial"/>
          <w:i/>
          <w:sz w:val="18"/>
          <w:szCs w:val="18"/>
        </w:rPr>
        <w:t xml:space="preserve">  </w:t>
      </w:r>
    </w:p>
    <w:p w14:paraId="644777CA" w14:textId="0409C43B" w:rsidR="003D1484" w:rsidRPr="00053C9E" w:rsidRDefault="003D1484" w:rsidP="00B655A3">
      <w:pPr>
        <w:pStyle w:val="FootnoteText"/>
        <w:numPr>
          <w:ilvl w:val="0"/>
          <w:numId w:val="7"/>
        </w:numPr>
        <w:spacing w:before="40" w:after="40" w:line="276" w:lineRule="auto"/>
        <w:rPr>
          <w:rFonts w:cs="Arial"/>
          <w:sz w:val="18"/>
          <w:szCs w:val="18"/>
        </w:rPr>
      </w:pPr>
      <w:r w:rsidRPr="00053C9E">
        <w:rPr>
          <w:rFonts w:cs="Arial"/>
          <w:i/>
          <w:sz w:val="18"/>
          <w:szCs w:val="18"/>
        </w:rPr>
        <w:t>Brown v</w:t>
      </w:r>
      <w:r w:rsidR="00C84E6E">
        <w:rPr>
          <w:rFonts w:cs="Arial"/>
          <w:i/>
          <w:sz w:val="18"/>
          <w:szCs w:val="18"/>
        </w:rPr>
        <w:t>.</w:t>
      </w:r>
      <w:r w:rsidRPr="00053C9E">
        <w:rPr>
          <w:rFonts w:cs="Arial"/>
          <w:i/>
          <w:sz w:val="18"/>
          <w:szCs w:val="18"/>
        </w:rPr>
        <w:t xml:space="preserve"> Brent and BCF </w:t>
      </w:r>
      <w:r w:rsidRPr="00053C9E">
        <w:rPr>
          <w:rFonts w:cs="Arial"/>
          <w:sz w:val="18"/>
          <w:szCs w:val="18"/>
        </w:rPr>
        <w:t>[2011] Croydon County Court, Case no. 9SE0058</w:t>
      </w:r>
    </w:p>
    <w:p w14:paraId="29ACDEBB" w14:textId="3CBE27BF" w:rsidR="003D1484" w:rsidRPr="00053C9E" w:rsidRDefault="003D1484" w:rsidP="00B655A3">
      <w:pPr>
        <w:pStyle w:val="FootnoteText"/>
        <w:numPr>
          <w:ilvl w:val="0"/>
          <w:numId w:val="7"/>
        </w:numPr>
        <w:spacing w:before="40" w:after="40" w:line="276" w:lineRule="auto"/>
        <w:rPr>
          <w:rFonts w:cs="Arial"/>
          <w:i/>
          <w:sz w:val="18"/>
          <w:szCs w:val="18"/>
        </w:rPr>
      </w:pPr>
      <w:proofErr w:type="spellStart"/>
      <w:r w:rsidRPr="00053C9E">
        <w:rPr>
          <w:rFonts w:cs="Arial"/>
          <w:i/>
          <w:sz w:val="18"/>
          <w:szCs w:val="18"/>
        </w:rPr>
        <w:t>Caparo</w:t>
      </w:r>
      <w:proofErr w:type="spellEnd"/>
      <w:r w:rsidRPr="00053C9E">
        <w:rPr>
          <w:rFonts w:cs="Arial"/>
          <w:i/>
          <w:sz w:val="18"/>
          <w:szCs w:val="18"/>
        </w:rPr>
        <w:t xml:space="preserve"> Industries v</w:t>
      </w:r>
      <w:r w:rsidR="00C84E6E">
        <w:rPr>
          <w:rFonts w:cs="Arial"/>
          <w:i/>
          <w:sz w:val="18"/>
          <w:szCs w:val="18"/>
        </w:rPr>
        <w:t>.</w:t>
      </w:r>
      <w:r w:rsidRPr="00053C9E">
        <w:rPr>
          <w:rFonts w:cs="Arial"/>
          <w:i/>
          <w:sz w:val="18"/>
          <w:szCs w:val="18"/>
        </w:rPr>
        <w:t xml:space="preserve"> </w:t>
      </w:r>
      <w:proofErr w:type="spellStart"/>
      <w:r w:rsidRPr="00053C9E">
        <w:rPr>
          <w:rFonts w:cs="Arial"/>
          <w:i/>
          <w:sz w:val="18"/>
          <w:szCs w:val="18"/>
        </w:rPr>
        <w:t>Dickman</w:t>
      </w:r>
      <w:proofErr w:type="spellEnd"/>
      <w:r w:rsidRPr="00053C9E">
        <w:rPr>
          <w:rFonts w:cs="Arial"/>
          <w:i/>
          <w:sz w:val="18"/>
          <w:szCs w:val="18"/>
        </w:rPr>
        <w:t xml:space="preserve"> </w:t>
      </w:r>
      <w:r w:rsidRPr="00053C9E">
        <w:rPr>
          <w:rFonts w:cs="Arial"/>
          <w:sz w:val="18"/>
          <w:szCs w:val="18"/>
        </w:rPr>
        <w:t>[1990] 2 AC 605.</w:t>
      </w:r>
    </w:p>
    <w:p w14:paraId="04AF6F41" w14:textId="02CF380C" w:rsidR="003D1484" w:rsidRPr="00053C9E" w:rsidRDefault="003D1484" w:rsidP="00B655A3">
      <w:pPr>
        <w:pStyle w:val="FootnoteText"/>
        <w:numPr>
          <w:ilvl w:val="0"/>
          <w:numId w:val="7"/>
        </w:numPr>
        <w:spacing w:before="40" w:after="40" w:line="276" w:lineRule="auto"/>
        <w:rPr>
          <w:rFonts w:cs="Arial"/>
          <w:i/>
          <w:sz w:val="18"/>
          <w:szCs w:val="18"/>
        </w:rPr>
      </w:pPr>
      <w:proofErr w:type="spellStart"/>
      <w:r w:rsidRPr="00053C9E">
        <w:rPr>
          <w:rFonts w:cs="Arial"/>
          <w:i/>
          <w:sz w:val="18"/>
          <w:szCs w:val="18"/>
        </w:rPr>
        <w:t>Gorringe</w:t>
      </w:r>
      <w:proofErr w:type="spellEnd"/>
      <w:r w:rsidRPr="00053C9E">
        <w:rPr>
          <w:rFonts w:cs="Arial"/>
          <w:i/>
          <w:sz w:val="18"/>
          <w:szCs w:val="18"/>
        </w:rPr>
        <w:t xml:space="preserve"> v</w:t>
      </w:r>
      <w:r w:rsidR="00C84E6E">
        <w:rPr>
          <w:rFonts w:cs="Arial"/>
          <w:i/>
          <w:sz w:val="18"/>
          <w:szCs w:val="18"/>
        </w:rPr>
        <w:t>.</w:t>
      </w:r>
      <w:r w:rsidRPr="00053C9E">
        <w:rPr>
          <w:rFonts w:cs="Arial"/>
          <w:i/>
          <w:sz w:val="18"/>
          <w:szCs w:val="18"/>
        </w:rPr>
        <w:t xml:space="preserve"> Calderdale MBC </w:t>
      </w:r>
      <w:r w:rsidRPr="00053C9E">
        <w:rPr>
          <w:rFonts w:cs="Arial"/>
          <w:sz w:val="18"/>
          <w:szCs w:val="18"/>
        </w:rPr>
        <w:t>[2004] HL 15</w:t>
      </w:r>
    </w:p>
    <w:p w14:paraId="47F3F774" w14:textId="2434DA0F" w:rsidR="003D1484" w:rsidRPr="00053C9E" w:rsidRDefault="003D1484" w:rsidP="00B655A3">
      <w:pPr>
        <w:pStyle w:val="FootnoteText"/>
        <w:numPr>
          <w:ilvl w:val="0"/>
          <w:numId w:val="7"/>
        </w:numPr>
        <w:spacing w:before="40" w:after="40" w:line="276" w:lineRule="auto"/>
        <w:rPr>
          <w:rFonts w:cs="Arial"/>
          <w:sz w:val="18"/>
          <w:szCs w:val="18"/>
        </w:rPr>
      </w:pPr>
      <w:proofErr w:type="spellStart"/>
      <w:r w:rsidRPr="00053C9E">
        <w:rPr>
          <w:rFonts w:cs="Arial"/>
          <w:i/>
          <w:sz w:val="18"/>
          <w:szCs w:val="18"/>
        </w:rPr>
        <w:t>Smoldon</w:t>
      </w:r>
      <w:proofErr w:type="spellEnd"/>
      <w:r w:rsidRPr="00053C9E">
        <w:rPr>
          <w:rFonts w:cs="Arial"/>
          <w:i/>
          <w:sz w:val="18"/>
          <w:szCs w:val="18"/>
        </w:rPr>
        <w:t xml:space="preserve"> v</w:t>
      </w:r>
      <w:r w:rsidR="00C84E6E">
        <w:rPr>
          <w:rFonts w:cs="Arial"/>
          <w:i/>
          <w:sz w:val="18"/>
          <w:szCs w:val="18"/>
        </w:rPr>
        <w:t>.</w:t>
      </w:r>
      <w:r w:rsidRPr="00053C9E">
        <w:rPr>
          <w:rFonts w:cs="Arial"/>
          <w:i/>
          <w:sz w:val="18"/>
          <w:szCs w:val="18"/>
        </w:rPr>
        <w:t xml:space="preserve"> Whitworth and Nolan </w:t>
      </w:r>
      <w:r w:rsidRPr="00053C9E">
        <w:rPr>
          <w:rFonts w:cs="Arial"/>
          <w:sz w:val="18"/>
          <w:szCs w:val="18"/>
        </w:rPr>
        <w:t>[1997] ELR 249.</w:t>
      </w:r>
    </w:p>
    <w:p w14:paraId="575EE6C7" w14:textId="53C0E7F0" w:rsidR="003D1484" w:rsidRPr="00053C9E" w:rsidRDefault="003D1484" w:rsidP="00B655A3">
      <w:pPr>
        <w:pStyle w:val="FootnoteText"/>
        <w:numPr>
          <w:ilvl w:val="0"/>
          <w:numId w:val="7"/>
        </w:numPr>
        <w:spacing w:before="40" w:after="40" w:line="276" w:lineRule="auto"/>
        <w:rPr>
          <w:rFonts w:cs="Arial"/>
          <w:sz w:val="18"/>
          <w:szCs w:val="18"/>
        </w:rPr>
      </w:pPr>
      <w:r w:rsidRPr="00053C9E">
        <w:rPr>
          <w:rFonts w:cs="Arial"/>
          <w:bCs/>
          <w:i/>
          <w:kern w:val="36"/>
          <w:sz w:val="18"/>
          <w:szCs w:val="18"/>
        </w:rPr>
        <w:t>Uren v</w:t>
      </w:r>
      <w:r w:rsidR="00C84E6E">
        <w:rPr>
          <w:rFonts w:cs="Arial"/>
          <w:bCs/>
          <w:i/>
          <w:kern w:val="36"/>
          <w:sz w:val="18"/>
          <w:szCs w:val="18"/>
        </w:rPr>
        <w:t>.</w:t>
      </w:r>
      <w:r w:rsidRPr="00053C9E">
        <w:rPr>
          <w:rFonts w:cs="Arial"/>
          <w:bCs/>
          <w:i/>
          <w:kern w:val="36"/>
          <w:sz w:val="18"/>
          <w:szCs w:val="18"/>
        </w:rPr>
        <w:t xml:space="preserve"> Corporate Leisure (UK) Limited, Ministry of Defence</w:t>
      </w:r>
      <w:r w:rsidRPr="00053C9E">
        <w:rPr>
          <w:rFonts w:cs="Arial"/>
          <w:bCs/>
          <w:kern w:val="36"/>
          <w:sz w:val="18"/>
          <w:szCs w:val="18"/>
        </w:rPr>
        <w:t xml:space="preserve"> [</w:t>
      </w:r>
      <w:r w:rsidRPr="00053C9E">
        <w:rPr>
          <w:rFonts w:cs="Arial"/>
          <w:bCs/>
          <w:sz w:val="18"/>
          <w:szCs w:val="18"/>
        </w:rPr>
        <w:t>2013] EWHC 353 (QB)</w:t>
      </w:r>
    </w:p>
    <w:p w14:paraId="1214BFE8" w14:textId="6D2BD82B" w:rsidR="003D1484" w:rsidRPr="00053C9E" w:rsidRDefault="003D1484" w:rsidP="00B655A3">
      <w:pPr>
        <w:pStyle w:val="FootnoteText"/>
        <w:numPr>
          <w:ilvl w:val="0"/>
          <w:numId w:val="7"/>
        </w:numPr>
        <w:spacing w:before="40" w:after="40" w:line="276" w:lineRule="auto"/>
        <w:ind w:left="714" w:hanging="357"/>
        <w:rPr>
          <w:rFonts w:cs="Arial"/>
          <w:i/>
          <w:sz w:val="18"/>
          <w:szCs w:val="18"/>
        </w:rPr>
      </w:pPr>
      <w:r w:rsidRPr="00053C9E">
        <w:rPr>
          <w:rFonts w:cs="Arial"/>
          <w:i/>
          <w:sz w:val="18"/>
          <w:szCs w:val="18"/>
        </w:rPr>
        <w:t>Watson v</w:t>
      </w:r>
      <w:r w:rsidR="00C84E6E">
        <w:rPr>
          <w:rFonts w:cs="Arial"/>
          <w:i/>
          <w:sz w:val="18"/>
          <w:szCs w:val="18"/>
        </w:rPr>
        <w:t>.</w:t>
      </w:r>
      <w:r w:rsidRPr="00053C9E">
        <w:rPr>
          <w:rFonts w:cs="Arial"/>
          <w:i/>
          <w:sz w:val="18"/>
          <w:szCs w:val="18"/>
        </w:rPr>
        <w:t xml:space="preserve"> BBBC</w:t>
      </w:r>
      <w:r w:rsidRPr="00053C9E">
        <w:rPr>
          <w:rFonts w:cs="Arial"/>
          <w:sz w:val="18"/>
          <w:szCs w:val="18"/>
        </w:rPr>
        <w:t xml:space="preserve"> [2001] QB 1134.</w:t>
      </w:r>
    </w:p>
    <w:p w14:paraId="0C95882F" w14:textId="78E05F59" w:rsidR="003D1484" w:rsidRPr="00053C9E" w:rsidRDefault="003D1484" w:rsidP="00B655A3">
      <w:pPr>
        <w:pStyle w:val="ListParagraph"/>
        <w:numPr>
          <w:ilvl w:val="0"/>
          <w:numId w:val="7"/>
        </w:numPr>
        <w:spacing w:before="40" w:after="40"/>
        <w:ind w:left="714" w:hanging="357"/>
        <w:contextualSpacing w:val="0"/>
        <w:outlineLvl w:val="0"/>
        <w:rPr>
          <w:rFonts w:eastAsia="Arial Unicode MS" w:cs="Arial"/>
          <w:b/>
          <w:color w:val="000000"/>
          <w:sz w:val="18"/>
          <w:szCs w:val="18"/>
          <w:u w:color="000000"/>
        </w:rPr>
      </w:pPr>
      <w:proofErr w:type="spellStart"/>
      <w:r w:rsidRPr="00053C9E">
        <w:rPr>
          <w:rFonts w:cs="Arial"/>
          <w:i/>
          <w:sz w:val="18"/>
          <w:szCs w:val="18"/>
        </w:rPr>
        <w:t>Wattleworth</w:t>
      </w:r>
      <w:proofErr w:type="spellEnd"/>
      <w:r w:rsidRPr="00053C9E">
        <w:rPr>
          <w:rFonts w:cs="Arial"/>
          <w:i/>
          <w:sz w:val="18"/>
          <w:szCs w:val="18"/>
        </w:rPr>
        <w:t xml:space="preserve"> v</w:t>
      </w:r>
      <w:r w:rsidR="00C84E6E">
        <w:rPr>
          <w:rFonts w:cs="Arial"/>
          <w:i/>
          <w:sz w:val="18"/>
          <w:szCs w:val="18"/>
        </w:rPr>
        <w:t>.</w:t>
      </w:r>
      <w:r w:rsidRPr="00053C9E">
        <w:rPr>
          <w:rFonts w:cs="Arial"/>
          <w:i/>
          <w:sz w:val="18"/>
          <w:szCs w:val="18"/>
        </w:rPr>
        <w:t xml:space="preserve"> </w:t>
      </w:r>
      <w:proofErr w:type="spellStart"/>
      <w:r w:rsidRPr="00053C9E">
        <w:rPr>
          <w:rFonts w:cs="Arial"/>
          <w:i/>
          <w:sz w:val="18"/>
          <w:szCs w:val="18"/>
        </w:rPr>
        <w:t>Goodwood</w:t>
      </w:r>
      <w:proofErr w:type="spellEnd"/>
      <w:r w:rsidRPr="00053C9E">
        <w:rPr>
          <w:rFonts w:cs="Arial"/>
          <w:i/>
          <w:sz w:val="18"/>
          <w:szCs w:val="18"/>
        </w:rPr>
        <w:t xml:space="preserve"> Racing Company Ltd and Royal Automobile Club Motor Sports Association Ltd and Federation Internationale de </w:t>
      </w:r>
      <w:proofErr w:type="spellStart"/>
      <w:r w:rsidRPr="00053C9E">
        <w:rPr>
          <w:rFonts w:cs="Arial"/>
          <w:i/>
          <w:sz w:val="18"/>
          <w:szCs w:val="18"/>
        </w:rPr>
        <w:t>l’Automobile</w:t>
      </w:r>
      <w:proofErr w:type="spellEnd"/>
      <w:r w:rsidRPr="00053C9E">
        <w:rPr>
          <w:rFonts w:cs="Arial"/>
          <w:sz w:val="18"/>
          <w:szCs w:val="18"/>
        </w:rPr>
        <w:t xml:space="preserve"> [2004] EWHC 140.</w:t>
      </w:r>
    </w:p>
    <w:p w14:paraId="208AE74A" w14:textId="18F869F8" w:rsidR="003D1484" w:rsidRPr="00053C9E" w:rsidRDefault="003D1484" w:rsidP="00B655A3">
      <w:pPr>
        <w:pStyle w:val="ListParagraph"/>
        <w:numPr>
          <w:ilvl w:val="0"/>
          <w:numId w:val="7"/>
        </w:numPr>
        <w:spacing w:before="40" w:after="40"/>
        <w:outlineLvl w:val="0"/>
        <w:rPr>
          <w:rFonts w:eastAsia="Arial Unicode MS" w:cs="Arial"/>
          <w:color w:val="000000"/>
          <w:sz w:val="18"/>
          <w:szCs w:val="18"/>
          <w:u w:color="000000"/>
        </w:rPr>
      </w:pPr>
      <w:r w:rsidRPr="00053C9E">
        <w:rPr>
          <w:rFonts w:cs="Arial"/>
          <w:i/>
          <w:sz w:val="18"/>
          <w:szCs w:val="18"/>
        </w:rPr>
        <w:t>Wooldridge v</w:t>
      </w:r>
      <w:r w:rsidR="00C84E6E">
        <w:rPr>
          <w:rFonts w:cs="Arial"/>
          <w:i/>
          <w:sz w:val="18"/>
          <w:szCs w:val="18"/>
        </w:rPr>
        <w:t>.</w:t>
      </w:r>
      <w:r w:rsidRPr="00053C9E">
        <w:rPr>
          <w:rFonts w:cs="Arial"/>
          <w:i/>
          <w:sz w:val="18"/>
          <w:szCs w:val="18"/>
        </w:rPr>
        <w:t xml:space="preserve"> Sumner</w:t>
      </w:r>
      <w:r w:rsidRPr="00053C9E">
        <w:rPr>
          <w:rFonts w:cs="Arial"/>
          <w:sz w:val="18"/>
          <w:szCs w:val="18"/>
        </w:rPr>
        <w:t xml:space="preserve"> [1963] 2 QB 43.</w:t>
      </w:r>
    </w:p>
    <w:p w14:paraId="71772C80" w14:textId="6D75E116" w:rsidR="003D1484" w:rsidRPr="00053C9E" w:rsidRDefault="003D1484" w:rsidP="00B655A3">
      <w:pPr>
        <w:pStyle w:val="FootnoteText"/>
        <w:numPr>
          <w:ilvl w:val="0"/>
          <w:numId w:val="7"/>
        </w:numPr>
        <w:spacing w:before="40" w:after="40" w:line="276" w:lineRule="auto"/>
        <w:rPr>
          <w:rFonts w:cs="Arial"/>
          <w:i/>
          <w:sz w:val="18"/>
          <w:szCs w:val="18"/>
        </w:rPr>
      </w:pPr>
      <w:proofErr w:type="spellStart"/>
      <w:r w:rsidRPr="00053C9E">
        <w:rPr>
          <w:rFonts w:cs="Arial"/>
          <w:i/>
          <w:sz w:val="18"/>
          <w:szCs w:val="18"/>
        </w:rPr>
        <w:t>Yetkin</w:t>
      </w:r>
      <w:proofErr w:type="spellEnd"/>
      <w:r w:rsidRPr="00053C9E">
        <w:rPr>
          <w:rFonts w:cs="Arial"/>
          <w:i/>
          <w:sz w:val="18"/>
          <w:szCs w:val="18"/>
        </w:rPr>
        <w:t xml:space="preserve"> v</w:t>
      </w:r>
      <w:r w:rsidR="00C84E6E">
        <w:rPr>
          <w:rFonts w:cs="Arial"/>
          <w:i/>
          <w:sz w:val="18"/>
          <w:szCs w:val="18"/>
        </w:rPr>
        <w:t>.</w:t>
      </w:r>
      <w:r w:rsidRPr="00053C9E">
        <w:rPr>
          <w:rFonts w:cs="Arial"/>
          <w:i/>
          <w:sz w:val="18"/>
          <w:szCs w:val="18"/>
        </w:rPr>
        <w:t xml:space="preserve"> Newham LBC </w:t>
      </w:r>
      <w:r w:rsidRPr="00053C9E">
        <w:rPr>
          <w:rFonts w:cs="Arial"/>
          <w:sz w:val="18"/>
          <w:szCs w:val="18"/>
        </w:rPr>
        <w:t xml:space="preserve">[2010] EWCA </w:t>
      </w:r>
      <w:proofErr w:type="spellStart"/>
      <w:r w:rsidRPr="00053C9E">
        <w:rPr>
          <w:rFonts w:cs="Arial"/>
          <w:sz w:val="18"/>
          <w:szCs w:val="18"/>
        </w:rPr>
        <w:t>Civ</w:t>
      </w:r>
      <w:proofErr w:type="spellEnd"/>
      <w:r w:rsidRPr="00053C9E">
        <w:rPr>
          <w:rFonts w:cs="Arial"/>
          <w:sz w:val="18"/>
          <w:szCs w:val="18"/>
        </w:rPr>
        <w:t xml:space="preserve"> 776</w:t>
      </w:r>
    </w:p>
    <w:p w14:paraId="287F94BE" w14:textId="77777777" w:rsidR="00C11BD8" w:rsidRDefault="00C11BD8" w:rsidP="00FB7E7D">
      <w:pPr>
        <w:spacing w:after="0"/>
        <w:outlineLvl w:val="0"/>
        <w:rPr>
          <w:rFonts w:eastAsia="Arial Unicode MS"/>
          <w:color w:val="FF0000"/>
          <w:sz w:val="18"/>
          <w:szCs w:val="18"/>
          <w:u w:color="000000"/>
        </w:rPr>
      </w:pPr>
    </w:p>
    <w:p w14:paraId="76A30E30" w14:textId="77777777" w:rsidR="002C4A4D" w:rsidRPr="00053C9E" w:rsidRDefault="002C4A4D" w:rsidP="00FB7E7D">
      <w:pPr>
        <w:spacing w:after="0"/>
        <w:outlineLvl w:val="0"/>
        <w:rPr>
          <w:rFonts w:eastAsia="Arial Unicode MS"/>
          <w:color w:val="FF0000"/>
          <w:sz w:val="18"/>
          <w:szCs w:val="18"/>
          <w:u w:color="000000"/>
        </w:rPr>
      </w:pPr>
    </w:p>
    <w:p w14:paraId="1B06E3EA" w14:textId="16E09FF5" w:rsidR="002C4A4D" w:rsidRDefault="002C4A4D" w:rsidP="002C4A4D">
      <w:pPr>
        <w:spacing w:after="0"/>
        <w:outlineLvl w:val="0"/>
        <w:rPr>
          <w:rFonts w:eastAsia="Arial Unicode MS"/>
          <w:b/>
          <w:color w:val="000000"/>
          <w:u w:color="000000"/>
        </w:rPr>
      </w:pPr>
      <w:r w:rsidRPr="00C11BD8">
        <w:rPr>
          <w:rFonts w:eastAsia="Arial Unicode MS"/>
          <w:b/>
          <w:color w:val="000000"/>
          <w:u w:color="000000"/>
        </w:rPr>
        <w:t>Cases</w:t>
      </w:r>
      <w:r>
        <w:rPr>
          <w:rFonts w:eastAsia="Arial Unicode MS"/>
          <w:b/>
          <w:color w:val="000000"/>
          <w:u w:color="000000"/>
        </w:rPr>
        <w:t xml:space="preserve"> (Other Jurisdictions)</w:t>
      </w:r>
    </w:p>
    <w:p w14:paraId="6DB5E870" w14:textId="77777777" w:rsidR="002C4A4D" w:rsidRPr="00053C9E" w:rsidRDefault="002C4A4D" w:rsidP="00B655A3">
      <w:pPr>
        <w:pStyle w:val="FootnoteText"/>
        <w:numPr>
          <w:ilvl w:val="0"/>
          <w:numId w:val="7"/>
        </w:numPr>
        <w:spacing w:before="40" w:after="40"/>
        <w:rPr>
          <w:rFonts w:cs="Arial"/>
          <w:i/>
          <w:sz w:val="18"/>
          <w:szCs w:val="18"/>
        </w:rPr>
      </w:pPr>
      <w:r w:rsidRPr="00053C9E">
        <w:rPr>
          <w:rFonts w:cs="Arial"/>
          <w:i/>
          <w:sz w:val="18"/>
          <w:szCs w:val="18"/>
        </w:rPr>
        <w:t>Andersen v R</w:t>
      </w:r>
      <w:r w:rsidRPr="00053C9E">
        <w:rPr>
          <w:rFonts w:cs="Arial"/>
          <w:sz w:val="18"/>
          <w:szCs w:val="18"/>
        </w:rPr>
        <w:t xml:space="preserve"> [2004] NZCA 238</w:t>
      </w:r>
      <w:r>
        <w:rPr>
          <w:rFonts w:cs="Arial"/>
          <w:sz w:val="18"/>
          <w:szCs w:val="18"/>
        </w:rPr>
        <w:t xml:space="preserve"> (New Zealand)</w:t>
      </w:r>
    </w:p>
    <w:p w14:paraId="44C36403" w14:textId="77777777" w:rsidR="002C4A4D" w:rsidRPr="00C11BD8" w:rsidRDefault="002C4A4D" w:rsidP="002C4A4D">
      <w:pPr>
        <w:spacing w:after="0"/>
        <w:outlineLvl w:val="0"/>
        <w:rPr>
          <w:rFonts w:eastAsia="Arial Unicode MS"/>
          <w:b/>
          <w:color w:val="000000"/>
          <w:u w:color="000000"/>
        </w:rPr>
      </w:pPr>
    </w:p>
    <w:p w14:paraId="7A82DC42" w14:textId="77777777" w:rsidR="00053C9E" w:rsidRPr="003D1484" w:rsidRDefault="00053C9E" w:rsidP="00FB7E7D">
      <w:pPr>
        <w:spacing w:after="0"/>
        <w:outlineLvl w:val="0"/>
        <w:rPr>
          <w:rFonts w:eastAsia="Arial Unicode MS"/>
          <w:color w:val="FF0000"/>
          <w:sz w:val="20"/>
          <w:szCs w:val="20"/>
          <w:u w:color="000000"/>
        </w:rPr>
      </w:pPr>
    </w:p>
    <w:p w14:paraId="1417C2F8" w14:textId="139E38DA"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Statute</w:t>
      </w:r>
      <w:r w:rsidRPr="00C11BD8">
        <w:rPr>
          <w:rFonts w:eastAsia="Arial Unicode MS"/>
          <w:b/>
          <w:color w:val="000000"/>
          <w:u w:color="000000"/>
        </w:rPr>
        <w:t>s</w:t>
      </w:r>
      <w:r w:rsidR="002C4A4D">
        <w:rPr>
          <w:rFonts w:eastAsia="Arial Unicode MS"/>
          <w:b/>
          <w:color w:val="000000"/>
          <w:u w:color="000000"/>
        </w:rPr>
        <w:t xml:space="preserve"> (UK)</w:t>
      </w:r>
    </w:p>
    <w:p w14:paraId="72B2B028"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Cycle Racing on Highways Regulations 1960</w:t>
      </w:r>
    </w:p>
    <w:p w14:paraId="09E617BE"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Health and Safety at Work Act 1974</w:t>
      </w:r>
    </w:p>
    <w:p w14:paraId="6234B733"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cs="Arial"/>
          <w:i/>
          <w:iCs/>
          <w:color w:val="000000"/>
          <w:sz w:val="18"/>
          <w:szCs w:val="18"/>
        </w:rPr>
        <w:t>Management of Health and Safety at Work Regulations 1999 &lt;</w:t>
      </w:r>
    </w:p>
    <w:p w14:paraId="0B9FBE3F"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Occupiers Liability Act 1958</w:t>
      </w:r>
    </w:p>
    <w:p w14:paraId="7A05CEC7" w14:textId="77777777" w:rsidR="00C84E6E" w:rsidRPr="00053C9E" w:rsidRDefault="00C84E6E" w:rsidP="00B655A3">
      <w:pPr>
        <w:pStyle w:val="ListParagraph"/>
        <w:numPr>
          <w:ilvl w:val="0"/>
          <w:numId w:val="8"/>
        </w:numPr>
        <w:spacing w:before="40" w:after="40" w:line="240" w:lineRule="auto"/>
        <w:outlineLvl w:val="0"/>
        <w:rPr>
          <w:rFonts w:eastAsia="Arial Unicode MS" w:cs="Arial"/>
          <w:i/>
          <w:color w:val="000000"/>
          <w:sz w:val="18"/>
          <w:szCs w:val="18"/>
          <w:u w:color="000000"/>
        </w:rPr>
      </w:pPr>
      <w:r w:rsidRPr="00053C9E">
        <w:rPr>
          <w:rFonts w:eastAsia="Arial Unicode MS" w:cs="Arial"/>
          <w:i/>
          <w:color w:val="000000"/>
          <w:sz w:val="18"/>
          <w:szCs w:val="18"/>
          <w:u w:color="000000"/>
        </w:rPr>
        <w:t>Occupiers Liability Act 1984</w:t>
      </w:r>
    </w:p>
    <w:p w14:paraId="2076F90F"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Road Traffic Act 1980</w:t>
      </w:r>
    </w:p>
    <w:p w14:paraId="458315D5" w14:textId="7B486C4C"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Road Traffic (Special Event</w:t>
      </w:r>
      <w:r w:rsidR="00C84E6E">
        <w:rPr>
          <w:rFonts w:eastAsia="Arial Unicode MS" w:cs="Arial"/>
          <w:i/>
          <w:color w:val="000000"/>
          <w:sz w:val="18"/>
          <w:szCs w:val="18"/>
          <w:u w:color="000000"/>
        </w:rPr>
        <w:t>s</w:t>
      </w:r>
      <w:r w:rsidRPr="00053C9E">
        <w:rPr>
          <w:rFonts w:eastAsia="Arial Unicode MS" w:cs="Arial"/>
          <w:i/>
          <w:color w:val="000000"/>
          <w:sz w:val="18"/>
          <w:szCs w:val="18"/>
          <w:u w:color="000000"/>
        </w:rPr>
        <w:t>) Act 1994</w:t>
      </w:r>
    </w:p>
    <w:p w14:paraId="26E06E8D" w14:textId="77777777" w:rsidR="003D1484" w:rsidRPr="00053C9E" w:rsidRDefault="003D1484" w:rsidP="00B655A3">
      <w:pPr>
        <w:pStyle w:val="ListParagraph"/>
        <w:numPr>
          <w:ilvl w:val="0"/>
          <w:numId w:val="8"/>
        </w:numPr>
        <w:spacing w:before="40" w:after="40"/>
        <w:ind w:left="714" w:hanging="357"/>
        <w:outlineLvl w:val="0"/>
        <w:rPr>
          <w:rFonts w:eastAsia="Arial Unicode MS" w:cs="Arial"/>
          <w:i/>
          <w:color w:val="000000"/>
          <w:sz w:val="18"/>
          <w:szCs w:val="18"/>
          <w:u w:color="000000"/>
        </w:rPr>
      </w:pPr>
      <w:r w:rsidRPr="00053C9E">
        <w:rPr>
          <w:rFonts w:eastAsia="Arial Unicode MS" w:cs="Arial"/>
          <w:i/>
          <w:color w:val="000000"/>
          <w:sz w:val="18"/>
          <w:szCs w:val="18"/>
          <w:u w:color="000000"/>
        </w:rPr>
        <w:t>Unfair Contract Terms Act 1977</w:t>
      </w:r>
    </w:p>
    <w:p w14:paraId="0F6370A3" w14:textId="77777777" w:rsidR="002C4A4D" w:rsidRDefault="002C4A4D" w:rsidP="002C4A4D">
      <w:pPr>
        <w:spacing w:after="0"/>
        <w:outlineLvl w:val="0"/>
        <w:rPr>
          <w:u w:color="000000"/>
        </w:rPr>
      </w:pPr>
    </w:p>
    <w:p w14:paraId="65113E40" w14:textId="77777777" w:rsidR="00682A67" w:rsidRDefault="00682A67" w:rsidP="002C4A4D">
      <w:pPr>
        <w:spacing w:after="0"/>
        <w:outlineLvl w:val="0"/>
        <w:rPr>
          <w:u w:color="000000"/>
        </w:rPr>
      </w:pPr>
    </w:p>
    <w:p w14:paraId="1C9B7D04" w14:textId="0F7A9717" w:rsidR="0093324A" w:rsidRDefault="002C4A4D" w:rsidP="00FB7E7D">
      <w:pPr>
        <w:spacing w:after="0"/>
        <w:outlineLvl w:val="0"/>
        <w:rPr>
          <w:rFonts w:eastAsia="Arial Unicode MS"/>
          <w:color w:val="FF0000"/>
          <w:u w:color="000000"/>
        </w:rPr>
      </w:pPr>
      <w:r w:rsidRPr="002C4A4D">
        <w:rPr>
          <w:rFonts w:eastAsia="Arial Unicode MS"/>
          <w:b/>
          <w:color w:val="000000"/>
          <w:u w:color="000000"/>
        </w:rPr>
        <w:t xml:space="preserve">Statutes </w:t>
      </w:r>
      <w:r>
        <w:rPr>
          <w:rFonts w:eastAsia="Arial Unicode MS"/>
          <w:b/>
          <w:color w:val="000000"/>
          <w:u w:color="000000"/>
        </w:rPr>
        <w:t>(Other Jurisdictions</w:t>
      </w:r>
      <w:r w:rsidRPr="002C4A4D">
        <w:rPr>
          <w:rFonts w:eastAsia="Arial Unicode MS"/>
          <w:b/>
          <w:color w:val="000000"/>
          <w:u w:color="000000"/>
        </w:rPr>
        <w:t>)</w:t>
      </w:r>
    </w:p>
    <w:p w14:paraId="6CD2FC1C" w14:textId="065C9C6E" w:rsidR="00053C9E" w:rsidRPr="00C84E6E" w:rsidRDefault="00C84E6E" w:rsidP="00B655A3">
      <w:pPr>
        <w:pStyle w:val="ListParagraph"/>
        <w:numPr>
          <w:ilvl w:val="0"/>
          <w:numId w:val="11"/>
        </w:numPr>
        <w:spacing w:after="0"/>
        <w:outlineLvl w:val="0"/>
        <w:rPr>
          <w:rFonts w:eastAsia="Arial Unicode MS"/>
          <w:color w:val="FF0000"/>
          <w:u w:color="000000"/>
        </w:rPr>
      </w:pPr>
      <w:r w:rsidRPr="00C84E6E">
        <w:rPr>
          <w:rFonts w:cs="Arial"/>
          <w:sz w:val="18"/>
          <w:szCs w:val="18"/>
        </w:rPr>
        <w:t>Crimes Act 1961</w:t>
      </w:r>
    </w:p>
    <w:p w14:paraId="0445D486" w14:textId="77777777" w:rsidR="002C4A4D" w:rsidRDefault="002C4A4D" w:rsidP="00FB7E7D">
      <w:pPr>
        <w:spacing w:after="0"/>
        <w:outlineLvl w:val="0"/>
        <w:rPr>
          <w:rFonts w:eastAsia="Arial Unicode MS"/>
          <w:color w:val="FF0000"/>
          <w:u w:color="000000"/>
        </w:rPr>
      </w:pPr>
    </w:p>
    <w:p w14:paraId="7400B0E9" w14:textId="77777777" w:rsidR="00682A67" w:rsidRPr="00C11BD8" w:rsidRDefault="00682A67" w:rsidP="00FB7E7D">
      <w:pPr>
        <w:spacing w:after="0"/>
        <w:outlineLvl w:val="0"/>
        <w:rPr>
          <w:rFonts w:eastAsia="Arial Unicode MS"/>
          <w:color w:val="FF0000"/>
          <w:u w:color="000000"/>
        </w:rPr>
      </w:pPr>
    </w:p>
    <w:p w14:paraId="592DE488" w14:textId="03C80BB8" w:rsidR="00026278" w:rsidRPr="00C11BD8" w:rsidRDefault="0093324A" w:rsidP="00026278">
      <w:pPr>
        <w:spacing w:after="0"/>
        <w:outlineLvl w:val="0"/>
        <w:rPr>
          <w:rFonts w:eastAsia="Arial Unicode MS"/>
          <w:b/>
          <w:color w:val="000000"/>
          <w:u w:color="000000"/>
        </w:rPr>
      </w:pPr>
      <w:r>
        <w:rPr>
          <w:rFonts w:eastAsia="Arial Unicode MS"/>
          <w:b/>
          <w:color w:val="000000"/>
          <w:u w:color="000000"/>
        </w:rPr>
        <w:t>Books</w:t>
      </w:r>
    </w:p>
    <w:p w14:paraId="617AFC6D" w14:textId="68224A04" w:rsidR="003D1484" w:rsidRPr="00053C9E" w:rsidRDefault="003D1484" w:rsidP="00B655A3">
      <w:pPr>
        <w:pStyle w:val="ListParagraph"/>
        <w:numPr>
          <w:ilvl w:val="0"/>
          <w:numId w:val="2"/>
        </w:numPr>
        <w:spacing w:before="40" w:after="40"/>
        <w:ind w:left="714" w:hanging="357"/>
        <w:outlineLvl w:val="0"/>
        <w:rPr>
          <w:rFonts w:cs="Arial"/>
          <w:sz w:val="18"/>
          <w:szCs w:val="18"/>
        </w:rPr>
      </w:pPr>
      <w:r w:rsidRPr="00053C9E">
        <w:rPr>
          <w:rFonts w:cs="Arial"/>
          <w:sz w:val="18"/>
          <w:szCs w:val="18"/>
        </w:rPr>
        <w:t>Gardiner</w:t>
      </w:r>
      <w:r w:rsidR="009A106D">
        <w:rPr>
          <w:rFonts w:cs="Arial"/>
          <w:sz w:val="18"/>
          <w:szCs w:val="18"/>
        </w:rPr>
        <w:t xml:space="preserve"> S, </w:t>
      </w:r>
      <w:r w:rsidRPr="00053C9E">
        <w:rPr>
          <w:rFonts w:cs="Arial"/>
          <w:sz w:val="18"/>
          <w:szCs w:val="18"/>
        </w:rPr>
        <w:t>James</w:t>
      </w:r>
      <w:r w:rsidR="009A106D">
        <w:rPr>
          <w:rFonts w:cs="Arial"/>
          <w:sz w:val="18"/>
          <w:szCs w:val="18"/>
        </w:rPr>
        <w:t xml:space="preserve"> M</w:t>
      </w:r>
      <w:r w:rsidRPr="00053C9E">
        <w:rPr>
          <w:rFonts w:cs="Arial"/>
          <w:sz w:val="18"/>
          <w:szCs w:val="18"/>
        </w:rPr>
        <w:t xml:space="preserve">, O’Leary </w:t>
      </w:r>
      <w:r w:rsidR="009A106D">
        <w:rPr>
          <w:rFonts w:cs="Arial"/>
          <w:sz w:val="18"/>
          <w:szCs w:val="18"/>
        </w:rPr>
        <w:t xml:space="preserve">J </w:t>
      </w:r>
      <w:r w:rsidRPr="00053C9E">
        <w:rPr>
          <w:rFonts w:cs="Arial"/>
          <w:sz w:val="18"/>
          <w:szCs w:val="18"/>
        </w:rPr>
        <w:t>&amp; Welch</w:t>
      </w:r>
      <w:r w:rsidR="009A106D">
        <w:rPr>
          <w:rFonts w:cs="Arial"/>
          <w:sz w:val="18"/>
          <w:szCs w:val="18"/>
        </w:rPr>
        <w:t xml:space="preserve"> R, with </w:t>
      </w:r>
      <w:proofErr w:type="spellStart"/>
      <w:r w:rsidRPr="00053C9E">
        <w:rPr>
          <w:rFonts w:cs="Arial"/>
          <w:sz w:val="18"/>
          <w:szCs w:val="18"/>
        </w:rPr>
        <w:t>Blackshaw</w:t>
      </w:r>
      <w:proofErr w:type="spellEnd"/>
      <w:r w:rsidR="009A106D">
        <w:rPr>
          <w:rFonts w:cs="Arial"/>
          <w:sz w:val="18"/>
          <w:szCs w:val="18"/>
        </w:rPr>
        <w:t xml:space="preserve"> I, </w:t>
      </w:r>
      <w:r w:rsidRPr="00053C9E">
        <w:rPr>
          <w:rFonts w:cs="Arial"/>
          <w:sz w:val="18"/>
          <w:szCs w:val="18"/>
        </w:rPr>
        <w:t xml:space="preserve">Boyes </w:t>
      </w:r>
      <w:r w:rsidR="009A106D">
        <w:rPr>
          <w:rFonts w:cs="Arial"/>
          <w:sz w:val="18"/>
          <w:szCs w:val="18"/>
        </w:rPr>
        <w:t xml:space="preserve">S &amp; </w:t>
      </w:r>
      <w:proofErr w:type="spellStart"/>
      <w:r w:rsidRPr="00053C9E">
        <w:rPr>
          <w:rFonts w:cs="Arial"/>
          <w:sz w:val="18"/>
          <w:szCs w:val="18"/>
        </w:rPr>
        <w:t>Caiger</w:t>
      </w:r>
      <w:proofErr w:type="spellEnd"/>
      <w:r w:rsidR="009A106D">
        <w:rPr>
          <w:rFonts w:cs="Arial"/>
          <w:sz w:val="18"/>
          <w:szCs w:val="18"/>
        </w:rPr>
        <w:t xml:space="preserve"> A</w:t>
      </w:r>
      <w:r w:rsidRPr="00053C9E">
        <w:rPr>
          <w:rFonts w:cs="Arial"/>
          <w:sz w:val="18"/>
          <w:szCs w:val="18"/>
        </w:rPr>
        <w:t xml:space="preserve">, </w:t>
      </w:r>
      <w:r w:rsidRPr="00053C9E">
        <w:rPr>
          <w:rFonts w:cs="Arial"/>
          <w:i/>
          <w:sz w:val="18"/>
          <w:szCs w:val="18"/>
        </w:rPr>
        <w:t>Sports Law</w:t>
      </w:r>
      <w:r w:rsidRPr="00053C9E">
        <w:rPr>
          <w:rFonts w:cs="Arial"/>
          <w:sz w:val="18"/>
          <w:szCs w:val="18"/>
        </w:rPr>
        <w:t xml:space="preserve"> (3</w:t>
      </w:r>
      <w:r w:rsidRPr="00053C9E">
        <w:rPr>
          <w:rFonts w:cs="Arial"/>
          <w:sz w:val="18"/>
          <w:szCs w:val="18"/>
          <w:vertAlign w:val="superscript"/>
        </w:rPr>
        <w:t>rd</w:t>
      </w:r>
      <w:r w:rsidRPr="00053C9E">
        <w:rPr>
          <w:rFonts w:cs="Arial"/>
          <w:sz w:val="18"/>
          <w:szCs w:val="18"/>
        </w:rPr>
        <w:t xml:space="preserve"> </w:t>
      </w:r>
      <w:proofErr w:type="spellStart"/>
      <w:r w:rsidRPr="00053C9E">
        <w:rPr>
          <w:rFonts w:cs="Arial"/>
          <w:sz w:val="18"/>
          <w:szCs w:val="18"/>
        </w:rPr>
        <w:t>edn</w:t>
      </w:r>
      <w:proofErr w:type="spellEnd"/>
      <w:r w:rsidRPr="00053C9E">
        <w:rPr>
          <w:rFonts w:cs="Arial"/>
          <w:sz w:val="18"/>
          <w:szCs w:val="18"/>
        </w:rPr>
        <w:t>, Cavendish Publishing 2006)</w:t>
      </w:r>
    </w:p>
    <w:p w14:paraId="1EA72138" w14:textId="4804A2A8" w:rsidR="003D1484" w:rsidRPr="00053C9E" w:rsidRDefault="003D1484" w:rsidP="00B655A3">
      <w:pPr>
        <w:pStyle w:val="ListParagraph"/>
        <w:numPr>
          <w:ilvl w:val="0"/>
          <w:numId w:val="2"/>
        </w:numPr>
        <w:spacing w:before="40" w:after="40"/>
        <w:ind w:left="714" w:hanging="357"/>
        <w:outlineLvl w:val="0"/>
        <w:rPr>
          <w:rFonts w:eastAsia="Arial Unicode MS" w:cs="Arial"/>
          <w:color w:val="000000"/>
          <w:sz w:val="18"/>
          <w:szCs w:val="18"/>
          <w:u w:color="000000"/>
        </w:rPr>
      </w:pPr>
      <w:r w:rsidRPr="00053C9E">
        <w:rPr>
          <w:rFonts w:eastAsia="Arial Unicode MS" w:cs="Arial"/>
          <w:color w:val="000000"/>
          <w:sz w:val="18"/>
          <w:szCs w:val="18"/>
          <w:u w:color="000000"/>
        </w:rPr>
        <w:t>James</w:t>
      </w:r>
      <w:r w:rsidR="009A106D">
        <w:rPr>
          <w:rFonts w:eastAsia="Arial Unicode MS" w:cs="Arial"/>
          <w:color w:val="000000"/>
          <w:sz w:val="18"/>
          <w:szCs w:val="18"/>
          <w:u w:color="000000"/>
        </w:rPr>
        <w:t xml:space="preserve"> M</w:t>
      </w:r>
      <w:r w:rsidRPr="00053C9E">
        <w:rPr>
          <w:rFonts w:eastAsia="Arial Unicode MS" w:cs="Arial"/>
          <w:color w:val="000000"/>
          <w:sz w:val="18"/>
          <w:szCs w:val="18"/>
          <w:u w:color="000000"/>
        </w:rPr>
        <w:t xml:space="preserve">, </w:t>
      </w:r>
      <w:r w:rsidRPr="00053C9E">
        <w:rPr>
          <w:rFonts w:eastAsia="Arial Unicode MS" w:cs="Arial"/>
          <w:i/>
          <w:color w:val="000000"/>
          <w:sz w:val="18"/>
          <w:szCs w:val="18"/>
          <w:u w:color="000000"/>
        </w:rPr>
        <w:t xml:space="preserve">Sports Law </w:t>
      </w:r>
      <w:r w:rsidRPr="00053C9E">
        <w:rPr>
          <w:rFonts w:eastAsia="Arial Unicode MS" w:cs="Arial"/>
          <w:color w:val="000000"/>
          <w:sz w:val="18"/>
          <w:szCs w:val="18"/>
          <w:u w:color="000000"/>
        </w:rPr>
        <w:t>(Palgrave Macmillan 2010)</w:t>
      </w:r>
    </w:p>
    <w:p w14:paraId="2ACF202E" w14:textId="30264822" w:rsidR="003D1484" w:rsidRPr="00053C9E" w:rsidRDefault="003D1484" w:rsidP="00B655A3">
      <w:pPr>
        <w:pStyle w:val="ListParagraph"/>
        <w:numPr>
          <w:ilvl w:val="0"/>
          <w:numId w:val="2"/>
        </w:numPr>
        <w:spacing w:before="40" w:after="40"/>
        <w:ind w:left="714" w:hanging="357"/>
        <w:outlineLvl w:val="0"/>
        <w:rPr>
          <w:rFonts w:eastAsia="Arial Unicode MS" w:cs="Arial"/>
          <w:color w:val="000000"/>
          <w:sz w:val="18"/>
          <w:szCs w:val="18"/>
          <w:u w:color="000000"/>
        </w:rPr>
      </w:pPr>
      <w:r w:rsidRPr="00053C9E">
        <w:rPr>
          <w:rFonts w:eastAsia="Arial Unicode MS" w:cs="Arial"/>
          <w:color w:val="000000"/>
          <w:sz w:val="18"/>
          <w:szCs w:val="18"/>
          <w:u w:color="000000"/>
        </w:rPr>
        <w:t xml:space="preserve">Lewis </w:t>
      </w:r>
      <w:r w:rsidR="009A106D">
        <w:rPr>
          <w:rFonts w:eastAsia="Arial Unicode MS" w:cs="Arial"/>
          <w:color w:val="000000"/>
          <w:sz w:val="18"/>
          <w:szCs w:val="18"/>
          <w:u w:color="000000"/>
        </w:rPr>
        <w:t xml:space="preserve">A &amp; </w:t>
      </w:r>
      <w:r w:rsidRPr="00053C9E">
        <w:rPr>
          <w:rFonts w:eastAsia="Arial Unicode MS" w:cs="Arial"/>
          <w:color w:val="000000"/>
          <w:sz w:val="18"/>
          <w:szCs w:val="18"/>
          <w:u w:color="000000"/>
        </w:rPr>
        <w:t>Taylor</w:t>
      </w:r>
      <w:r w:rsidR="009A106D">
        <w:rPr>
          <w:rFonts w:eastAsia="Arial Unicode MS" w:cs="Arial"/>
          <w:color w:val="000000"/>
          <w:sz w:val="18"/>
          <w:szCs w:val="18"/>
          <w:u w:color="000000"/>
        </w:rPr>
        <w:t xml:space="preserve"> J</w:t>
      </w:r>
      <w:r w:rsidRPr="00053C9E">
        <w:rPr>
          <w:rFonts w:eastAsia="Arial Unicode MS" w:cs="Arial"/>
          <w:color w:val="000000"/>
          <w:sz w:val="18"/>
          <w:szCs w:val="18"/>
          <w:u w:color="000000"/>
        </w:rPr>
        <w:t xml:space="preserve">, </w:t>
      </w:r>
      <w:r w:rsidRPr="00053C9E">
        <w:rPr>
          <w:rFonts w:eastAsia="Arial Unicode MS" w:cs="Arial"/>
          <w:i/>
          <w:color w:val="000000"/>
          <w:sz w:val="18"/>
          <w:szCs w:val="18"/>
          <w:u w:color="000000"/>
        </w:rPr>
        <w:t>Sport: Law and Practice</w:t>
      </w:r>
      <w:r w:rsidRPr="00053C9E">
        <w:rPr>
          <w:rFonts w:eastAsia="Arial Unicode MS" w:cs="Arial"/>
          <w:color w:val="000000"/>
          <w:sz w:val="18"/>
          <w:szCs w:val="18"/>
          <w:u w:color="000000"/>
        </w:rPr>
        <w:t xml:space="preserve"> (2</w:t>
      </w:r>
      <w:r w:rsidRPr="00053C9E">
        <w:rPr>
          <w:rFonts w:eastAsia="Arial Unicode MS" w:cs="Arial"/>
          <w:color w:val="000000"/>
          <w:sz w:val="18"/>
          <w:szCs w:val="18"/>
          <w:u w:color="000000"/>
          <w:vertAlign w:val="superscript"/>
        </w:rPr>
        <w:t>nd</w:t>
      </w:r>
      <w:r w:rsidRPr="00053C9E">
        <w:rPr>
          <w:rFonts w:eastAsia="Arial Unicode MS" w:cs="Arial"/>
          <w:color w:val="000000"/>
          <w:sz w:val="18"/>
          <w:szCs w:val="18"/>
          <w:u w:color="000000"/>
        </w:rPr>
        <w:t xml:space="preserve"> </w:t>
      </w:r>
      <w:proofErr w:type="spellStart"/>
      <w:r w:rsidRPr="00053C9E">
        <w:rPr>
          <w:rFonts w:eastAsia="Arial Unicode MS" w:cs="Arial"/>
          <w:color w:val="000000"/>
          <w:sz w:val="18"/>
          <w:szCs w:val="18"/>
          <w:u w:color="000000"/>
        </w:rPr>
        <w:t>edn</w:t>
      </w:r>
      <w:proofErr w:type="spellEnd"/>
      <w:r w:rsidRPr="00053C9E">
        <w:rPr>
          <w:rFonts w:eastAsia="Arial Unicode MS" w:cs="Arial"/>
          <w:color w:val="000000"/>
          <w:sz w:val="18"/>
          <w:szCs w:val="18"/>
          <w:u w:color="000000"/>
        </w:rPr>
        <w:t xml:space="preserve">, </w:t>
      </w:r>
      <w:proofErr w:type="spellStart"/>
      <w:r w:rsidRPr="00053C9E">
        <w:rPr>
          <w:rFonts w:eastAsia="Arial Unicode MS" w:cs="Arial"/>
          <w:color w:val="000000"/>
          <w:sz w:val="18"/>
          <w:szCs w:val="18"/>
          <w:u w:color="000000"/>
        </w:rPr>
        <w:t>Tottell</w:t>
      </w:r>
      <w:proofErr w:type="spellEnd"/>
      <w:r w:rsidRPr="00053C9E">
        <w:rPr>
          <w:rFonts w:eastAsia="Arial Unicode MS" w:cs="Arial"/>
          <w:color w:val="000000"/>
          <w:sz w:val="18"/>
          <w:szCs w:val="18"/>
          <w:u w:color="000000"/>
        </w:rPr>
        <w:t xml:space="preserve"> Press 2008)</w:t>
      </w:r>
    </w:p>
    <w:p w14:paraId="36D056CE" w14:textId="77777777" w:rsidR="00C11BD8" w:rsidRDefault="00C11BD8" w:rsidP="00FB7E7D">
      <w:pPr>
        <w:spacing w:after="0"/>
        <w:outlineLvl w:val="0"/>
        <w:rPr>
          <w:color w:val="FF0000"/>
        </w:rPr>
      </w:pPr>
    </w:p>
    <w:p w14:paraId="0F61A366" w14:textId="77777777" w:rsidR="00053C9E" w:rsidRDefault="00053C9E" w:rsidP="00FB7E7D">
      <w:pPr>
        <w:spacing w:after="0"/>
        <w:outlineLvl w:val="0"/>
        <w:rPr>
          <w:color w:val="FF0000"/>
        </w:rPr>
      </w:pPr>
    </w:p>
    <w:p w14:paraId="20FB0D86" w14:textId="06486345"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Journals</w:t>
      </w:r>
    </w:p>
    <w:p w14:paraId="6DEE8F02" w14:textId="3E572054" w:rsidR="003D1484" w:rsidRPr="00053C9E" w:rsidRDefault="003D1484" w:rsidP="00B655A3">
      <w:pPr>
        <w:pStyle w:val="ListParagraph"/>
        <w:numPr>
          <w:ilvl w:val="0"/>
          <w:numId w:val="9"/>
        </w:numPr>
        <w:spacing w:before="40" w:after="40"/>
        <w:ind w:left="714" w:hanging="357"/>
        <w:outlineLvl w:val="0"/>
        <w:rPr>
          <w:rFonts w:cs="Arial"/>
          <w:sz w:val="18"/>
          <w:szCs w:val="18"/>
        </w:rPr>
      </w:pPr>
      <w:r w:rsidRPr="00053C9E">
        <w:rPr>
          <w:rFonts w:cs="Arial"/>
          <w:sz w:val="18"/>
          <w:szCs w:val="18"/>
        </w:rPr>
        <w:t>Ayers</w:t>
      </w:r>
      <w:r w:rsidR="009A106D">
        <w:rPr>
          <w:rFonts w:cs="Arial"/>
          <w:sz w:val="18"/>
          <w:szCs w:val="18"/>
        </w:rPr>
        <w:t xml:space="preserve"> M</w:t>
      </w:r>
      <w:r w:rsidRPr="00053C9E">
        <w:rPr>
          <w:rFonts w:cs="Arial"/>
          <w:sz w:val="18"/>
          <w:szCs w:val="18"/>
        </w:rPr>
        <w:t xml:space="preserve">, ‘Death of police escort rider cancels Tour of Britain stage’ </w:t>
      </w:r>
      <w:r w:rsidRPr="00053C9E">
        <w:rPr>
          <w:rFonts w:cs="Arial"/>
          <w:i/>
          <w:sz w:val="18"/>
          <w:szCs w:val="18"/>
        </w:rPr>
        <w:t xml:space="preserve">The Independent </w:t>
      </w:r>
      <w:r w:rsidRPr="00053C9E">
        <w:rPr>
          <w:rFonts w:cs="Arial"/>
          <w:sz w:val="18"/>
          <w:szCs w:val="18"/>
        </w:rPr>
        <w:t>(29 May 1998)</w:t>
      </w:r>
    </w:p>
    <w:p w14:paraId="0634A18F" w14:textId="3C192A9B" w:rsidR="003D1484" w:rsidRPr="00053C9E" w:rsidRDefault="003D1484" w:rsidP="00B655A3">
      <w:pPr>
        <w:pStyle w:val="ListParagraph"/>
        <w:numPr>
          <w:ilvl w:val="0"/>
          <w:numId w:val="9"/>
        </w:numPr>
        <w:spacing w:before="40" w:after="40"/>
        <w:ind w:left="714" w:hanging="357"/>
        <w:outlineLvl w:val="0"/>
        <w:rPr>
          <w:rFonts w:cs="Arial"/>
          <w:sz w:val="18"/>
          <w:szCs w:val="18"/>
        </w:rPr>
      </w:pPr>
      <w:proofErr w:type="spellStart"/>
      <w:r w:rsidRPr="00053C9E">
        <w:rPr>
          <w:rFonts w:cs="Arial"/>
          <w:sz w:val="18"/>
          <w:szCs w:val="18"/>
        </w:rPr>
        <w:t>Charlish</w:t>
      </w:r>
      <w:proofErr w:type="spellEnd"/>
      <w:r w:rsidR="009A106D">
        <w:rPr>
          <w:rFonts w:cs="Arial"/>
          <w:sz w:val="18"/>
          <w:szCs w:val="18"/>
        </w:rPr>
        <w:t xml:space="preserve"> P</w:t>
      </w:r>
      <w:r w:rsidRPr="00053C9E">
        <w:rPr>
          <w:rFonts w:cs="Arial"/>
          <w:sz w:val="18"/>
          <w:szCs w:val="18"/>
        </w:rPr>
        <w:t>, ‘The Astrid Andersen Case’ (2004) ISLR 85</w:t>
      </w:r>
    </w:p>
    <w:p w14:paraId="5F90192A" w14:textId="1FCC160F" w:rsidR="003D1484" w:rsidRPr="00053C9E" w:rsidRDefault="003D1484" w:rsidP="00B655A3">
      <w:pPr>
        <w:pStyle w:val="ListParagraph"/>
        <w:numPr>
          <w:ilvl w:val="0"/>
          <w:numId w:val="9"/>
        </w:numPr>
        <w:spacing w:before="40" w:after="40"/>
        <w:ind w:left="714" w:hanging="357"/>
        <w:outlineLvl w:val="0"/>
        <w:rPr>
          <w:rFonts w:cs="Arial"/>
          <w:sz w:val="18"/>
          <w:szCs w:val="18"/>
        </w:rPr>
      </w:pPr>
      <w:r w:rsidRPr="00053C9E">
        <w:rPr>
          <w:rFonts w:cs="Arial"/>
          <w:sz w:val="18"/>
          <w:szCs w:val="18"/>
        </w:rPr>
        <w:t>Fotheringham</w:t>
      </w:r>
      <w:r w:rsidR="009A106D">
        <w:rPr>
          <w:rFonts w:cs="Arial"/>
          <w:sz w:val="18"/>
          <w:szCs w:val="18"/>
        </w:rPr>
        <w:t xml:space="preserve"> W</w:t>
      </w:r>
      <w:r w:rsidRPr="00053C9E">
        <w:rPr>
          <w:rFonts w:cs="Arial"/>
          <w:sz w:val="18"/>
          <w:szCs w:val="18"/>
        </w:rPr>
        <w:t xml:space="preserve">, ‘Accident mars end of Tour of Britain showcase’ </w:t>
      </w:r>
      <w:r w:rsidRPr="00053C9E">
        <w:rPr>
          <w:rFonts w:cs="Arial"/>
          <w:i/>
          <w:sz w:val="18"/>
          <w:szCs w:val="18"/>
        </w:rPr>
        <w:t>The Guardian</w:t>
      </w:r>
      <w:r w:rsidRPr="00053C9E">
        <w:rPr>
          <w:rFonts w:cs="Arial"/>
          <w:sz w:val="18"/>
          <w:szCs w:val="18"/>
        </w:rPr>
        <w:t xml:space="preserve"> (London, 4 September 2006)</w:t>
      </w:r>
    </w:p>
    <w:p w14:paraId="5F1DA913" w14:textId="3521E7DF" w:rsidR="003D1484" w:rsidRPr="00053C9E" w:rsidRDefault="003D1484" w:rsidP="00B655A3">
      <w:pPr>
        <w:pStyle w:val="ListParagraph"/>
        <w:numPr>
          <w:ilvl w:val="0"/>
          <w:numId w:val="9"/>
        </w:numPr>
        <w:spacing w:before="40" w:after="40"/>
        <w:ind w:left="714" w:hanging="357"/>
        <w:outlineLvl w:val="0"/>
        <w:rPr>
          <w:rFonts w:cs="Arial"/>
          <w:sz w:val="18"/>
          <w:szCs w:val="18"/>
        </w:rPr>
      </w:pPr>
      <w:proofErr w:type="spellStart"/>
      <w:r w:rsidRPr="00053C9E">
        <w:rPr>
          <w:rFonts w:cs="Arial"/>
          <w:sz w:val="18"/>
          <w:szCs w:val="18"/>
        </w:rPr>
        <w:t>Fulbrook</w:t>
      </w:r>
      <w:proofErr w:type="spellEnd"/>
      <w:r w:rsidR="009A106D">
        <w:rPr>
          <w:rFonts w:cs="Arial"/>
          <w:sz w:val="18"/>
          <w:szCs w:val="18"/>
        </w:rPr>
        <w:t xml:space="preserve"> J</w:t>
      </w:r>
      <w:r w:rsidRPr="00053C9E">
        <w:rPr>
          <w:rFonts w:cs="Arial"/>
          <w:sz w:val="18"/>
          <w:szCs w:val="18"/>
        </w:rPr>
        <w:t>, ‘Case Comment: Personal Injury – Liability – Duty of Care’ [2010] Journal of Personal Injury Law 4</w:t>
      </w:r>
    </w:p>
    <w:p w14:paraId="6FCAA085" w14:textId="2315DA78" w:rsidR="003D1484" w:rsidRPr="00053C9E" w:rsidRDefault="003D1484" w:rsidP="00B655A3">
      <w:pPr>
        <w:pStyle w:val="ListParagraph"/>
        <w:numPr>
          <w:ilvl w:val="0"/>
          <w:numId w:val="9"/>
        </w:numPr>
        <w:spacing w:before="40" w:after="40"/>
        <w:ind w:left="714" w:hanging="357"/>
        <w:outlineLvl w:val="0"/>
        <w:rPr>
          <w:rFonts w:cs="Arial"/>
          <w:sz w:val="18"/>
          <w:szCs w:val="18"/>
        </w:rPr>
      </w:pPr>
      <w:r w:rsidRPr="00053C9E">
        <w:rPr>
          <w:rFonts w:cs="Arial"/>
          <w:sz w:val="18"/>
          <w:szCs w:val="18"/>
        </w:rPr>
        <w:t>Gladstone</w:t>
      </w:r>
      <w:r w:rsidR="009A106D">
        <w:rPr>
          <w:rFonts w:cs="Arial"/>
          <w:sz w:val="18"/>
          <w:szCs w:val="18"/>
        </w:rPr>
        <w:t xml:space="preserve"> H</w:t>
      </w:r>
      <w:r w:rsidRPr="00053C9E">
        <w:rPr>
          <w:rFonts w:cs="Arial"/>
          <w:sz w:val="18"/>
          <w:szCs w:val="18"/>
        </w:rPr>
        <w:t xml:space="preserve">, ‘Britain given crash course in Tour safety’ </w:t>
      </w:r>
      <w:r w:rsidRPr="00053C9E">
        <w:rPr>
          <w:rFonts w:cs="Arial"/>
          <w:i/>
          <w:sz w:val="18"/>
          <w:szCs w:val="18"/>
        </w:rPr>
        <w:t>The Telegraph</w:t>
      </w:r>
      <w:r w:rsidRPr="00053C9E">
        <w:rPr>
          <w:rFonts w:cs="Arial"/>
          <w:sz w:val="18"/>
          <w:szCs w:val="18"/>
        </w:rPr>
        <w:t xml:space="preserve"> (London, 5 September 2006)</w:t>
      </w:r>
    </w:p>
    <w:p w14:paraId="15DCAA80" w14:textId="49CBD17A" w:rsidR="003D1484" w:rsidRPr="00053C9E" w:rsidRDefault="003D1484" w:rsidP="00B655A3">
      <w:pPr>
        <w:pStyle w:val="ListParagraph"/>
        <w:numPr>
          <w:ilvl w:val="0"/>
          <w:numId w:val="9"/>
        </w:numPr>
        <w:spacing w:before="40" w:after="40"/>
        <w:ind w:left="714" w:hanging="357"/>
        <w:outlineLvl w:val="0"/>
        <w:rPr>
          <w:rFonts w:eastAsia="Arial Unicode MS" w:cs="Arial"/>
          <w:color w:val="000000"/>
          <w:sz w:val="18"/>
          <w:szCs w:val="18"/>
          <w:u w:color="000000"/>
        </w:rPr>
      </w:pPr>
      <w:proofErr w:type="spellStart"/>
      <w:r w:rsidRPr="00053C9E">
        <w:rPr>
          <w:rFonts w:cs="Arial"/>
          <w:sz w:val="18"/>
          <w:szCs w:val="18"/>
        </w:rPr>
        <w:t>Grimberg</w:t>
      </w:r>
      <w:proofErr w:type="spellEnd"/>
      <w:r w:rsidR="009A106D">
        <w:rPr>
          <w:rFonts w:cs="Arial"/>
          <w:sz w:val="18"/>
          <w:szCs w:val="18"/>
        </w:rPr>
        <w:t xml:space="preserve"> H</w:t>
      </w:r>
      <w:r w:rsidRPr="00053C9E">
        <w:rPr>
          <w:rFonts w:cs="Arial"/>
          <w:sz w:val="18"/>
          <w:szCs w:val="18"/>
        </w:rPr>
        <w:t>, ‘Liability for death or permanent injury’ (2010) 8(5) WSLR</w:t>
      </w:r>
    </w:p>
    <w:p w14:paraId="11B59E4A" w14:textId="7065EB2C" w:rsidR="003D1484" w:rsidRPr="00053C9E" w:rsidRDefault="003D1484" w:rsidP="00B655A3">
      <w:pPr>
        <w:pStyle w:val="ListParagraph"/>
        <w:numPr>
          <w:ilvl w:val="0"/>
          <w:numId w:val="9"/>
        </w:numPr>
        <w:spacing w:before="40" w:after="40"/>
        <w:ind w:left="714" w:hanging="357"/>
        <w:outlineLvl w:val="0"/>
        <w:rPr>
          <w:rFonts w:eastAsia="Arial Unicode MS" w:cs="Arial"/>
          <w:color w:val="000000"/>
          <w:sz w:val="18"/>
          <w:szCs w:val="18"/>
          <w:u w:color="000000"/>
        </w:rPr>
      </w:pPr>
      <w:r w:rsidRPr="00053C9E">
        <w:rPr>
          <w:rFonts w:eastAsia="Arial Unicode MS" w:cs="Arial"/>
          <w:color w:val="000000"/>
          <w:sz w:val="18"/>
          <w:szCs w:val="18"/>
          <w:u w:color="000000"/>
        </w:rPr>
        <w:t>Turner</w:t>
      </w:r>
      <w:r w:rsidR="009A106D">
        <w:rPr>
          <w:rFonts w:eastAsia="Arial Unicode MS" w:cs="Arial"/>
          <w:color w:val="000000"/>
          <w:sz w:val="18"/>
          <w:szCs w:val="18"/>
          <w:u w:color="000000"/>
        </w:rPr>
        <w:t xml:space="preserve"> A</w:t>
      </w:r>
      <w:r w:rsidRPr="00053C9E">
        <w:rPr>
          <w:rFonts w:eastAsia="Arial Unicode MS" w:cs="Arial"/>
          <w:color w:val="000000"/>
          <w:sz w:val="18"/>
          <w:szCs w:val="18"/>
          <w:u w:color="000000"/>
        </w:rPr>
        <w:t>, ‘Liability of Event Organisers in Negligence’ (2005) (3)12 WSLR</w:t>
      </w:r>
    </w:p>
    <w:p w14:paraId="2214FDB9" w14:textId="77777777" w:rsidR="0093324A" w:rsidRPr="00777654" w:rsidRDefault="0093324A" w:rsidP="0093324A">
      <w:pPr>
        <w:pStyle w:val="NormalWeb"/>
        <w:spacing w:after="0"/>
        <w:ind w:left="720"/>
        <w:jc w:val="left"/>
        <w:rPr>
          <w:rFonts w:asciiTheme="minorHAnsi" w:hAnsiTheme="minorHAnsi"/>
          <w:sz w:val="20"/>
          <w:szCs w:val="20"/>
        </w:rPr>
      </w:pPr>
    </w:p>
    <w:p w14:paraId="61B612C6" w14:textId="77777777" w:rsidR="0093324A" w:rsidRDefault="0093324A" w:rsidP="00FB7E7D">
      <w:pPr>
        <w:spacing w:after="0"/>
        <w:outlineLvl w:val="0"/>
        <w:rPr>
          <w:color w:val="FF0000"/>
        </w:rPr>
      </w:pPr>
    </w:p>
    <w:p w14:paraId="044D2045" w14:textId="77777777" w:rsidR="002C4A4D" w:rsidRPr="00C11BD8" w:rsidRDefault="002C4A4D" w:rsidP="00FB7E7D">
      <w:pPr>
        <w:spacing w:after="0"/>
        <w:outlineLvl w:val="0"/>
        <w:rPr>
          <w:color w:val="FF0000"/>
        </w:rPr>
      </w:pPr>
    </w:p>
    <w:p w14:paraId="5BD23D89" w14:textId="77777777" w:rsidR="00AF3DD2" w:rsidRPr="00C84E6E" w:rsidRDefault="00AF3DD2" w:rsidP="00FB7E7D">
      <w:pPr>
        <w:spacing w:after="0"/>
        <w:outlineLvl w:val="0"/>
        <w:rPr>
          <w:rFonts w:eastAsia="Arial Unicode MS"/>
          <w:b/>
          <w:color w:val="000000"/>
          <w:szCs w:val="20"/>
          <w:u w:color="000000"/>
        </w:rPr>
      </w:pPr>
      <w:r w:rsidRPr="00C84E6E">
        <w:rPr>
          <w:rFonts w:eastAsia="Arial Unicode MS"/>
          <w:b/>
          <w:color w:val="000000"/>
          <w:szCs w:val="20"/>
          <w:u w:color="000000"/>
        </w:rPr>
        <w:t>Other Material</w:t>
      </w:r>
    </w:p>
    <w:p w14:paraId="0EB5561C" w14:textId="7CEE2345" w:rsidR="00B655A3" w:rsidRPr="00B655A3" w:rsidRDefault="00B655A3" w:rsidP="00B655A3">
      <w:pPr>
        <w:pStyle w:val="ListParagraph"/>
        <w:numPr>
          <w:ilvl w:val="0"/>
          <w:numId w:val="12"/>
        </w:numPr>
        <w:spacing w:after="0"/>
        <w:rPr>
          <w:rFonts w:cs="Arial"/>
          <w:sz w:val="18"/>
          <w:szCs w:val="18"/>
        </w:rPr>
      </w:pPr>
      <w:r w:rsidRPr="00B655A3">
        <w:rPr>
          <w:rFonts w:cs="Arial"/>
          <w:sz w:val="18"/>
          <w:szCs w:val="18"/>
        </w:rPr>
        <w:t xml:space="preserve">Author uncited, ‘London to host start of 2007 Tour’ </w:t>
      </w:r>
      <w:r w:rsidRPr="00B655A3">
        <w:rPr>
          <w:rFonts w:cs="Arial"/>
          <w:i/>
          <w:sz w:val="18"/>
          <w:szCs w:val="18"/>
        </w:rPr>
        <w:t>BBC Sport</w:t>
      </w:r>
      <w:r w:rsidRPr="00B655A3">
        <w:rPr>
          <w:rFonts w:cs="Arial"/>
          <w:sz w:val="18"/>
          <w:szCs w:val="18"/>
        </w:rPr>
        <w:t xml:space="preserve"> (24 January 2006) (online) </w:t>
      </w:r>
      <w:hyperlink r:id="rId10" w:history="1">
        <w:r w:rsidRPr="00B655A3">
          <w:rPr>
            <w:rStyle w:val="Hyperlink"/>
            <w:rFonts w:cs="Arial"/>
            <w:sz w:val="18"/>
            <w:szCs w:val="18"/>
          </w:rPr>
          <w:t>http://news.bbc.co.uk/sport1/hi/other_sports/cycling/4643032.stm</w:t>
        </w:r>
      </w:hyperlink>
      <w:r w:rsidRPr="00B655A3">
        <w:rPr>
          <w:rFonts w:cs="Arial"/>
          <w:sz w:val="18"/>
          <w:szCs w:val="18"/>
        </w:rPr>
        <w:t>]</w:t>
      </w:r>
      <w:r w:rsidR="00682A67">
        <w:rPr>
          <w:rFonts w:cs="Arial"/>
          <w:sz w:val="18"/>
          <w:szCs w:val="18"/>
        </w:rPr>
        <w:t xml:space="preserve"> &lt;Last accessed 20 September 2014&gt;</w:t>
      </w:r>
    </w:p>
    <w:p w14:paraId="29269D91" w14:textId="0BCF3C92" w:rsidR="00B655A3" w:rsidRPr="00B655A3" w:rsidRDefault="00B655A3" w:rsidP="00B655A3">
      <w:pPr>
        <w:pStyle w:val="ListParagraph"/>
        <w:numPr>
          <w:ilvl w:val="0"/>
          <w:numId w:val="10"/>
        </w:numPr>
        <w:spacing w:before="40" w:after="0" w:line="240" w:lineRule="auto"/>
        <w:outlineLvl w:val="0"/>
        <w:rPr>
          <w:rStyle w:val="Hyperlink"/>
          <w:rFonts w:cs="Arial"/>
          <w:color w:val="auto"/>
          <w:sz w:val="18"/>
          <w:szCs w:val="18"/>
          <w:u w:val="none"/>
        </w:rPr>
      </w:pPr>
      <w:r w:rsidRPr="00B655A3">
        <w:rPr>
          <w:sz w:val="18"/>
          <w:szCs w:val="18"/>
        </w:rPr>
        <w:t>Author uncited,</w:t>
      </w:r>
      <w:r w:rsidRPr="00B655A3">
        <w:rPr>
          <w:rFonts w:cs="Arial"/>
          <w:sz w:val="18"/>
          <w:szCs w:val="18"/>
        </w:rPr>
        <w:t xml:space="preserve"> ‘Tour of Britain Stage 5: </w:t>
      </w:r>
      <w:proofErr w:type="spellStart"/>
      <w:r w:rsidRPr="00B655A3">
        <w:rPr>
          <w:rFonts w:cs="Arial"/>
          <w:sz w:val="18"/>
          <w:szCs w:val="18"/>
        </w:rPr>
        <w:t>Chicci</w:t>
      </w:r>
      <w:proofErr w:type="spellEnd"/>
      <w:r w:rsidRPr="00B655A3">
        <w:rPr>
          <w:rFonts w:cs="Arial"/>
          <w:sz w:val="18"/>
          <w:szCs w:val="18"/>
        </w:rPr>
        <w:t xml:space="preserve"> wins in Canterbury after rider protest divides bunch’ </w:t>
      </w:r>
      <w:r w:rsidRPr="00B655A3">
        <w:rPr>
          <w:rFonts w:cs="Arial"/>
          <w:i/>
          <w:sz w:val="18"/>
          <w:szCs w:val="18"/>
        </w:rPr>
        <w:t>Cycling Weekly</w:t>
      </w:r>
      <w:r w:rsidRPr="00B655A3">
        <w:rPr>
          <w:rFonts w:cs="Arial"/>
          <w:sz w:val="18"/>
          <w:szCs w:val="18"/>
        </w:rPr>
        <w:t xml:space="preserve"> (2 September 2006) (online) [</w:t>
      </w:r>
      <w:hyperlink r:id="rId11" w:history="1">
        <w:r w:rsidRPr="00B655A3">
          <w:rPr>
            <w:rStyle w:val="Hyperlink"/>
            <w:rFonts w:cs="Arial"/>
            <w:sz w:val="18"/>
            <w:szCs w:val="18"/>
          </w:rPr>
          <w:t>www.</w:t>
        </w:r>
        <w:r w:rsidRPr="00B655A3">
          <w:rPr>
            <w:rStyle w:val="Hyperlink"/>
            <w:rFonts w:cs="Arial"/>
            <w:sz w:val="18"/>
            <w:szCs w:val="18"/>
          </w:rPr>
          <w:t>c</w:t>
        </w:r>
        <w:r w:rsidRPr="00B655A3">
          <w:rPr>
            <w:rStyle w:val="Hyperlink"/>
            <w:rFonts w:cs="Arial"/>
            <w:sz w:val="18"/>
            <w:szCs w:val="18"/>
          </w:rPr>
          <w:t>yclingweekly.co.uk/news/latest-news/tour-of-britain-stage-5-chicchi-wins-in-canterbury-after-rider-protest-divides-bunch-73940</w:t>
        </w:r>
      </w:hyperlink>
      <w:r w:rsidR="00682A67">
        <w:rPr>
          <w:rStyle w:val="Hyperlink"/>
          <w:rFonts w:cs="Arial"/>
          <w:sz w:val="18"/>
          <w:szCs w:val="18"/>
          <w:u w:val="none"/>
        </w:rPr>
        <w:t xml:space="preserve"> </w:t>
      </w:r>
      <w:r w:rsidR="00682A67" w:rsidRPr="00682A67">
        <w:rPr>
          <w:rStyle w:val="Hyperlink"/>
          <w:rFonts w:cs="Arial"/>
          <w:color w:val="auto"/>
          <w:sz w:val="18"/>
          <w:szCs w:val="18"/>
          <w:u w:val="none"/>
        </w:rPr>
        <w:t xml:space="preserve">&lt;Last accessed </w:t>
      </w:r>
      <w:r w:rsidR="00682A67">
        <w:rPr>
          <w:rStyle w:val="Hyperlink"/>
          <w:rFonts w:cs="Arial"/>
          <w:color w:val="auto"/>
          <w:sz w:val="18"/>
          <w:szCs w:val="18"/>
          <w:u w:val="none"/>
        </w:rPr>
        <w:t xml:space="preserve">27 September </w:t>
      </w:r>
      <w:r w:rsidR="00682A67" w:rsidRPr="00682A67">
        <w:rPr>
          <w:rStyle w:val="Hyperlink"/>
          <w:rFonts w:cs="Arial"/>
          <w:color w:val="auto"/>
          <w:sz w:val="18"/>
          <w:szCs w:val="18"/>
          <w:u w:val="none"/>
        </w:rPr>
        <w:t>2014&gt;</w:t>
      </w:r>
    </w:p>
    <w:p w14:paraId="6B86C35D" w14:textId="56155F0B" w:rsidR="00B655A3" w:rsidRPr="00B655A3" w:rsidRDefault="00B655A3" w:rsidP="00B655A3">
      <w:pPr>
        <w:pStyle w:val="ListParagraph"/>
        <w:numPr>
          <w:ilvl w:val="0"/>
          <w:numId w:val="10"/>
        </w:numPr>
        <w:spacing w:after="0"/>
        <w:rPr>
          <w:rFonts w:cs="Arial"/>
          <w:sz w:val="18"/>
          <w:szCs w:val="18"/>
        </w:rPr>
      </w:pPr>
      <w:r w:rsidRPr="00B655A3">
        <w:rPr>
          <w:rFonts w:cs="Arial"/>
          <w:sz w:val="18"/>
          <w:szCs w:val="18"/>
        </w:rPr>
        <w:t xml:space="preserve">Ayers M, ‘Death of police escort rider cancels Tour of Britain stage’ </w:t>
      </w:r>
      <w:r w:rsidRPr="00B655A3">
        <w:rPr>
          <w:rFonts w:cs="Arial"/>
          <w:i/>
          <w:sz w:val="18"/>
          <w:szCs w:val="18"/>
        </w:rPr>
        <w:t xml:space="preserve">The Independent </w:t>
      </w:r>
      <w:r w:rsidRPr="00B655A3">
        <w:rPr>
          <w:rFonts w:cs="Arial"/>
          <w:sz w:val="18"/>
          <w:szCs w:val="18"/>
        </w:rPr>
        <w:t>(29 May 1998) (online) [</w:t>
      </w:r>
      <w:hyperlink r:id="rId12" w:history="1">
        <w:r w:rsidRPr="00B655A3">
          <w:rPr>
            <w:rStyle w:val="Hyperlink"/>
            <w:rFonts w:cs="Arial"/>
            <w:sz w:val="18"/>
            <w:szCs w:val="18"/>
          </w:rPr>
          <w:t>www.independent.co.uk/sport/cycling-death-of-police-escort-rider-cancels-tour-of-britain-stage-1156744.html</w:t>
        </w:r>
      </w:hyperlink>
      <w:r w:rsidRPr="00B655A3">
        <w:rPr>
          <w:rStyle w:val="Hyperlink"/>
          <w:rFonts w:cs="Arial"/>
          <w:sz w:val="18"/>
          <w:szCs w:val="18"/>
        </w:rPr>
        <w:t>]</w:t>
      </w:r>
      <w:r w:rsidR="008F063A">
        <w:rPr>
          <w:rStyle w:val="Hyperlink"/>
          <w:rFonts w:cs="Arial"/>
          <w:sz w:val="18"/>
          <w:szCs w:val="18"/>
          <w:u w:val="none"/>
        </w:rPr>
        <w:t xml:space="preserve"> </w:t>
      </w:r>
      <w:r w:rsidR="008F063A" w:rsidRPr="008F063A">
        <w:rPr>
          <w:rStyle w:val="Hyperlink"/>
          <w:rFonts w:cs="Arial"/>
          <w:color w:val="auto"/>
          <w:sz w:val="18"/>
          <w:szCs w:val="18"/>
          <w:u w:val="none"/>
        </w:rPr>
        <w:t>&lt;Last accessed 20 September 2014&gt;</w:t>
      </w:r>
    </w:p>
    <w:p w14:paraId="20E6B62A" w14:textId="70E0A1EA" w:rsidR="00B655A3" w:rsidRPr="00B655A3" w:rsidRDefault="00B655A3" w:rsidP="00B655A3">
      <w:pPr>
        <w:pStyle w:val="ListParagraph"/>
        <w:numPr>
          <w:ilvl w:val="0"/>
          <w:numId w:val="10"/>
        </w:numPr>
        <w:spacing w:before="40" w:after="0" w:line="240" w:lineRule="auto"/>
        <w:outlineLvl w:val="0"/>
        <w:rPr>
          <w:rFonts w:cs="Arial"/>
          <w:sz w:val="18"/>
          <w:szCs w:val="18"/>
        </w:rPr>
      </w:pPr>
      <w:r w:rsidRPr="00B655A3">
        <w:rPr>
          <w:rFonts w:cs="Arial"/>
          <w:sz w:val="18"/>
          <w:szCs w:val="18"/>
        </w:rPr>
        <w:t>British Cycling, ‘Event Notification and Risk Assessment – Road and Circuit’ [</w:t>
      </w:r>
      <w:hyperlink r:id="rId13" w:anchor="ui-tabs-4" w:history="1">
        <w:r w:rsidRPr="00B655A3">
          <w:rPr>
            <w:rStyle w:val="Hyperlink"/>
            <w:rFonts w:cs="Arial"/>
            <w:sz w:val="18"/>
            <w:szCs w:val="18"/>
          </w:rPr>
          <w:t>www.britishcycling.org.uk/roadeventorganisersupport#ui-tabs-4</w:t>
        </w:r>
      </w:hyperlink>
      <w:r w:rsidRPr="00B655A3">
        <w:rPr>
          <w:rFonts w:cs="Arial"/>
          <w:sz w:val="18"/>
          <w:szCs w:val="18"/>
        </w:rPr>
        <w:t>]</w:t>
      </w:r>
      <w:r w:rsidR="008F063A">
        <w:rPr>
          <w:rFonts w:cs="Arial"/>
          <w:sz w:val="18"/>
          <w:szCs w:val="18"/>
        </w:rPr>
        <w:t xml:space="preserve"> &lt;Last accessed 21 September 2014&gt;</w:t>
      </w:r>
    </w:p>
    <w:p w14:paraId="0849FE73" w14:textId="445130D1" w:rsidR="00B655A3" w:rsidRPr="00B655A3" w:rsidRDefault="003D1484" w:rsidP="00B655A3">
      <w:pPr>
        <w:pStyle w:val="ListParagraph"/>
        <w:numPr>
          <w:ilvl w:val="1"/>
          <w:numId w:val="10"/>
        </w:numPr>
        <w:spacing w:after="40" w:line="240" w:lineRule="auto"/>
        <w:ind w:left="1434" w:hanging="357"/>
        <w:contextualSpacing w:val="0"/>
        <w:outlineLvl w:val="0"/>
        <w:rPr>
          <w:rFonts w:cs="Arial"/>
          <w:sz w:val="18"/>
          <w:szCs w:val="18"/>
        </w:rPr>
      </w:pPr>
      <w:r w:rsidRPr="00B655A3">
        <w:rPr>
          <w:rFonts w:cs="Arial"/>
          <w:sz w:val="18"/>
          <w:szCs w:val="18"/>
        </w:rPr>
        <w:t>‘Road Race Organiser’s Guide’</w:t>
      </w:r>
      <w:r w:rsidR="00B655A3" w:rsidRPr="00B655A3">
        <w:rPr>
          <w:rFonts w:cs="Arial"/>
          <w:sz w:val="18"/>
          <w:szCs w:val="18"/>
        </w:rPr>
        <w:t xml:space="preserve"> [</w:t>
      </w:r>
      <w:hyperlink r:id="rId14" w:history="1">
        <w:r w:rsidR="00B655A3" w:rsidRPr="00B655A3">
          <w:rPr>
            <w:rStyle w:val="Hyperlink"/>
            <w:rFonts w:cs="Arial"/>
            <w:sz w:val="18"/>
            <w:szCs w:val="18"/>
          </w:rPr>
          <w:t>www.britishcycling.org.uk/zuvvi/media/bc_files/road/Road_Race_Organisers_Guide_-_FINAL.pdf</w:t>
        </w:r>
      </w:hyperlink>
      <w:r w:rsidR="00B655A3" w:rsidRPr="00B655A3">
        <w:rPr>
          <w:rFonts w:cs="Arial"/>
          <w:sz w:val="18"/>
          <w:szCs w:val="18"/>
        </w:rPr>
        <w:t>]</w:t>
      </w:r>
      <w:r w:rsidR="008F063A">
        <w:rPr>
          <w:rFonts w:cs="Arial"/>
          <w:sz w:val="18"/>
          <w:szCs w:val="18"/>
        </w:rPr>
        <w:t xml:space="preserve"> &lt;Last accessed 20 September 2014&gt;</w:t>
      </w:r>
    </w:p>
    <w:p w14:paraId="02749A44" w14:textId="2E334EF4" w:rsidR="00B655A3" w:rsidRPr="00B655A3" w:rsidRDefault="00B655A3" w:rsidP="00B655A3">
      <w:pPr>
        <w:pStyle w:val="ListParagraph"/>
        <w:numPr>
          <w:ilvl w:val="0"/>
          <w:numId w:val="10"/>
        </w:numPr>
        <w:spacing w:after="0"/>
        <w:rPr>
          <w:sz w:val="18"/>
          <w:szCs w:val="18"/>
        </w:rPr>
      </w:pPr>
      <w:r w:rsidRPr="00B655A3">
        <w:rPr>
          <w:rFonts w:cs="Arial"/>
          <w:sz w:val="18"/>
          <w:szCs w:val="18"/>
        </w:rPr>
        <w:t>Department for Transport, ‘Consultation on revisions to the Cycle Racing on Highways Regulations 1960’ (online) [</w:t>
      </w:r>
      <w:hyperlink r:id="rId15" w:history="1">
        <w:r w:rsidRPr="00B655A3">
          <w:rPr>
            <w:rStyle w:val="Hyperlink"/>
            <w:rFonts w:cs="Arial"/>
            <w:sz w:val="18"/>
            <w:szCs w:val="18"/>
          </w:rPr>
          <w:t>www.gov.uk/government/consultations/proposed-changes-to-the-cycle-racing-on-the-highway-regulations-1960</w:t>
        </w:r>
      </w:hyperlink>
      <w:r w:rsidRPr="00B655A3">
        <w:rPr>
          <w:rFonts w:cs="Arial"/>
          <w:sz w:val="18"/>
          <w:szCs w:val="18"/>
        </w:rPr>
        <w:t>]</w:t>
      </w:r>
      <w:r w:rsidR="008F063A">
        <w:rPr>
          <w:rFonts w:cs="Arial"/>
          <w:sz w:val="18"/>
          <w:szCs w:val="18"/>
        </w:rPr>
        <w:t xml:space="preserve"> &lt;Last accessed 22 September 2014&gt;</w:t>
      </w:r>
    </w:p>
    <w:p w14:paraId="76E95FCC" w14:textId="7807D8B1" w:rsidR="003D1484" w:rsidRPr="00B655A3" w:rsidRDefault="003D1484" w:rsidP="00B655A3">
      <w:pPr>
        <w:pStyle w:val="ListParagraph"/>
        <w:numPr>
          <w:ilvl w:val="0"/>
          <w:numId w:val="10"/>
        </w:numPr>
        <w:spacing w:before="40" w:after="40"/>
        <w:ind w:left="714" w:hanging="357"/>
        <w:outlineLvl w:val="0"/>
        <w:rPr>
          <w:rFonts w:cs="Arial"/>
          <w:sz w:val="18"/>
          <w:szCs w:val="18"/>
        </w:rPr>
      </w:pPr>
      <w:r w:rsidRPr="00B655A3">
        <w:rPr>
          <w:rFonts w:cs="Arial"/>
          <w:sz w:val="18"/>
          <w:szCs w:val="18"/>
        </w:rPr>
        <w:t>Football Licensing Authority, ‘Guide to Safety at Sports Grounds’</w:t>
      </w:r>
      <w:r w:rsidR="008F063A">
        <w:rPr>
          <w:rFonts w:cs="Arial"/>
          <w:sz w:val="18"/>
          <w:szCs w:val="18"/>
        </w:rPr>
        <w:t xml:space="preserve"> (online)</w:t>
      </w:r>
      <w:r w:rsidR="00B655A3" w:rsidRPr="00B655A3">
        <w:rPr>
          <w:rFonts w:cs="Arial"/>
          <w:sz w:val="18"/>
          <w:szCs w:val="18"/>
        </w:rPr>
        <w:t xml:space="preserve"> [</w:t>
      </w:r>
      <w:hyperlink r:id="rId16" w:history="1">
        <w:r w:rsidR="00B655A3" w:rsidRPr="00B655A3">
          <w:rPr>
            <w:rStyle w:val="Hyperlink"/>
            <w:rFonts w:cs="Arial"/>
            <w:sz w:val="18"/>
            <w:szCs w:val="18"/>
          </w:rPr>
          <w:t>http://www.safetyatsportsgrounds.org.uk/publications/green-guide</w:t>
        </w:r>
      </w:hyperlink>
      <w:r w:rsidR="00B655A3" w:rsidRPr="00B655A3">
        <w:rPr>
          <w:rFonts w:cs="Arial"/>
          <w:sz w:val="18"/>
          <w:szCs w:val="18"/>
        </w:rPr>
        <w:t>]</w:t>
      </w:r>
      <w:r w:rsidR="008F063A">
        <w:rPr>
          <w:rFonts w:cs="Arial"/>
          <w:sz w:val="18"/>
          <w:szCs w:val="18"/>
        </w:rPr>
        <w:t xml:space="preserve"> &lt;Last accessed 13 September 2014&gt;</w:t>
      </w:r>
    </w:p>
    <w:p w14:paraId="11B4DBEC" w14:textId="2D7C8887" w:rsidR="00B655A3" w:rsidRPr="00B655A3" w:rsidRDefault="00B655A3" w:rsidP="00B655A3">
      <w:pPr>
        <w:pStyle w:val="ListParagraph"/>
        <w:numPr>
          <w:ilvl w:val="0"/>
          <w:numId w:val="10"/>
        </w:numPr>
        <w:spacing w:before="40" w:after="40"/>
        <w:ind w:left="714" w:hanging="357"/>
        <w:outlineLvl w:val="0"/>
        <w:rPr>
          <w:rFonts w:eastAsia="Arial Unicode MS" w:cs="Arial"/>
          <w:color w:val="000000"/>
          <w:sz w:val="18"/>
          <w:szCs w:val="18"/>
          <w:u w:color="000000"/>
        </w:rPr>
      </w:pPr>
      <w:r w:rsidRPr="00B655A3">
        <w:rPr>
          <w:rFonts w:cs="Arial"/>
          <w:sz w:val="18"/>
          <w:szCs w:val="18"/>
        </w:rPr>
        <w:t xml:space="preserve">Fotheringham W, ‘Accident mars end of Tour of Britain showcase’ </w:t>
      </w:r>
      <w:r w:rsidRPr="00B655A3">
        <w:rPr>
          <w:rFonts w:cs="Arial"/>
          <w:i/>
          <w:sz w:val="18"/>
          <w:szCs w:val="18"/>
        </w:rPr>
        <w:t>The Guardian</w:t>
      </w:r>
      <w:r w:rsidRPr="00B655A3">
        <w:rPr>
          <w:rFonts w:cs="Arial"/>
          <w:sz w:val="18"/>
          <w:szCs w:val="18"/>
        </w:rPr>
        <w:t xml:space="preserve"> (London, 4 September 2006) (online) [</w:t>
      </w:r>
      <w:hyperlink r:id="rId17" w:history="1">
        <w:r w:rsidRPr="00B655A3">
          <w:rPr>
            <w:rStyle w:val="Hyperlink"/>
            <w:rFonts w:cs="Arial"/>
            <w:sz w:val="18"/>
            <w:szCs w:val="18"/>
          </w:rPr>
          <w:t>www.theguardian.com/sport/2006/sep/04/cycling.cycling1</w:t>
        </w:r>
      </w:hyperlink>
      <w:r w:rsidRPr="00B655A3">
        <w:rPr>
          <w:rStyle w:val="Hyperlink"/>
          <w:rFonts w:cs="Arial"/>
          <w:sz w:val="18"/>
          <w:szCs w:val="18"/>
        </w:rPr>
        <w:t>]</w:t>
      </w:r>
      <w:r w:rsidR="008F063A">
        <w:rPr>
          <w:rFonts w:cs="Arial"/>
          <w:sz w:val="18"/>
          <w:szCs w:val="18"/>
        </w:rPr>
        <w:t xml:space="preserve"> &lt;Last accessed 20 September 2014&gt;</w:t>
      </w:r>
    </w:p>
    <w:p w14:paraId="56A00861" w14:textId="2FCE69B0" w:rsidR="00B655A3" w:rsidRPr="00B655A3" w:rsidRDefault="00B655A3" w:rsidP="00B655A3">
      <w:pPr>
        <w:pStyle w:val="ListParagraph"/>
        <w:numPr>
          <w:ilvl w:val="0"/>
          <w:numId w:val="10"/>
        </w:numPr>
        <w:spacing w:before="40" w:after="40"/>
        <w:ind w:left="714" w:hanging="357"/>
        <w:outlineLvl w:val="0"/>
        <w:rPr>
          <w:rFonts w:eastAsia="Arial Unicode MS" w:cs="Arial"/>
          <w:color w:val="000000"/>
          <w:sz w:val="18"/>
          <w:szCs w:val="18"/>
          <w:u w:color="000000"/>
        </w:rPr>
      </w:pPr>
      <w:r w:rsidRPr="00B655A3">
        <w:rPr>
          <w:rFonts w:cs="Arial"/>
          <w:sz w:val="18"/>
          <w:szCs w:val="18"/>
        </w:rPr>
        <w:t xml:space="preserve">Gladstone H, ‘Britain given crash course in Tour safety’ </w:t>
      </w:r>
      <w:r w:rsidRPr="00B655A3">
        <w:rPr>
          <w:rFonts w:cs="Arial"/>
          <w:i/>
          <w:sz w:val="18"/>
          <w:szCs w:val="18"/>
        </w:rPr>
        <w:t>The Telegraph</w:t>
      </w:r>
      <w:r w:rsidRPr="00B655A3">
        <w:rPr>
          <w:rFonts w:cs="Arial"/>
          <w:sz w:val="18"/>
          <w:szCs w:val="18"/>
        </w:rPr>
        <w:t xml:space="preserve"> (London, 5 September 2006) (online) [</w:t>
      </w:r>
      <w:hyperlink r:id="rId18" w:history="1">
        <w:r w:rsidRPr="00B655A3">
          <w:rPr>
            <w:rStyle w:val="Hyperlink"/>
            <w:rFonts w:cs="Arial"/>
            <w:sz w:val="18"/>
            <w:szCs w:val="18"/>
          </w:rPr>
          <w:t>www.telegraph.co.uk/sport/othersports/cycling/2345050/Britain-given-crash-course-in-Tour-safety.html</w:t>
        </w:r>
      </w:hyperlink>
      <w:r w:rsidRPr="00B655A3">
        <w:rPr>
          <w:rFonts w:cs="Arial"/>
          <w:sz w:val="18"/>
          <w:szCs w:val="18"/>
        </w:rPr>
        <w:t>]</w:t>
      </w:r>
      <w:r w:rsidR="00682A67">
        <w:rPr>
          <w:rFonts w:cs="Arial"/>
          <w:sz w:val="18"/>
          <w:szCs w:val="18"/>
        </w:rPr>
        <w:t xml:space="preserve"> &lt;Last accessed 27 September&gt;</w:t>
      </w:r>
    </w:p>
    <w:p w14:paraId="380961A4" w14:textId="477BE79D" w:rsidR="00682A67" w:rsidRPr="00053C9E" w:rsidRDefault="00682A67" w:rsidP="00682A67">
      <w:pPr>
        <w:pStyle w:val="ListParagraph"/>
        <w:numPr>
          <w:ilvl w:val="0"/>
          <w:numId w:val="10"/>
        </w:numPr>
        <w:spacing w:before="40" w:after="40"/>
        <w:outlineLvl w:val="0"/>
        <w:rPr>
          <w:rFonts w:cs="Arial"/>
          <w:sz w:val="18"/>
          <w:szCs w:val="18"/>
        </w:rPr>
      </w:pPr>
      <w:r w:rsidRPr="00053C9E">
        <w:rPr>
          <w:rFonts w:cs="Arial"/>
          <w:sz w:val="18"/>
          <w:szCs w:val="18"/>
        </w:rPr>
        <w:t>Rogers</w:t>
      </w:r>
      <w:r>
        <w:rPr>
          <w:rFonts w:cs="Arial"/>
          <w:sz w:val="18"/>
          <w:szCs w:val="18"/>
        </w:rPr>
        <w:t xml:space="preserve"> O</w:t>
      </w:r>
      <w:r w:rsidRPr="00053C9E">
        <w:rPr>
          <w:rFonts w:cs="Arial"/>
          <w:sz w:val="18"/>
          <w:szCs w:val="18"/>
        </w:rPr>
        <w:t xml:space="preserve">, ‘Riding with the outriders: policing the Tour of Britain’ </w:t>
      </w:r>
      <w:r w:rsidRPr="00053C9E">
        <w:rPr>
          <w:rFonts w:cs="Arial"/>
          <w:i/>
          <w:sz w:val="18"/>
          <w:szCs w:val="18"/>
        </w:rPr>
        <w:t>Road.cc</w:t>
      </w:r>
      <w:r w:rsidRPr="00053C9E">
        <w:rPr>
          <w:rFonts w:cs="Arial"/>
          <w:sz w:val="18"/>
          <w:szCs w:val="18"/>
        </w:rPr>
        <w:t xml:space="preserve"> (27 September 2012)</w:t>
      </w:r>
      <w:r>
        <w:rPr>
          <w:rFonts w:cs="Arial"/>
          <w:sz w:val="18"/>
          <w:szCs w:val="18"/>
        </w:rPr>
        <w:t xml:space="preserve"> [</w:t>
      </w:r>
      <w:hyperlink r:id="rId19" w:history="1">
        <w:r w:rsidRPr="002815CE">
          <w:rPr>
            <w:rStyle w:val="Hyperlink"/>
            <w:rFonts w:cs="Arial"/>
            <w:sz w:val="18"/>
            <w:szCs w:val="18"/>
          </w:rPr>
          <w:t>http://road.cc/content/feature/67388-riding-outriders-policing-tour-britain</w:t>
        </w:r>
      </w:hyperlink>
      <w:r>
        <w:rPr>
          <w:rFonts w:cs="Arial"/>
          <w:sz w:val="18"/>
          <w:szCs w:val="18"/>
        </w:rPr>
        <w:t>]</w:t>
      </w:r>
      <w:r>
        <w:rPr>
          <w:rFonts w:cs="Arial"/>
          <w:sz w:val="18"/>
          <w:szCs w:val="18"/>
        </w:rPr>
        <w:t xml:space="preserve"> </w:t>
      </w:r>
      <w:r>
        <w:rPr>
          <w:rFonts w:cs="Arial"/>
          <w:sz w:val="18"/>
          <w:szCs w:val="18"/>
        </w:rPr>
        <w:t xml:space="preserve">&lt;Last </w:t>
      </w:r>
      <w:r>
        <w:rPr>
          <w:rFonts w:cs="Arial"/>
          <w:sz w:val="18"/>
          <w:szCs w:val="18"/>
        </w:rPr>
        <w:t>accessed 27 September 2014</w:t>
      </w:r>
      <w:r>
        <w:rPr>
          <w:rFonts w:cs="Arial"/>
          <w:sz w:val="18"/>
          <w:szCs w:val="18"/>
        </w:rPr>
        <w:t>&gt;</w:t>
      </w:r>
    </w:p>
    <w:p w14:paraId="7C7B7E6C" w14:textId="546E5857" w:rsidR="003D1484" w:rsidRPr="00B655A3" w:rsidRDefault="003D1484" w:rsidP="00B655A3">
      <w:pPr>
        <w:pStyle w:val="ListParagraph"/>
        <w:numPr>
          <w:ilvl w:val="0"/>
          <w:numId w:val="10"/>
        </w:numPr>
        <w:spacing w:before="40" w:after="40"/>
        <w:ind w:left="714" w:hanging="357"/>
        <w:outlineLvl w:val="0"/>
        <w:rPr>
          <w:rFonts w:eastAsia="Arial Unicode MS" w:cs="Arial"/>
          <w:color w:val="000000"/>
          <w:sz w:val="18"/>
          <w:szCs w:val="18"/>
          <w:u w:color="000000"/>
        </w:rPr>
      </w:pPr>
      <w:r w:rsidRPr="00B655A3">
        <w:rPr>
          <w:rFonts w:cs="Arial"/>
          <w:sz w:val="18"/>
          <w:szCs w:val="18"/>
        </w:rPr>
        <w:t>The Home Office, ‘The Good Practice Guide for small and sporting events taking place on the highway, roads and public places’</w:t>
      </w:r>
    </w:p>
    <w:p w14:paraId="70643E24" w14:textId="69ED0D55" w:rsidR="00B655A3" w:rsidRPr="00B655A3" w:rsidRDefault="003D1484" w:rsidP="00B655A3">
      <w:pPr>
        <w:pStyle w:val="ListParagraph"/>
        <w:numPr>
          <w:ilvl w:val="0"/>
          <w:numId w:val="10"/>
        </w:numPr>
        <w:spacing w:before="40" w:after="0"/>
        <w:outlineLvl w:val="0"/>
        <w:rPr>
          <w:rFonts w:cs="Arial"/>
          <w:sz w:val="18"/>
          <w:szCs w:val="18"/>
        </w:rPr>
      </w:pPr>
      <w:r w:rsidRPr="00B655A3">
        <w:rPr>
          <w:rFonts w:eastAsia="Arial Unicode MS" w:cs="Arial"/>
          <w:color w:val="000000"/>
          <w:sz w:val="18"/>
          <w:szCs w:val="18"/>
          <w:u w:color="000000"/>
        </w:rPr>
        <w:t xml:space="preserve">Union </w:t>
      </w:r>
      <w:proofErr w:type="spellStart"/>
      <w:r w:rsidRPr="00B655A3">
        <w:rPr>
          <w:rFonts w:eastAsia="Arial Unicode MS" w:cs="Arial"/>
          <w:color w:val="000000"/>
          <w:sz w:val="18"/>
          <w:szCs w:val="18"/>
          <w:u w:color="000000"/>
        </w:rPr>
        <w:t>Cycliste</w:t>
      </w:r>
      <w:proofErr w:type="spellEnd"/>
      <w:r w:rsidRPr="00B655A3">
        <w:rPr>
          <w:rFonts w:eastAsia="Arial Unicode MS" w:cs="Arial"/>
          <w:color w:val="000000"/>
          <w:sz w:val="18"/>
          <w:szCs w:val="18"/>
          <w:u w:color="000000"/>
        </w:rPr>
        <w:t xml:space="preserve"> International</w:t>
      </w:r>
      <w:r w:rsidR="00053C9E" w:rsidRPr="00B655A3">
        <w:rPr>
          <w:rFonts w:eastAsia="Arial Unicode MS" w:cs="Arial"/>
          <w:color w:val="000000"/>
          <w:sz w:val="18"/>
          <w:szCs w:val="18"/>
          <w:u w:color="000000"/>
        </w:rPr>
        <w:t xml:space="preserve"> (UCI)</w:t>
      </w:r>
      <w:r w:rsidR="00B655A3" w:rsidRPr="00B655A3">
        <w:rPr>
          <w:rFonts w:eastAsia="Arial Unicode MS" w:cs="Arial"/>
          <w:color w:val="000000"/>
          <w:sz w:val="18"/>
          <w:szCs w:val="18"/>
          <w:u w:color="000000"/>
        </w:rPr>
        <w:t>,</w:t>
      </w:r>
      <w:r w:rsidR="00B655A3">
        <w:rPr>
          <w:rFonts w:eastAsia="Arial Unicode MS" w:cs="Arial"/>
          <w:color w:val="000000"/>
          <w:sz w:val="18"/>
          <w:szCs w:val="18"/>
          <w:u w:color="000000"/>
        </w:rPr>
        <w:t xml:space="preserve"> </w:t>
      </w:r>
      <w:r w:rsidR="00B655A3" w:rsidRPr="00B655A3">
        <w:rPr>
          <w:rFonts w:cs="Arial"/>
          <w:sz w:val="18"/>
          <w:szCs w:val="18"/>
        </w:rPr>
        <w:t>Rules and Regulations: [</w:t>
      </w:r>
      <w:hyperlink r:id="rId20" w:history="1">
        <w:r w:rsidR="00B655A3" w:rsidRPr="00B655A3">
          <w:rPr>
            <w:rStyle w:val="Hyperlink"/>
            <w:rFonts w:cs="Arial"/>
            <w:sz w:val="18"/>
            <w:szCs w:val="18"/>
          </w:rPr>
          <w:t>www.uci.ch/inside-uci/rules-and-regulations/regulations/</w:t>
        </w:r>
      </w:hyperlink>
      <w:r w:rsidR="00B655A3" w:rsidRPr="00B655A3">
        <w:rPr>
          <w:rStyle w:val="Hyperlink"/>
          <w:rFonts w:cs="Arial"/>
          <w:color w:val="auto"/>
          <w:sz w:val="18"/>
          <w:szCs w:val="18"/>
          <w:u w:val="none"/>
        </w:rPr>
        <w:t>]</w:t>
      </w:r>
    </w:p>
    <w:p w14:paraId="50B0DE18" w14:textId="3130C321" w:rsidR="00B655A3" w:rsidRPr="00B655A3" w:rsidRDefault="00B655A3" w:rsidP="00B655A3">
      <w:pPr>
        <w:pStyle w:val="ListParagraph"/>
        <w:numPr>
          <w:ilvl w:val="1"/>
          <w:numId w:val="10"/>
        </w:numPr>
        <w:spacing w:before="40" w:after="0"/>
        <w:outlineLvl w:val="0"/>
        <w:rPr>
          <w:rFonts w:cs="Arial"/>
          <w:sz w:val="18"/>
          <w:szCs w:val="18"/>
        </w:rPr>
      </w:pPr>
      <w:r w:rsidRPr="00B655A3">
        <w:rPr>
          <w:rFonts w:cs="Arial"/>
          <w:sz w:val="18"/>
          <w:szCs w:val="18"/>
        </w:rPr>
        <w:t>‘Organiser’s Guide to Road Events: [</w:t>
      </w:r>
      <w:hyperlink r:id="rId21" w:history="1">
        <w:r w:rsidRPr="00B655A3">
          <w:rPr>
            <w:rStyle w:val="Hyperlink"/>
            <w:rFonts w:cs="Arial"/>
            <w:sz w:val="18"/>
            <w:szCs w:val="18"/>
          </w:rPr>
          <w:t>www.uci.ch/docs/UCIGB-PDF/UCIGB_GUIDEORGA.pdf</w:t>
        </w:r>
      </w:hyperlink>
      <w:r w:rsidRPr="00B655A3">
        <w:rPr>
          <w:rFonts w:cs="Arial"/>
          <w:sz w:val="18"/>
          <w:szCs w:val="18"/>
        </w:rPr>
        <w:t>]</w:t>
      </w:r>
      <w:r w:rsidR="008F063A">
        <w:rPr>
          <w:rFonts w:cs="Arial"/>
          <w:sz w:val="18"/>
          <w:szCs w:val="18"/>
        </w:rPr>
        <w:t xml:space="preserve"> &lt;Last accessed 20 September 2014&gt;</w:t>
      </w:r>
    </w:p>
    <w:p w14:paraId="6BFDC568" w14:textId="36505B64" w:rsidR="00C84E6E" w:rsidRDefault="00C84E6E" w:rsidP="00C84E6E">
      <w:pPr>
        <w:spacing w:after="0"/>
        <w:rPr>
          <w:rFonts w:cs="Arial"/>
          <w:sz w:val="18"/>
          <w:szCs w:val="18"/>
        </w:rPr>
      </w:pPr>
    </w:p>
    <w:p w14:paraId="018B2557" w14:textId="77777777" w:rsidR="00C84E6E" w:rsidRDefault="00C84E6E" w:rsidP="00C84E6E">
      <w:pPr>
        <w:spacing w:after="0"/>
        <w:rPr>
          <w:rFonts w:cs="Arial"/>
          <w:sz w:val="18"/>
          <w:szCs w:val="18"/>
        </w:rPr>
      </w:pPr>
    </w:p>
    <w:p w14:paraId="52242623" w14:textId="77777777" w:rsidR="00C84E6E" w:rsidRDefault="00C84E6E" w:rsidP="00C84E6E">
      <w:pPr>
        <w:spacing w:after="0"/>
      </w:pPr>
    </w:p>
    <w:p w14:paraId="1F352F81" w14:textId="6C3F32F7" w:rsidR="00C84E6E" w:rsidRPr="00C84E6E" w:rsidRDefault="00C84E6E" w:rsidP="00C84E6E">
      <w:pPr>
        <w:spacing w:after="0"/>
        <w:rPr>
          <w:rFonts w:eastAsia="Arial Unicode MS"/>
          <w:b/>
          <w:color w:val="000000"/>
          <w:u w:color="000000"/>
        </w:rPr>
      </w:pPr>
      <w:r w:rsidRPr="00C84E6E">
        <w:rPr>
          <w:rFonts w:eastAsia="Arial Unicode MS"/>
          <w:b/>
          <w:color w:val="000000"/>
          <w:u w:color="000000"/>
        </w:rPr>
        <w:t>Websites</w:t>
      </w:r>
    </w:p>
    <w:p w14:paraId="139B4409" w14:textId="7A15C25D" w:rsidR="00C84E6E" w:rsidRPr="00B655A3" w:rsidRDefault="00C84E6E" w:rsidP="00B655A3">
      <w:pPr>
        <w:pStyle w:val="ListParagraph"/>
        <w:numPr>
          <w:ilvl w:val="0"/>
          <w:numId w:val="13"/>
        </w:numPr>
        <w:spacing w:before="40" w:after="0"/>
        <w:ind w:left="714" w:hanging="357"/>
        <w:outlineLvl w:val="0"/>
        <w:rPr>
          <w:rFonts w:cs="Arial"/>
          <w:sz w:val="18"/>
          <w:szCs w:val="18"/>
        </w:rPr>
      </w:pPr>
      <w:r w:rsidRPr="00B655A3">
        <w:rPr>
          <w:rFonts w:cs="Arial"/>
          <w:sz w:val="18"/>
          <w:szCs w:val="18"/>
        </w:rPr>
        <w:t>National Escort Group: Motorcycle Marshals’ [</w:t>
      </w:r>
      <w:hyperlink r:id="rId22" w:history="1">
        <w:r w:rsidRPr="00B655A3">
          <w:rPr>
            <w:rStyle w:val="Hyperlink"/>
            <w:rFonts w:cs="Arial"/>
            <w:sz w:val="18"/>
            <w:szCs w:val="18"/>
          </w:rPr>
          <w:t>www.britishcycling.org.uk/road/article/roadst-National-Escort-Group</w:t>
        </w:r>
      </w:hyperlink>
      <w:r w:rsidRPr="00B655A3">
        <w:rPr>
          <w:rFonts w:cs="Arial"/>
          <w:sz w:val="18"/>
          <w:szCs w:val="18"/>
        </w:rPr>
        <w:t>]</w:t>
      </w:r>
      <w:r w:rsidR="00682A67">
        <w:rPr>
          <w:rFonts w:cs="Arial"/>
          <w:sz w:val="18"/>
          <w:szCs w:val="18"/>
        </w:rPr>
        <w:t xml:space="preserve"> &lt;Last accessed 27 September 2014&gt;</w:t>
      </w:r>
    </w:p>
    <w:p w14:paraId="32A08C78" w14:textId="50974E9C" w:rsidR="00B655A3" w:rsidRPr="00B655A3" w:rsidRDefault="00B655A3" w:rsidP="00B655A3">
      <w:pPr>
        <w:pStyle w:val="ListParagraph"/>
        <w:numPr>
          <w:ilvl w:val="0"/>
          <w:numId w:val="13"/>
        </w:numPr>
        <w:spacing w:before="40" w:after="0"/>
        <w:ind w:left="714" w:hanging="357"/>
        <w:outlineLvl w:val="0"/>
        <w:rPr>
          <w:sz w:val="18"/>
          <w:szCs w:val="18"/>
        </w:rPr>
      </w:pPr>
      <w:r w:rsidRPr="00B655A3">
        <w:rPr>
          <w:rFonts w:cs="Arial"/>
          <w:sz w:val="18"/>
          <w:szCs w:val="18"/>
        </w:rPr>
        <w:t>Tour of Britain: [</w:t>
      </w:r>
      <w:hyperlink r:id="rId23" w:history="1">
        <w:r w:rsidRPr="00B655A3">
          <w:rPr>
            <w:rStyle w:val="Hyperlink"/>
            <w:rFonts w:cs="Arial"/>
            <w:sz w:val="18"/>
            <w:szCs w:val="18"/>
          </w:rPr>
          <w:t>www.tou</w:t>
        </w:r>
        <w:r w:rsidRPr="00B655A3">
          <w:rPr>
            <w:rStyle w:val="Hyperlink"/>
            <w:rFonts w:cs="Arial"/>
            <w:sz w:val="18"/>
            <w:szCs w:val="18"/>
          </w:rPr>
          <w:t>r</w:t>
        </w:r>
        <w:r w:rsidRPr="00B655A3">
          <w:rPr>
            <w:rStyle w:val="Hyperlink"/>
            <w:rFonts w:cs="Arial"/>
            <w:sz w:val="18"/>
            <w:szCs w:val="18"/>
          </w:rPr>
          <w:t>ofbritain.com</w:t>
        </w:r>
      </w:hyperlink>
      <w:r w:rsidRPr="008F063A">
        <w:rPr>
          <w:rStyle w:val="Hyperlink"/>
          <w:rFonts w:cs="Arial"/>
          <w:color w:val="auto"/>
          <w:sz w:val="18"/>
          <w:szCs w:val="18"/>
        </w:rPr>
        <w:t>]</w:t>
      </w:r>
      <w:r w:rsidR="008F063A" w:rsidRPr="008F063A">
        <w:rPr>
          <w:rStyle w:val="Hyperlink"/>
          <w:rFonts w:cs="Arial"/>
          <w:color w:val="auto"/>
          <w:sz w:val="18"/>
          <w:szCs w:val="18"/>
          <w:u w:val="none"/>
        </w:rPr>
        <w:t xml:space="preserve"> &lt;Last accessed 28 September 2014&gt;</w:t>
      </w:r>
    </w:p>
    <w:p w14:paraId="5C9C1189" w14:textId="79CAAA13" w:rsidR="00B655A3" w:rsidRDefault="00B655A3" w:rsidP="00B655A3">
      <w:pPr>
        <w:pStyle w:val="ListParagraph"/>
        <w:numPr>
          <w:ilvl w:val="0"/>
          <w:numId w:val="13"/>
        </w:numPr>
        <w:spacing w:before="40" w:after="0"/>
        <w:ind w:left="714" w:hanging="357"/>
        <w:outlineLvl w:val="0"/>
        <w:rPr>
          <w:rStyle w:val="Hyperlink"/>
          <w:rFonts w:cs="Arial"/>
          <w:color w:val="auto"/>
          <w:sz w:val="18"/>
          <w:szCs w:val="18"/>
          <w:u w:val="none"/>
        </w:rPr>
      </w:pPr>
      <w:r w:rsidRPr="00B655A3">
        <w:rPr>
          <w:rFonts w:cs="Arial"/>
          <w:sz w:val="18"/>
          <w:szCs w:val="18"/>
        </w:rPr>
        <w:t>UCI Europe Tour: [</w:t>
      </w:r>
      <w:hyperlink r:id="rId24" w:history="1">
        <w:r w:rsidRPr="00B655A3">
          <w:rPr>
            <w:rStyle w:val="Hyperlink"/>
            <w:rFonts w:cs="Arial"/>
            <w:sz w:val="18"/>
            <w:szCs w:val="18"/>
          </w:rPr>
          <w:t>www.ucieuropetour.com</w:t>
        </w:r>
      </w:hyperlink>
      <w:r w:rsidRPr="00B655A3">
        <w:rPr>
          <w:rStyle w:val="Hyperlink"/>
          <w:rFonts w:cs="Arial"/>
          <w:color w:val="auto"/>
          <w:sz w:val="18"/>
          <w:szCs w:val="18"/>
          <w:u w:val="none"/>
        </w:rPr>
        <w:t>]</w:t>
      </w:r>
      <w:r w:rsidR="008F063A">
        <w:rPr>
          <w:rStyle w:val="Hyperlink"/>
          <w:rFonts w:cs="Arial"/>
          <w:color w:val="auto"/>
          <w:sz w:val="18"/>
          <w:szCs w:val="18"/>
          <w:u w:val="none"/>
        </w:rPr>
        <w:t xml:space="preserve"> &lt;Last accessed 22 September 2014&gt;</w:t>
      </w:r>
    </w:p>
    <w:p w14:paraId="5F8AB49D" w14:textId="4D652F24" w:rsidR="008F063A" w:rsidRPr="00B655A3" w:rsidRDefault="008F063A" w:rsidP="00B655A3">
      <w:pPr>
        <w:pStyle w:val="ListParagraph"/>
        <w:numPr>
          <w:ilvl w:val="0"/>
          <w:numId w:val="13"/>
        </w:numPr>
        <w:spacing w:before="40" w:after="0"/>
        <w:ind w:left="714" w:hanging="357"/>
        <w:outlineLvl w:val="0"/>
        <w:rPr>
          <w:rFonts w:cs="Arial"/>
          <w:sz w:val="18"/>
          <w:szCs w:val="18"/>
        </w:rPr>
      </w:pPr>
      <w:proofErr w:type="spellStart"/>
      <w:r>
        <w:rPr>
          <w:rFonts w:cs="Arial"/>
          <w:sz w:val="18"/>
          <w:szCs w:val="18"/>
        </w:rPr>
        <w:t>Sweetspot</w:t>
      </w:r>
      <w:proofErr w:type="spellEnd"/>
      <w:r>
        <w:rPr>
          <w:rFonts w:cs="Arial"/>
          <w:sz w:val="18"/>
          <w:szCs w:val="18"/>
        </w:rPr>
        <w:t>: [</w:t>
      </w:r>
      <w:hyperlink r:id="rId25" w:history="1">
        <w:r w:rsidRPr="002815CE">
          <w:rPr>
            <w:rStyle w:val="Hyperlink"/>
            <w:rFonts w:cs="Arial"/>
            <w:sz w:val="18"/>
            <w:szCs w:val="18"/>
          </w:rPr>
          <w:t>www.sweetspotgroup.co.uk/events.php</w:t>
        </w:r>
      </w:hyperlink>
      <w:r>
        <w:rPr>
          <w:rFonts w:cs="Arial"/>
          <w:sz w:val="18"/>
          <w:szCs w:val="18"/>
        </w:rPr>
        <w:t>] &lt;Last accessed 28 September 2014&gt;</w:t>
      </w:r>
    </w:p>
    <w:sectPr w:rsidR="008F063A" w:rsidRPr="00B655A3" w:rsidSect="009F2921">
      <w:headerReference w:type="default" r:id="rId26"/>
      <w:headerReference w:type="first" r:id="rId27"/>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9982A" w14:textId="77777777" w:rsidR="008F063A" w:rsidRDefault="008F063A" w:rsidP="002D260A">
      <w:pPr>
        <w:spacing w:after="0" w:line="240" w:lineRule="auto"/>
      </w:pPr>
      <w:r>
        <w:separator/>
      </w:r>
    </w:p>
  </w:endnote>
  <w:endnote w:type="continuationSeparator" w:id="0">
    <w:p w14:paraId="111353C1" w14:textId="77777777" w:rsidR="008F063A" w:rsidRDefault="008F063A" w:rsidP="002D260A">
      <w:pPr>
        <w:spacing w:after="0" w:line="240" w:lineRule="auto"/>
      </w:pPr>
      <w:r>
        <w:continuationSeparator/>
      </w:r>
    </w:p>
  </w:endnote>
  <w:endnote w:type="continuationNotice" w:id="1">
    <w:p w14:paraId="441DD4B0" w14:textId="77777777" w:rsidR="008F063A" w:rsidRDefault="008F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A1BD4" w14:textId="77777777" w:rsidR="008F063A" w:rsidRDefault="008F063A" w:rsidP="002D260A">
      <w:pPr>
        <w:spacing w:after="0" w:line="240" w:lineRule="auto"/>
      </w:pPr>
      <w:r>
        <w:separator/>
      </w:r>
    </w:p>
  </w:footnote>
  <w:footnote w:type="continuationSeparator" w:id="0">
    <w:p w14:paraId="4AED9120" w14:textId="77777777" w:rsidR="008F063A" w:rsidRDefault="008F063A" w:rsidP="002D260A">
      <w:pPr>
        <w:spacing w:after="0" w:line="240" w:lineRule="auto"/>
      </w:pPr>
      <w:r>
        <w:continuationSeparator/>
      </w:r>
    </w:p>
  </w:footnote>
  <w:footnote w:type="continuationNotice" w:id="1">
    <w:p w14:paraId="762955F1" w14:textId="77777777" w:rsidR="008F063A" w:rsidRDefault="008F063A">
      <w:pPr>
        <w:spacing w:after="0" w:line="240" w:lineRule="auto"/>
      </w:pPr>
    </w:p>
  </w:footnote>
  <w:footnote w:id="2">
    <w:p w14:paraId="51F3D0BA" w14:textId="5DD8B15C"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‘Tour of Britain’: [</w:t>
      </w:r>
      <w:hyperlink r:id="rId1" w:history="1">
        <w:r w:rsidRPr="002815CE">
          <w:rPr>
            <w:rStyle w:val="Hyperlink"/>
            <w:rFonts w:cs="Arial"/>
            <w:sz w:val="18"/>
            <w:szCs w:val="18"/>
          </w:rPr>
          <w:t>www.tourofbritain.com</w:t>
        </w:r>
      </w:hyperlink>
      <w:r>
        <w:rPr>
          <w:rStyle w:val="Hyperlink"/>
          <w:rFonts w:cs="Arial"/>
          <w:sz w:val="18"/>
          <w:szCs w:val="18"/>
        </w:rPr>
        <w:t>]</w:t>
      </w:r>
    </w:p>
  </w:footnote>
  <w:footnote w:id="3">
    <w:p w14:paraId="119B5553" w14:textId="67A92819"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William Fotheringham, ‘Accident mars end of Tour of Britain showcase’ </w:t>
      </w:r>
      <w:r w:rsidRPr="002815CE">
        <w:rPr>
          <w:rFonts w:cs="Arial"/>
          <w:i/>
          <w:sz w:val="18"/>
          <w:szCs w:val="18"/>
        </w:rPr>
        <w:t>The Guardian</w:t>
      </w:r>
      <w:r>
        <w:rPr>
          <w:rFonts w:cs="Arial"/>
          <w:sz w:val="18"/>
          <w:szCs w:val="18"/>
        </w:rPr>
        <w:t xml:space="preserve"> (London, 4 September 2006) (online) [</w:t>
      </w:r>
      <w:hyperlink r:id="rId2" w:history="1">
        <w:r w:rsidRPr="002815CE">
          <w:rPr>
            <w:rStyle w:val="Hyperlink"/>
            <w:rFonts w:cs="Arial"/>
            <w:sz w:val="18"/>
            <w:szCs w:val="18"/>
          </w:rPr>
          <w:t>www.theguardian.com/sport/2006/sep/04/cycling.cycling1</w:t>
        </w:r>
      </w:hyperlink>
      <w:r>
        <w:rPr>
          <w:rStyle w:val="Hyperlink"/>
          <w:rFonts w:cs="Arial"/>
          <w:sz w:val="18"/>
          <w:szCs w:val="18"/>
        </w:rPr>
        <w:t>]</w:t>
      </w:r>
      <w:r w:rsidRPr="002815CE">
        <w:rPr>
          <w:rFonts w:cs="Arial"/>
          <w:sz w:val="18"/>
          <w:szCs w:val="18"/>
        </w:rPr>
        <w:t xml:space="preserve">. The 2006 edition was one of the earliest editions of the modern incarnation of the Tour of Britain. The previous version of the Tour (the </w:t>
      </w:r>
      <w:proofErr w:type="spellStart"/>
      <w:r w:rsidRPr="002815CE">
        <w:rPr>
          <w:rFonts w:cs="Arial"/>
          <w:sz w:val="18"/>
          <w:szCs w:val="18"/>
        </w:rPr>
        <w:t>PruTour</w:t>
      </w:r>
      <w:proofErr w:type="spellEnd"/>
      <w:r w:rsidRPr="002815CE">
        <w:rPr>
          <w:rFonts w:cs="Arial"/>
          <w:sz w:val="18"/>
          <w:szCs w:val="18"/>
        </w:rPr>
        <w:t xml:space="preserve">) had fallen off the calendar for five years due to lack of sponsorship, mainly as a result of safety concerns raised by a fatal accident during the 1999 edition – see: Martin Ayers, ‘Death of police escort rider cancels Tour of Britain stage’ </w:t>
      </w:r>
      <w:r w:rsidRPr="002815CE">
        <w:rPr>
          <w:rFonts w:cs="Arial"/>
          <w:i/>
          <w:sz w:val="18"/>
          <w:szCs w:val="18"/>
        </w:rPr>
        <w:t xml:space="preserve">The Independent </w:t>
      </w:r>
      <w:r>
        <w:rPr>
          <w:rFonts w:cs="Arial"/>
          <w:sz w:val="18"/>
          <w:szCs w:val="18"/>
        </w:rPr>
        <w:t>(29 May 1998) (online) [</w:t>
      </w:r>
      <w:hyperlink r:id="rId3" w:history="1">
        <w:r w:rsidRPr="002815CE">
          <w:rPr>
            <w:rStyle w:val="Hyperlink"/>
            <w:rFonts w:cs="Arial"/>
            <w:sz w:val="18"/>
            <w:szCs w:val="18"/>
          </w:rPr>
          <w:t>www.independent.co.uk/sport/cycling-death-of-police-escort-rider-cancels-tour-of-britain-stage-1156744.html</w:t>
        </w:r>
      </w:hyperlink>
      <w:r>
        <w:rPr>
          <w:rStyle w:val="Hyperlink"/>
          <w:rFonts w:cs="Arial"/>
          <w:sz w:val="18"/>
          <w:szCs w:val="18"/>
        </w:rPr>
        <w:t>]</w:t>
      </w:r>
    </w:p>
  </w:footnote>
  <w:footnote w:id="4">
    <w:p w14:paraId="0F251E42" w14:textId="472D8C1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w:t>
      </w:r>
      <w:proofErr w:type="spellStart"/>
      <w:r>
        <w:rPr>
          <w:rFonts w:cs="Arial"/>
          <w:sz w:val="18"/>
          <w:szCs w:val="18"/>
        </w:rPr>
        <w:t>Sweetspot</w:t>
      </w:r>
      <w:proofErr w:type="spellEnd"/>
      <w:r>
        <w:rPr>
          <w:rFonts w:cs="Arial"/>
          <w:sz w:val="18"/>
          <w:szCs w:val="18"/>
        </w:rPr>
        <w:t>: Events’: [</w:t>
      </w:r>
      <w:hyperlink r:id="rId4" w:history="1">
        <w:r w:rsidRPr="002815CE">
          <w:rPr>
            <w:rStyle w:val="Hyperlink"/>
            <w:rFonts w:cs="Arial"/>
            <w:sz w:val="18"/>
            <w:szCs w:val="18"/>
          </w:rPr>
          <w:t>www.sweetspotgroup.co.uk/events.php</w:t>
        </w:r>
      </w:hyperlink>
      <w:r>
        <w:rPr>
          <w:rFonts w:cs="Arial"/>
          <w:sz w:val="18"/>
          <w:szCs w:val="18"/>
        </w:rPr>
        <w:t>]</w:t>
      </w:r>
    </w:p>
  </w:footnote>
  <w:footnote w:id="5">
    <w:p w14:paraId="1E0679EF" w14:textId="072EC072"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See for example: ‘Tour </w:t>
      </w:r>
      <w:r>
        <w:rPr>
          <w:rFonts w:cs="Arial"/>
          <w:sz w:val="18"/>
          <w:szCs w:val="18"/>
        </w:rPr>
        <w:t>of Britain: Partners’ [</w:t>
      </w:r>
      <w:hyperlink r:id="rId5" w:anchor=".VB7LrMtOXIU" w:history="1">
        <w:r w:rsidRPr="002815CE">
          <w:rPr>
            <w:rStyle w:val="Hyperlink"/>
            <w:rFonts w:cs="Arial"/>
            <w:sz w:val="18"/>
            <w:szCs w:val="18"/>
          </w:rPr>
          <w:t>www.tourofbritain.co.uk/partners/index.php#.VB7LrMtOXIU</w:t>
        </w:r>
      </w:hyperlink>
      <w:r>
        <w:rPr>
          <w:rStyle w:val="Hyperlink"/>
          <w:rFonts w:cs="Arial"/>
          <w:sz w:val="18"/>
          <w:szCs w:val="18"/>
        </w:rPr>
        <w:t>]</w:t>
      </w:r>
    </w:p>
  </w:footnote>
  <w:footnote w:id="6">
    <w:p w14:paraId="798082E3" w14:textId="7A76F82E"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UCI, ‘Org</w:t>
      </w:r>
      <w:r>
        <w:rPr>
          <w:rFonts w:cs="Arial"/>
          <w:sz w:val="18"/>
          <w:szCs w:val="18"/>
        </w:rPr>
        <w:t>aniser’s Guide to Road Events’: [</w:t>
      </w:r>
      <w:hyperlink r:id="rId6" w:history="1">
        <w:r w:rsidRPr="002815CE">
          <w:rPr>
            <w:rStyle w:val="Hyperlink"/>
            <w:rFonts w:cs="Arial"/>
            <w:sz w:val="18"/>
            <w:szCs w:val="18"/>
          </w:rPr>
          <w:t>www.uci.ch/docs/UCIGB-PDF/UCIGB_GUIDEORGA.pdf</w:t>
        </w:r>
      </w:hyperlink>
      <w:r>
        <w:rPr>
          <w:rFonts w:cs="Arial"/>
          <w:sz w:val="18"/>
          <w:szCs w:val="18"/>
        </w:rPr>
        <w:t xml:space="preserve">] </w:t>
      </w:r>
    </w:p>
  </w:footnote>
  <w:footnote w:id="7">
    <w:p w14:paraId="522A4017" w14:textId="6D33EBC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8">
    <w:p w14:paraId="39E9957C" w14:textId="6503EE8E"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 xml:space="preserve">See for example </w:t>
      </w:r>
      <w:r w:rsidRPr="002815CE">
        <w:rPr>
          <w:rFonts w:cs="Arial"/>
          <w:sz w:val="18"/>
          <w:szCs w:val="18"/>
        </w:rPr>
        <w:t>Football Licensing Authority, ‘Guid</w:t>
      </w:r>
      <w:r>
        <w:rPr>
          <w:rFonts w:cs="Arial"/>
          <w:sz w:val="18"/>
          <w:szCs w:val="18"/>
        </w:rPr>
        <w:t>e to Safety at Sports Grounds’ [</w:t>
      </w:r>
      <w:hyperlink r:id="rId7" w:history="1">
        <w:r w:rsidRPr="002815CE">
          <w:rPr>
            <w:rStyle w:val="Hyperlink"/>
            <w:rFonts w:cs="Arial"/>
            <w:sz w:val="18"/>
            <w:szCs w:val="18"/>
          </w:rPr>
          <w:t>http://www.safetyatsportsgrounds.org.uk/publications/green-guide</w:t>
        </w:r>
      </w:hyperlink>
      <w:r>
        <w:rPr>
          <w:rFonts w:cs="Arial"/>
          <w:sz w:val="18"/>
          <w:szCs w:val="18"/>
        </w:rPr>
        <w:t>]</w:t>
      </w:r>
    </w:p>
  </w:footnote>
  <w:footnote w:id="9">
    <w:p w14:paraId="51189BCC" w14:textId="6FDF1458"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‘Supported by British Cycling’: [</w:t>
      </w:r>
      <w:hyperlink r:id="rId8" w:history="1">
        <w:r w:rsidRPr="002815CE">
          <w:rPr>
            <w:rStyle w:val="Hyperlink"/>
            <w:rFonts w:cs="Arial"/>
            <w:sz w:val="18"/>
            <w:szCs w:val="18"/>
          </w:rPr>
          <w:t>www.britishcycling.org.uk/about/article/bc-British-Cycling-Event-0</w:t>
        </w:r>
      </w:hyperlink>
      <w:r>
        <w:rPr>
          <w:rFonts w:cs="Arial"/>
          <w:sz w:val="18"/>
          <w:szCs w:val="18"/>
        </w:rPr>
        <w:t>]</w:t>
      </w:r>
    </w:p>
  </w:footnote>
  <w:footnote w:id="10">
    <w:p w14:paraId="381DD493" w14:textId="4BDC51E6"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British Cycling, ‘Road Race Organiser’s Guide’</w:t>
      </w:r>
      <w:r>
        <w:rPr>
          <w:rFonts w:cs="Arial"/>
          <w:sz w:val="18"/>
          <w:szCs w:val="18"/>
        </w:rPr>
        <w:t xml:space="preserve">: </w:t>
      </w:r>
      <w:r w:rsidRPr="002815CE">
        <w:rPr>
          <w:rFonts w:cs="Arial"/>
          <w:sz w:val="18"/>
          <w:szCs w:val="18"/>
        </w:rPr>
        <w:t xml:space="preserve"> </w:t>
      </w:r>
      <w:r>
        <w:rPr>
          <w:rFonts w:cs="Arial"/>
          <w:sz w:val="18"/>
          <w:szCs w:val="18"/>
        </w:rPr>
        <w:t>[</w:t>
      </w:r>
      <w:hyperlink r:id="rId9" w:history="1">
        <w:r w:rsidRPr="002815CE">
          <w:rPr>
            <w:rStyle w:val="Hyperlink"/>
            <w:rFonts w:cs="Arial"/>
            <w:sz w:val="18"/>
            <w:szCs w:val="18"/>
          </w:rPr>
          <w:t>www.britishcycling.org.uk/zuvvi/media/bc_files/road/Road_Race_Organisers_Guide_-_FINAL.pdf</w:t>
        </w:r>
      </w:hyperlink>
      <w:r>
        <w:rPr>
          <w:rFonts w:cs="Arial"/>
          <w:sz w:val="18"/>
          <w:szCs w:val="18"/>
        </w:rPr>
        <w:t>]</w:t>
      </w:r>
    </w:p>
  </w:footnote>
  <w:footnote w:id="11">
    <w:p w14:paraId="6B70E1B8" w14:textId="46BC4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‘Road event organiser support’: [</w:t>
      </w:r>
      <w:hyperlink r:id="rId10" w:history="1">
        <w:r w:rsidRPr="002815CE">
          <w:rPr>
            <w:rStyle w:val="Hyperlink"/>
            <w:rFonts w:cs="Arial"/>
            <w:sz w:val="18"/>
            <w:szCs w:val="18"/>
          </w:rPr>
          <w:t>www.britishcycling.org.uk/roadeventorganisersupport</w:t>
        </w:r>
      </w:hyperlink>
      <w:r>
        <w:rPr>
          <w:rFonts w:cs="Arial"/>
          <w:sz w:val="18"/>
          <w:szCs w:val="18"/>
        </w:rPr>
        <w:t>]</w:t>
      </w:r>
    </w:p>
  </w:footnote>
  <w:footnote w:id="12">
    <w:p w14:paraId="64903346" w14:textId="71D1900F"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‘UCI Europe Tour’: [</w:t>
      </w:r>
      <w:hyperlink r:id="rId11" w:history="1">
        <w:r w:rsidRPr="002815CE">
          <w:rPr>
            <w:rStyle w:val="Hyperlink"/>
            <w:rFonts w:cs="Arial"/>
            <w:sz w:val="18"/>
            <w:szCs w:val="18"/>
          </w:rPr>
          <w:t>www.ucieuropetour.com</w:t>
        </w:r>
      </w:hyperlink>
      <w:r>
        <w:rPr>
          <w:rStyle w:val="Hyperlink"/>
          <w:rFonts w:cs="Arial"/>
          <w:color w:val="auto"/>
          <w:sz w:val="18"/>
          <w:szCs w:val="18"/>
          <w:u w:val="none"/>
        </w:rPr>
        <w:t>]</w:t>
      </w:r>
    </w:p>
  </w:footnote>
  <w:footnote w:id="13">
    <w:p w14:paraId="0B0BDFC5" w14:textId="7B794226"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UCI (</w:t>
      </w:r>
      <w:r w:rsidRPr="002815CE">
        <w:rPr>
          <w:rFonts w:cs="Arial"/>
          <w:sz w:val="18"/>
          <w:szCs w:val="18"/>
        </w:rPr>
        <w:t>n5</w:t>
      </w:r>
      <w:r>
        <w:rPr>
          <w:rFonts w:cs="Arial"/>
          <w:sz w:val="18"/>
          <w:szCs w:val="18"/>
        </w:rPr>
        <w:t>)</w:t>
      </w:r>
      <w:r w:rsidRPr="002815CE">
        <w:rPr>
          <w:rFonts w:cs="Arial"/>
          <w:sz w:val="18"/>
          <w:szCs w:val="18"/>
        </w:rPr>
        <w:t>.</w:t>
      </w:r>
    </w:p>
  </w:footnote>
  <w:footnote w:id="14">
    <w:p w14:paraId="61944C26" w14:textId="3FFC7D0C" w:rsidR="008F063A" w:rsidRPr="002815CE" w:rsidRDefault="008F063A" w:rsidP="002815CE">
      <w:pPr>
        <w:spacing w:before="40" w:after="40" w:line="240" w:lineRule="auto"/>
        <w:jc w:val="both"/>
        <w:rPr>
          <w:rFonts w:cs="Arial"/>
          <w:sz w:val="18"/>
          <w:szCs w:val="18"/>
        </w:rPr>
      </w:pPr>
      <w:r w:rsidRPr="002815CE">
        <w:rPr>
          <w:rStyle w:val="FootnoteReference"/>
          <w:rFonts w:cs="Arial"/>
          <w:sz w:val="18"/>
          <w:szCs w:val="18"/>
        </w:rPr>
        <w:footnoteRef/>
      </w:r>
      <w:r>
        <w:rPr>
          <w:rFonts w:cs="Arial"/>
          <w:sz w:val="18"/>
          <w:szCs w:val="18"/>
        </w:rPr>
        <w:t xml:space="preserve"> UCI (</w:t>
      </w:r>
      <w:r w:rsidRPr="002815CE">
        <w:rPr>
          <w:rFonts w:cs="Arial"/>
          <w:sz w:val="18"/>
          <w:szCs w:val="18"/>
        </w:rPr>
        <w:t>n11</w:t>
      </w:r>
      <w:r>
        <w:rPr>
          <w:rFonts w:cs="Arial"/>
          <w:sz w:val="18"/>
          <w:szCs w:val="18"/>
        </w:rPr>
        <w:t>).</w:t>
      </w:r>
    </w:p>
  </w:footnote>
  <w:footnote w:id="15">
    <w:p w14:paraId="113A47DE" w14:textId="0621773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i</w:t>
      </w:r>
      <w:r w:rsidRPr="002815CE">
        <w:rPr>
          <w:rFonts w:cs="Arial"/>
          <w:sz w:val="18"/>
          <w:szCs w:val="18"/>
        </w:rPr>
        <w:t>bid.</w:t>
      </w:r>
    </w:p>
  </w:footnote>
  <w:footnote w:id="16">
    <w:p w14:paraId="03E3BF02" w14:textId="0F96066E"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Health and Saf</w:t>
      </w:r>
      <w:r>
        <w:rPr>
          <w:rFonts w:cs="Arial"/>
          <w:sz w:val="18"/>
          <w:szCs w:val="18"/>
        </w:rPr>
        <w:t xml:space="preserve">ety at Work Act 1974 </w:t>
      </w:r>
      <w:proofErr w:type="spellStart"/>
      <w:r>
        <w:rPr>
          <w:rFonts w:cs="Arial"/>
          <w:sz w:val="18"/>
          <w:szCs w:val="18"/>
        </w:rPr>
        <w:t>pt</w:t>
      </w:r>
      <w:proofErr w:type="spellEnd"/>
      <w:r>
        <w:rPr>
          <w:rFonts w:cs="Arial"/>
          <w:sz w:val="18"/>
          <w:szCs w:val="18"/>
        </w:rPr>
        <w:t xml:space="preserve"> 1, s 2 </w:t>
      </w:r>
    </w:p>
  </w:footnote>
  <w:footnote w:id="17">
    <w:p w14:paraId="53235B69"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Health and Safety at Work Act, </w:t>
      </w:r>
      <w:proofErr w:type="spellStart"/>
      <w:r w:rsidRPr="002815CE">
        <w:rPr>
          <w:rFonts w:cs="Arial"/>
          <w:sz w:val="18"/>
          <w:szCs w:val="18"/>
        </w:rPr>
        <w:t>pt</w:t>
      </w:r>
      <w:proofErr w:type="spellEnd"/>
      <w:r w:rsidRPr="002815CE">
        <w:rPr>
          <w:rFonts w:cs="Arial"/>
          <w:sz w:val="18"/>
          <w:szCs w:val="18"/>
        </w:rPr>
        <w:t xml:space="preserve"> 1 s 3.</w:t>
      </w:r>
    </w:p>
  </w:footnote>
  <w:footnote w:id="18">
    <w:p w14:paraId="0E76A104"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Health and Safety at Work Act, </w:t>
      </w:r>
      <w:proofErr w:type="spellStart"/>
      <w:r w:rsidRPr="002815CE">
        <w:rPr>
          <w:rFonts w:cs="Arial"/>
          <w:sz w:val="18"/>
          <w:szCs w:val="18"/>
        </w:rPr>
        <w:t>pt</w:t>
      </w:r>
      <w:proofErr w:type="spellEnd"/>
      <w:r w:rsidRPr="002815CE">
        <w:rPr>
          <w:rFonts w:cs="Arial"/>
          <w:sz w:val="18"/>
          <w:szCs w:val="18"/>
        </w:rPr>
        <w:t xml:space="preserve"> 1 s 4.</w:t>
      </w:r>
    </w:p>
  </w:footnote>
  <w:footnote w:id="19">
    <w:p w14:paraId="780BD012" w14:textId="109DA6CB"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20">
    <w:p w14:paraId="783A3686" w14:textId="27D1CAD9" w:rsidR="008F063A" w:rsidRPr="002815CE" w:rsidRDefault="008F063A" w:rsidP="002815CE">
      <w:pPr>
        <w:pStyle w:val="FootnoteText"/>
        <w:spacing w:before="40" w:after="40"/>
        <w:rPr>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21">
    <w:p w14:paraId="6C4AB9C6" w14:textId="0981768B"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sidRPr="002815CE">
        <w:rPr>
          <w:rFonts w:cs="Arial"/>
          <w:iCs/>
          <w:color w:val="000000"/>
          <w:sz w:val="18"/>
          <w:szCs w:val="18"/>
        </w:rPr>
        <w:t>Management of Health and S</w:t>
      </w:r>
      <w:r>
        <w:rPr>
          <w:rFonts w:cs="Arial"/>
          <w:iCs/>
          <w:color w:val="000000"/>
          <w:sz w:val="18"/>
          <w:szCs w:val="18"/>
        </w:rPr>
        <w:t xml:space="preserve">afety at Work Regulations 1999 </w:t>
      </w:r>
    </w:p>
  </w:footnote>
  <w:footnote w:id="22">
    <w:p w14:paraId="09C5CDF4" w14:textId="05B5ECB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ibid.</w:t>
      </w:r>
      <w:r w:rsidRPr="002815CE">
        <w:rPr>
          <w:rFonts w:cs="Arial"/>
          <w:sz w:val="18"/>
          <w:szCs w:val="18"/>
        </w:rPr>
        <w:t xml:space="preserve"> s 3.</w:t>
      </w:r>
    </w:p>
  </w:footnote>
  <w:footnote w:id="23">
    <w:p w14:paraId="047AC836" w14:textId="517898F8"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Ibid. s 5.</w:t>
      </w:r>
    </w:p>
  </w:footnote>
  <w:footnote w:id="24">
    <w:p w14:paraId="755F666D" w14:textId="41590809"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Occupiers Liability Act 1957</w:t>
      </w:r>
    </w:p>
  </w:footnote>
  <w:footnote w:id="25">
    <w:p w14:paraId="67E9673F" w14:textId="1FF9289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Mark James, </w:t>
      </w:r>
      <w:r w:rsidRPr="002815CE">
        <w:rPr>
          <w:rFonts w:cs="Arial"/>
          <w:i/>
          <w:sz w:val="18"/>
          <w:szCs w:val="18"/>
        </w:rPr>
        <w:t>Sports Law</w:t>
      </w:r>
      <w:r w:rsidRPr="002815CE">
        <w:rPr>
          <w:rFonts w:cs="Arial"/>
          <w:sz w:val="18"/>
          <w:szCs w:val="18"/>
        </w:rPr>
        <w:t xml:space="preserve"> (1</w:t>
      </w:r>
      <w:r w:rsidRPr="002815CE">
        <w:rPr>
          <w:rFonts w:cs="Arial"/>
          <w:sz w:val="18"/>
          <w:szCs w:val="18"/>
          <w:vertAlign w:val="superscript"/>
        </w:rPr>
        <w:t>st</w:t>
      </w:r>
      <w:r w:rsidRPr="002815CE">
        <w:rPr>
          <w:rFonts w:cs="Arial"/>
          <w:sz w:val="18"/>
          <w:szCs w:val="18"/>
        </w:rPr>
        <w:t xml:space="preserve"> </w:t>
      </w:r>
      <w:proofErr w:type="spellStart"/>
      <w:r w:rsidRPr="002815CE">
        <w:rPr>
          <w:rFonts w:cs="Arial"/>
          <w:sz w:val="18"/>
          <w:szCs w:val="18"/>
        </w:rPr>
        <w:t>edn</w:t>
      </w:r>
      <w:proofErr w:type="spellEnd"/>
      <w:r w:rsidRPr="002815CE">
        <w:rPr>
          <w:rFonts w:cs="Arial"/>
          <w:sz w:val="18"/>
          <w:szCs w:val="18"/>
        </w:rPr>
        <w:t>, Palgrave Macmillan 2010) 155.</w:t>
      </w:r>
    </w:p>
  </w:footnote>
  <w:footnote w:id="26">
    <w:p w14:paraId="002ABB46" w14:textId="5EACE080"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27">
    <w:p w14:paraId="025F28AD" w14:textId="46AD5809"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Occupiers Liability Act 1984</w:t>
      </w:r>
    </w:p>
  </w:footnote>
  <w:footnote w:id="28">
    <w:p w14:paraId="17A829D4" w14:textId="55B8D5B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James (n24), 163.</w:t>
      </w:r>
    </w:p>
  </w:footnote>
  <w:footnote w:id="29">
    <w:p w14:paraId="2959559D" w14:textId="02037BC1"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 xml:space="preserve">Unfair Contract Terms Act 1977 </w:t>
      </w:r>
    </w:p>
  </w:footnote>
  <w:footnote w:id="30">
    <w:p w14:paraId="6336370C" w14:textId="02CE0305"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James (n24), 161.</w:t>
      </w:r>
    </w:p>
  </w:footnote>
  <w:footnote w:id="31">
    <w:p w14:paraId="31EAA2BC" w14:textId="2D56C445"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Cycle Racin</w:t>
      </w:r>
      <w:r>
        <w:rPr>
          <w:rFonts w:cs="Arial"/>
          <w:sz w:val="18"/>
          <w:szCs w:val="18"/>
        </w:rPr>
        <w:t>g on Highways Regulations 1960</w:t>
      </w:r>
    </w:p>
  </w:footnote>
  <w:footnote w:id="32">
    <w:p w14:paraId="1171E084" w14:textId="2C3BD16F"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Road Traffic Regulation (Special Events) Act 1994 </w:t>
      </w:r>
    </w:p>
  </w:footnote>
  <w:footnote w:id="33">
    <w:p w14:paraId="58BECFBD"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British Cycling (n10).</w:t>
      </w:r>
    </w:p>
  </w:footnote>
  <w:footnote w:id="34">
    <w:p w14:paraId="2B3470CF" w14:textId="05229F83"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Department for Transport, ‘Consultation on revisions to the Cycle Racing on Highways Regulations 1960’ </w:t>
      </w:r>
      <w:r>
        <w:rPr>
          <w:rFonts w:cs="Arial"/>
          <w:sz w:val="18"/>
          <w:szCs w:val="18"/>
        </w:rPr>
        <w:t>(online) [</w:t>
      </w:r>
      <w:hyperlink r:id="rId12" w:history="1">
        <w:r w:rsidRPr="002815CE">
          <w:rPr>
            <w:rStyle w:val="Hyperlink"/>
            <w:rFonts w:cs="Arial"/>
            <w:sz w:val="18"/>
            <w:szCs w:val="18"/>
          </w:rPr>
          <w:t>www.gov.uk/government/consultations/proposed-changes-to-the-cycle-racing-on-the-highway-regulations-1960</w:t>
        </w:r>
      </w:hyperlink>
      <w:r>
        <w:rPr>
          <w:rFonts w:cs="Arial"/>
          <w:sz w:val="18"/>
          <w:szCs w:val="18"/>
        </w:rPr>
        <w:t xml:space="preserve">] </w:t>
      </w:r>
    </w:p>
  </w:footnote>
  <w:footnote w:id="35">
    <w:p w14:paraId="15D8854D" w14:textId="2623D7E4"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36">
    <w:p w14:paraId="2E7E951E" w14:textId="34A33DC3"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The Home Office, </w:t>
      </w:r>
      <w:r w:rsidRPr="00422C75">
        <w:rPr>
          <w:rFonts w:cs="Arial"/>
          <w:i/>
          <w:sz w:val="18"/>
          <w:szCs w:val="18"/>
        </w:rPr>
        <w:t>The Good Practice Guide for small and sporting events taking place on the highway, roads and public places</w:t>
      </w:r>
      <w:r>
        <w:rPr>
          <w:rFonts w:cs="Arial"/>
          <w:sz w:val="18"/>
          <w:szCs w:val="18"/>
        </w:rPr>
        <w:t xml:space="preserve"> (The Stationery Office, 2006).</w:t>
      </w:r>
    </w:p>
  </w:footnote>
  <w:footnote w:id="37">
    <w:p w14:paraId="492B77F0" w14:textId="6C0B1258"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 xml:space="preserve">bid, </w:t>
      </w:r>
      <w:proofErr w:type="spellStart"/>
      <w:r w:rsidRPr="002815CE">
        <w:rPr>
          <w:rFonts w:cs="Arial"/>
          <w:sz w:val="18"/>
          <w:szCs w:val="18"/>
        </w:rPr>
        <w:t>Ch</w:t>
      </w:r>
      <w:proofErr w:type="spellEnd"/>
      <w:r w:rsidRPr="002815CE">
        <w:rPr>
          <w:rFonts w:cs="Arial"/>
          <w:sz w:val="18"/>
          <w:szCs w:val="18"/>
        </w:rPr>
        <w:t xml:space="preserve"> 13.</w:t>
      </w:r>
    </w:p>
  </w:footnote>
  <w:footnote w:id="38">
    <w:p w14:paraId="23A51C70" w14:textId="7B265409"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Adam Lewis </w:t>
      </w:r>
      <w:r>
        <w:rPr>
          <w:rFonts w:cs="Arial"/>
          <w:sz w:val="18"/>
          <w:szCs w:val="18"/>
        </w:rPr>
        <w:t>&amp;</w:t>
      </w:r>
      <w:r w:rsidRPr="002815CE">
        <w:rPr>
          <w:rFonts w:cs="Arial"/>
          <w:sz w:val="18"/>
          <w:szCs w:val="18"/>
        </w:rPr>
        <w:t xml:space="preserve"> Jonathan Taylor, </w:t>
      </w:r>
      <w:r w:rsidRPr="002815CE">
        <w:rPr>
          <w:rFonts w:cs="Arial"/>
          <w:i/>
          <w:sz w:val="18"/>
          <w:szCs w:val="18"/>
        </w:rPr>
        <w:t>Sport: Law and Practice</w:t>
      </w:r>
      <w:r w:rsidRPr="002815CE">
        <w:rPr>
          <w:rFonts w:cs="Arial"/>
          <w:sz w:val="18"/>
          <w:szCs w:val="18"/>
        </w:rPr>
        <w:t xml:space="preserve"> (2</w:t>
      </w:r>
      <w:r w:rsidRPr="002815CE">
        <w:rPr>
          <w:rFonts w:cs="Arial"/>
          <w:sz w:val="18"/>
          <w:szCs w:val="18"/>
          <w:vertAlign w:val="superscript"/>
        </w:rPr>
        <w:t>nd</w:t>
      </w:r>
      <w:r w:rsidRPr="002815CE">
        <w:rPr>
          <w:rFonts w:cs="Arial"/>
          <w:sz w:val="18"/>
          <w:szCs w:val="18"/>
        </w:rPr>
        <w:t xml:space="preserve"> </w:t>
      </w:r>
      <w:proofErr w:type="spellStart"/>
      <w:r w:rsidRPr="002815CE">
        <w:rPr>
          <w:rFonts w:cs="Arial"/>
          <w:sz w:val="18"/>
          <w:szCs w:val="18"/>
        </w:rPr>
        <w:t>edn</w:t>
      </w:r>
      <w:proofErr w:type="spellEnd"/>
      <w:r w:rsidRPr="002815CE">
        <w:rPr>
          <w:rFonts w:cs="Arial"/>
          <w:sz w:val="18"/>
          <w:szCs w:val="18"/>
        </w:rPr>
        <w:t xml:space="preserve">, </w:t>
      </w:r>
      <w:proofErr w:type="spellStart"/>
      <w:r w:rsidRPr="002815CE">
        <w:rPr>
          <w:rFonts w:cs="Arial"/>
          <w:sz w:val="18"/>
          <w:szCs w:val="18"/>
        </w:rPr>
        <w:t>Tottell</w:t>
      </w:r>
      <w:proofErr w:type="spellEnd"/>
      <w:r w:rsidRPr="002815CE">
        <w:rPr>
          <w:rFonts w:cs="Arial"/>
          <w:sz w:val="18"/>
          <w:szCs w:val="18"/>
        </w:rPr>
        <w:t xml:space="preserve"> Publishing 2008) 714.</w:t>
      </w:r>
    </w:p>
  </w:footnote>
  <w:footnote w:id="39">
    <w:p w14:paraId="1040BDE5" w14:textId="2733729D"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proofErr w:type="spellStart"/>
      <w:r w:rsidRPr="002815CE">
        <w:rPr>
          <w:rFonts w:cs="Arial"/>
          <w:i/>
          <w:sz w:val="18"/>
          <w:szCs w:val="18"/>
        </w:rPr>
        <w:t>Caparo</w:t>
      </w:r>
      <w:proofErr w:type="spellEnd"/>
      <w:r w:rsidRPr="002815CE">
        <w:rPr>
          <w:rFonts w:cs="Arial"/>
          <w:i/>
          <w:sz w:val="18"/>
          <w:szCs w:val="18"/>
        </w:rPr>
        <w:t xml:space="preserve"> Industries v</w:t>
      </w:r>
      <w:r>
        <w:rPr>
          <w:rFonts w:cs="Arial"/>
          <w:i/>
          <w:sz w:val="18"/>
          <w:szCs w:val="18"/>
        </w:rPr>
        <w:t>.</w:t>
      </w:r>
      <w:r w:rsidRPr="002815CE">
        <w:rPr>
          <w:rFonts w:cs="Arial"/>
          <w:i/>
          <w:sz w:val="18"/>
          <w:szCs w:val="18"/>
        </w:rPr>
        <w:t xml:space="preserve"> </w:t>
      </w:r>
      <w:proofErr w:type="spellStart"/>
      <w:r w:rsidRPr="002815CE">
        <w:rPr>
          <w:rFonts w:cs="Arial"/>
          <w:i/>
          <w:sz w:val="18"/>
          <w:szCs w:val="18"/>
        </w:rPr>
        <w:t>Dickman</w:t>
      </w:r>
      <w:proofErr w:type="spellEnd"/>
      <w:r w:rsidRPr="002815CE">
        <w:rPr>
          <w:rFonts w:cs="Arial"/>
          <w:i/>
          <w:sz w:val="18"/>
          <w:szCs w:val="18"/>
        </w:rPr>
        <w:t xml:space="preserve"> </w:t>
      </w:r>
      <w:r w:rsidRPr="002815CE">
        <w:rPr>
          <w:rFonts w:cs="Arial"/>
          <w:sz w:val="18"/>
          <w:szCs w:val="18"/>
        </w:rPr>
        <w:t>[1990] 2 AC 605.</w:t>
      </w:r>
    </w:p>
  </w:footnote>
  <w:footnote w:id="40">
    <w:p w14:paraId="1EC1BF6D" w14:textId="7BC0CB52"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sidRPr="002815CE">
        <w:rPr>
          <w:rFonts w:cs="Arial"/>
          <w:i/>
          <w:sz w:val="18"/>
          <w:szCs w:val="18"/>
        </w:rPr>
        <w:t>Wooldridge v</w:t>
      </w:r>
      <w:r>
        <w:rPr>
          <w:rFonts w:cs="Arial"/>
          <w:i/>
          <w:sz w:val="18"/>
          <w:szCs w:val="18"/>
        </w:rPr>
        <w:t>.</w:t>
      </w:r>
      <w:r w:rsidRPr="002815CE">
        <w:rPr>
          <w:rFonts w:cs="Arial"/>
          <w:i/>
          <w:sz w:val="18"/>
          <w:szCs w:val="18"/>
        </w:rPr>
        <w:t xml:space="preserve"> Sumner</w:t>
      </w:r>
      <w:r w:rsidRPr="002815CE">
        <w:rPr>
          <w:rFonts w:cs="Arial"/>
          <w:sz w:val="18"/>
          <w:szCs w:val="18"/>
        </w:rPr>
        <w:t xml:space="preserve"> [1963] 2 QB 43.</w:t>
      </w:r>
    </w:p>
  </w:footnote>
  <w:footnote w:id="41">
    <w:p w14:paraId="09D98C25" w14:textId="29DA1332"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proofErr w:type="spellStart"/>
      <w:r w:rsidRPr="002815CE">
        <w:rPr>
          <w:rFonts w:cs="Arial"/>
          <w:i/>
          <w:sz w:val="18"/>
          <w:szCs w:val="18"/>
        </w:rPr>
        <w:t>Smoldon</w:t>
      </w:r>
      <w:proofErr w:type="spellEnd"/>
      <w:r w:rsidRPr="002815CE">
        <w:rPr>
          <w:rFonts w:cs="Arial"/>
          <w:i/>
          <w:sz w:val="18"/>
          <w:szCs w:val="18"/>
        </w:rPr>
        <w:t xml:space="preserve"> v</w:t>
      </w:r>
      <w:r>
        <w:rPr>
          <w:rFonts w:cs="Arial"/>
          <w:i/>
          <w:sz w:val="18"/>
          <w:szCs w:val="18"/>
        </w:rPr>
        <w:t>.</w:t>
      </w:r>
      <w:r w:rsidRPr="002815CE">
        <w:rPr>
          <w:rFonts w:cs="Arial"/>
          <w:i/>
          <w:sz w:val="18"/>
          <w:szCs w:val="18"/>
        </w:rPr>
        <w:t xml:space="preserve"> Whitworth and Nolan </w:t>
      </w:r>
      <w:r w:rsidRPr="002815CE">
        <w:rPr>
          <w:rFonts w:cs="Arial"/>
          <w:sz w:val="18"/>
          <w:szCs w:val="18"/>
        </w:rPr>
        <w:t>[1997] ELR 249.</w:t>
      </w:r>
    </w:p>
  </w:footnote>
  <w:footnote w:id="42">
    <w:p w14:paraId="79E22F38" w14:textId="2E1F1BC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sidRPr="002815CE">
        <w:rPr>
          <w:rFonts w:cs="Arial"/>
          <w:i/>
          <w:sz w:val="18"/>
          <w:szCs w:val="18"/>
        </w:rPr>
        <w:t>Watson v</w:t>
      </w:r>
      <w:r>
        <w:rPr>
          <w:rFonts w:cs="Arial"/>
          <w:i/>
          <w:sz w:val="18"/>
          <w:szCs w:val="18"/>
        </w:rPr>
        <w:t>.</w:t>
      </w:r>
      <w:r w:rsidRPr="002815CE">
        <w:rPr>
          <w:rFonts w:cs="Arial"/>
          <w:i/>
          <w:sz w:val="18"/>
          <w:szCs w:val="18"/>
        </w:rPr>
        <w:t xml:space="preserve"> BBBC</w:t>
      </w:r>
      <w:r w:rsidRPr="002815CE">
        <w:rPr>
          <w:rFonts w:cs="Arial"/>
          <w:sz w:val="18"/>
          <w:szCs w:val="18"/>
        </w:rPr>
        <w:t xml:space="preserve"> [2001] QB 1134.</w:t>
      </w:r>
    </w:p>
  </w:footnote>
  <w:footnote w:id="43">
    <w:p w14:paraId="753A77FE" w14:textId="7A79D7D1"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proofErr w:type="spellStart"/>
      <w:r w:rsidRPr="002815CE">
        <w:rPr>
          <w:rFonts w:cs="Arial"/>
          <w:i/>
          <w:sz w:val="18"/>
          <w:szCs w:val="18"/>
        </w:rPr>
        <w:t>Wattleworth</w:t>
      </w:r>
      <w:proofErr w:type="spellEnd"/>
      <w:r w:rsidRPr="002815CE">
        <w:rPr>
          <w:rFonts w:cs="Arial"/>
          <w:i/>
          <w:sz w:val="18"/>
          <w:szCs w:val="18"/>
        </w:rPr>
        <w:t xml:space="preserve"> v</w:t>
      </w:r>
      <w:r>
        <w:rPr>
          <w:rFonts w:cs="Arial"/>
          <w:i/>
          <w:sz w:val="18"/>
          <w:szCs w:val="18"/>
        </w:rPr>
        <w:t>.</w:t>
      </w:r>
      <w:r w:rsidRPr="002815CE">
        <w:rPr>
          <w:rFonts w:cs="Arial"/>
          <w:i/>
          <w:sz w:val="18"/>
          <w:szCs w:val="18"/>
        </w:rPr>
        <w:t xml:space="preserve"> </w:t>
      </w:r>
      <w:proofErr w:type="spellStart"/>
      <w:r w:rsidRPr="002815CE">
        <w:rPr>
          <w:rFonts w:cs="Arial"/>
          <w:i/>
          <w:sz w:val="18"/>
          <w:szCs w:val="18"/>
        </w:rPr>
        <w:t>Goodwood</w:t>
      </w:r>
      <w:proofErr w:type="spellEnd"/>
      <w:r w:rsidRPr="002815CE">
        <w:rPr>
          <w:rFonts w:cs="Arial"/>
          <w:i/>
          <w:sz w:val="18"/>
          <w:szCs w:val="18"/>
        </w:rPr>
        <w:t xml:space="preserve"> Racing Company Ltd and Royal Automobile Club Motor Sports Association Ltd and Federation Internationale de </w:t>
      </w:r>
      <w:proofErr w:type="spellStart"/>
      <w:r w:rsidRPr="002815CE">
        <w:rPr>
          <w:rFonts w:cs="Arial"/>
          <w:i/>
          <w:sz w:val="18"/>
          <w:szCs w:val="18"/>
        </w:rPr>
        <w:t>l’Automobile</w:t>
      </w:r>
      <w:proofErr w:type="spellEnd"/>
      <w:r w:rsidRPr="002815CE">
        <w:rPr>
          <w:rFonts w:cs="Arial"/>
          <w:sz w:val="18"/>
          <w:szCs w:val="18"/>
        </w:rPr>
        <w:t xml:space="preserve"> [2004] EWHC 140.</w:t>
      </w:r>
    </w:p>
  </w:footnote>
  <w:footnote w:id="44">
    <w:p w14:paraId="5F1A46D4" w14:textId="22FFE2AE" w:rsidR="008F063A" w:rsidRPr="002B15FE" w:rsidRDefault="008F063A" w:rsidP="002815CE">
      <w:pPr>
        <w:pStyle w:val="FootnoteText"/>
        <w:spacing w:before="40" w:after="40"/>
        <w:rPr>
          <w:rFonts w:cs="Arial"/>
          <w:sz w:val="18"/>
          <w:szCs w:val="18"/>
        </w:rPr>
      </w:pPr>
      <w:r w:rsidRPr="002B15FE">
        <w:rPr>
          <w:rStyle w:val="FootnoteReference"/>
          <w:rFonts w:cs="Arial"/>
          <w:sz w:val="18"/>
          <w:szCs w:val="18"/>
        </w:rPr>
        <w:footnoteRef/>
      </w:r>
      <w:r w:rsidRPr="002B15FE">
        <w:rPr>
          <w:rFonts w:cs="Arial"/>
          <w:sz w:val="18"/>
          <w:szCs w:val="18"/>
        </w:rPr>
        <w:t xml:space="preserve"> UCI (n5) and British Cycling (n9). It should be noted here that it has not been possible to establish the precise British Cycling/UCI regulations that were in place in 2006. Further, despite this author’s request, it has not been possible to secure any i</w:t>
      </w:r>
      <w:r>
        <w:rPr>
          <w:rFonts w:cs="Arial"/>
          <w:sz w:val="18"/>
          <w:szCs w:val="18"/>
        </w:rPr>
        <w:t xml:space="preserve">nformation from the organisers </w:t>
      </w:r>
      <w:r w:rsidRPr="002B15FE">
        <w:rPr>
          <w:rFonts w:cs="Arial"/>
          <w:sz w:val="18"/>
          <w:szCs w:val="18"/>
        </w:rPr>
        <w:t>in relation to pre-event planning for the 2006 Tour. Nonetheless it seems reasonable to assume that the regulatory framework in place at the time was very similar in content and scope to that which currently exists. As such, the current British Cycling/UCI regulations and guidance are considered valid for the purposes of this analysis.</w:t>
      </w:r>
    </w:p>
  </w:footnote>
  <w:footnote w:id="45">
    <w:p w14:paraId="37E4FD6A" w14:textId="4D722AE3" w:rsidR="008F063A" w:rsidRPr="00D209B7" w:rsidRDefault="008F063A">
      <w:pPr>
        <w:pStyle w:val="FootnoteText"/>
        <w:rPr>
          <w:sz w:val="18"/>
          <w:szCs w:val="18"/>
        </w:rPr>
      </w:pPr>
      <w:r w:rsidRPr="00D209B7">
        <w:rPr>
          <w:rStyle w:val="FootnoteReference"/>
          <w:sz w:val="18"/>
          <w:szCs w:val="18"/>
        </w:rPr>
        <w:footnoteRef/>
      </w:r>
      <w:r w:rsidRPr="00D209B7">
        <w:rPr>
          <w:sz w:val="18"/>
          <w:szCs w:val="18"/>
        </w:rPr>
        <w:t xml:space="preserve"> British Cycling (n9)</w:t>
      </w:r>
    </w:p>
  </w:footnote>
  <w:footnote w:id="46">
    <w:p w14:paraId="0E1C2117" w14:textId="79F85980"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Ibid. s 9.</w:t>
      </w:r>
    </w:p>
  </w:footnote>
  <w:footnote w:id="47">
    <w:p w14:paraId="682E1C4F" w14:textId="284B0500"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British Cycling, ‘Event Notification and Risk Assessment – Road and Circuit’ </w:t>
      </w:r>
      <w:r>
        <w:rPr>
          <w:rFonts w:cs="Arial"/>
          <w:sz w:val="18"/>
          <w:szCs w:val="18"/>
        </w:rPr>
        <w:t>[</w:t>
      </w:r>
      <w:hyperlink r:id="rId13" w:anchor="ui-tabs-4" w:history="1">
        <w:r w:rsidRPr="00D209B7">
          <w:rPr>
            <w:rStyle w:val="Hyperlink"/>
            <w:rFonts w:cs="Arial"/>
            <w:sz w:val="18"/>
            <w:szCs w:val="18"/>
          </w:rPr>
          <w:t>www.britishcycling.org.uk/roadeventorganisersupport#ui-tabs-4</w:t>
        </w:r>
      </w:hyperlink>
      <w:r>
        <w:rPr>
          <w:rFonts w:cs="Arial"/>
          <w:sz w:val="18"/>
          <w:szCs w:val="18"/>
        </w:rPr>
        <w:t>]</w:t>
      </w:r>
    </w:p>
  </w:footnote>
  <w:footnote w:id="48">
    <w:p w14:paraId="4C01024D" w14:textId="69FD2A90"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ibid.</w:t>
      </w:r>
    </w:p>
  </w:footnote>
  <w:footnote w:id="49">
    <w:p w14:paraId="5DC22A9F" w14:textId="0CF7C892" w:rsidR="008F063A" w:rsidRPr="00D209B7" w:rsidRDefault="008F063A" w:rsidP="002815CE">
      <w:pPr>
        <w:pStyle w:val="FootnoteText"/>
        <w:spacing w:before="40" w:after="40"/>
        <w:rPr>
          <w:sz w:val="18"/>
          <w:szCs w:val="18"/>
        </w:rPr>
      </w:pPr>
      <w:r w:rsidRPr="00D209B7">
        <w:rPr>
          <w:rStyle w:val="FootnoteReference"/>
          <w:rFonts w:cs="Arial"/>
          <w:sz w:val="18"/>
          <w:szCs w:val="18"/>
        </w:rPr>
        <w:footnoteRef/>
      </w:r>
      <w:r w:rsidRPr="00D209B7">
        <w:rPr>
          <w:rFonts w:cs="Arial"/>
          <w:sz w:val="18"/>
          <w:szCs w:val="18"/>
        </w:rPr>
        <w:t xml:space="preserve"> ibid.</w:t>
      </w:r>
    </w:p>
  </w:footnote>
  <w:footnote w:id="50">
    <w:p w14:paraId="7CEA101E" w14:textId="77777777"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British Cycling (n9), s 9.</w:t>
      </w:r>
    </w:p>
  </w:footnote>
  <w:footnote w:id="51">
    <w:p w14:paraId="3A79407E" w14:textId="6E35819D"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ibid.</w:t>
      </w:r>
    </w:p>
  </w:footnote>
  <w:footnote w:id="52">
    <w:p w14:paraId="58ABE356" w14:textId="28AD4077"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ibid.</w:t>
      </w:r>
    </w:p>
  </w:footnote>
  <w:footnote w:id="53">
    <w:p w14:paraId="7CA958B6" w14:textId="3F5323FB" w:rsidR="008F063A" w:rsidRPr="002815CE" w:rsidRDefault="008F063A" w:rsidP="00A66E88">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ibid.</w:t>
      </w:r>
    </w:p>
  </w:footnote>
  <w:footnote w:id="54">
    <w:p w14:paraId="27A4FF92" w14:textId="4B568E58"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‘UCI Rules and Regulations’</w:t>
      </w:r>
      <w:r>
        <w:rPr>
          <w:rFonts w:cs="Arial"/>
          <w:sz w:val="18"/>
          <w:szCs w:val="18"/>
        </w:rPr>
        <w:t>:</w:t>
      </w:r>
      <w:r w:rsidRPr="00D209B7">
        <w:rPr>
          <w:rFonts w:cs="Arial"/>
          <w:sz w:val="18"/>
          <w:szCs w:val="18"/>
        </w:rPr>
        <w:t xml:space="preserve"> </w:t>
      </w:r>
      <w:r>
        <w:rPr>
          <w:rFonts w:cs="Arial"/>
          <w:sz w:val="18"/>
          <w:szCs w:val="18"/>
        </w:rPr>
        <w:t>[</w:t>
      </w:r>
      <w:hyperlink r:id="rId14" w:history="1">
        <w:r w:rsidRPr="00D209B7">
          <w:rPr>
            <w:rStyle w:val="Hyperlink"/>
            <w:rFonts w:cs="Arial"/>
            <w:sz w:val="18"/>
            <w:szCs w:val="18"/>
          </w:rPr>
          <w:t>www.uci.ch/inside-uci/rules-and-regulations/regulations/</w:t>
        </w:r>
      </w:hyperlink>
      <w:r>
        <w:rPr>
          <w:rStyle w:val="Hyperlink"/>
          <w:rFonts w:cs="Arial"/>
          <w:color w:val="auto"/>
          <w:sz w:val="18"/>
          <w:szCs w:val="18"/>
          <w:u w:val="none"/>
        </w:rPr>
        <w:t>]</w:t>
      </w:r>
    </w:p>
  </w:footnote>
  <w:footnote w:id="55">
    <w:p w14:paraId="7FED4BF7" w14:textId="77777777"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UCI (n5).</w:t>
      </w:r>
    </w:p>
  </w:footnote>
  <w:footnote w:id="56">
    <w:p w14:paraId="4D885152" w14:textId="77777777" w:rsidR="008F063A" w:rsidRPr="00D209B7"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UCI (n5), </w:t>
      </w:r>
      <w:proofErr w:type="spellStart"/>
      <w:r w:rsidRPr="00D209B7">
        <w:rPr>
          <w:rFonts w:cs="Arial"/>
          <w:sz w:val="18"/>
          <w:szCs w:val="18"/>
        </w:rPr>
        <w:t>Ch</w:t>
      </w:r>
      <w:proofErr w:type="spellEnd"/>
      <w:r w:rsidRPr="00D209B7">
        <w:rPr>
          <w:rFonts w:cs="Arial"/>
          <w:sz w:val="18"/>
          <w:szCs w:val="18"/>
        </w:rPr>
        <w:t xml:space="preserve"> 5.</w:t>
      </w:r>
    </w:p>
  </w:footnote>
  <w:footnote w:id="57">
    <w:p w14:paraId="01A483BF" w14:textId="14B5DD50" w:rsidR="008F063A" w:rsidRPr="00D209B7" w:rsidRDefault="008F063A" w:rsidP="002815CE">
      <w:pPr>
        <w:pStyle w:val="FootnoteText"/>
        <w:spacing w:before="40" w:after="40"/>
        <w:rPr>
          <w:sz w:val="18"/>
          <w:szCs w:val="18"/>
        </w:rPr>
      </w:pPr>
      <w:r w:rsidRPr="00D209B7">
        <w:rPr>
          <w:rStyle w:val="FootnoteReference"/>
          <w:rFonts w:cs="Arial"/>
          <w:sz w:val="18"/>
          <w:szCs w:val="18"/>
        </w:rPr>
        <w:footnoteRef/>
      </w:r>
      <w:r w:rsidRPr="00D209B7">
        <w:rPr>
          <w:rFonts w:cs="Arial"/>
          <w:sz w:val="18"/>
          <w:szCs w:val="18"/>
        </w:rPr>
        <w:t xml:space="preserve"> ibid.</w:t>
      </w:r>
    </w:p>
  </w:footnote>
  <w:footnote w:id="58">
    <w:p w14:paraId="1F5ED868" w14:textId="77777777" w:rsidR="008F063A" w:rsidRPr="00D209B7" w:rsidRDefault="008F063A" w:rsidP="002815CE">
      <w:pPr>
        <w:autoSpaceDE w:val="0"/>
        <w:autoSpaceDN w:val="0"/>
        <w:adjustRightInd w:val="0"/>
        <w:spacing w:before="40" w:after="40" w:line="240" w:lineRule="auto"/>
        <w:rPr>
          <w:rFonts w:cs="Arial"/>
          <w:sz w:val="18"/>
          <w:szCs w:val="18"/>
        </w:rPr>
      </w:pPr>
      <w:r w:rsidRPr="00D209B7">
        <w:rPr>
          <w:rStyle w:val="FootnoteReference"/>
          <w:rFonts w:cs="Arial"/>
          <w:sz w:val="18"/>
          <w:szCs w:val="18"/>
        </w:rPr>
        <w:footnoteRef/>
      </w:r>
      <w:r w:rsidRPr="00D209B7">
        <w:rPr>
          <w:rFonts w:cs="Arial"/>
          <w:sz w:val="18"/>
          <w:szCs w:val="18"/>
        </w:rPr>
        <w:t xml:space="preserve"> UCI (n5), </w:t>
      </w:r>
      <w:proofErr w:type="spellStart"/>
      <w:r w:rsidRPr="00D209B7">
        <w:rPr>
          <w:rFonts w:cs="Arial"/>
          <w:sz w:val="18"/>
          <w:szCs w:val="18"/>
        </w:rPr>
        <w:t>Ch</w:t>
      </w:r>
      <w:proofErr w:type="spellEnd"/>
      <w:r w:rsidRPr="00D209B7">
        <w:rPr>
          <w:rFonts w:cs="Arial"/>
          <w:sz w:val="18"/>
          <w:szCs w:val="18"/>
        </w:rPr>
        <w:t xml:space="preserve"> 2.</w:t>
      </w:r>
    </w:p>
  </w:footnote>
  <w:footnote w:id="59">
    <w:p w14:paraId="14A0D318" w14:textId="77777777" w:rsidR="008F063A" w:rsidRPr="002815CE" w:rsidRDefault="008F063A" w:rsidP="002815CE">
      <w:pPr>
        <w:pStyle w:val="FootnoteText"/>
        <w:spacing w:before="40" w:after="40"/>
        <w:rPr>
          <w:rFonts w:cs="Arial"/>
          <w:sz w:val="18"/>
          <w:szCs w:val="18"/>
        </w:rPr>
      </w:pPr>
      <w:r w:rsidRPr="00D209B7">
        <w:rPr>
          <w:rStyle w:val="FootnoteReference"/>
          <w:rFonts w:cs="Arial"/>
          <w:sz w:val="18"/>
          <w:szCs w:val="18"/>
        </w:rPr>
        <w:footnoteRef/>
      </w:r>
      <w:r w:rsidRPr="00D209B7">
        <w:rPr>
          <w:rFonts w:cs="Arial"/>
          <w:sz w:val="18"/>
          <w:szCs w:val="18"/>
        </w:rPr>
        <w:t xml:space="preserve"> UCI (n5). On this precise point it is interesting to note that the UCI Guide states: “The UCI can in no event be held liable for problems with the course, any accidents that may occur or cancellation of the event. The UCI’s control of the event through an International </w:t>
      </w:r>
      <w:proofErr w:type="spellStart"/>
      <w:r w:rsidRPr="00D209B7">
        <w:rPr>
          <w:rFonts w:cs="Arial"/>
          <w:sz w:val="18"/>
          <w:szCs w:val="18"/>
        </w:rPr>
        <w:t>Commissaire</w:t>
      </w:r>
      <w:proofErr w:type="spellEnd"/>
      <w:r w:rsidRPr="00D209B7">
        <w:rPr>
          <w:rFonts w:cs="Arial"/>
          <w:sz w:val="18"/>
          <w:szCs w:val="18"/>
        </w:rPr>
        <w:t xml:space="preserve"> only relates to sporting matters. The organiser is solely liable for the quality and safety of the organisation and all installations.” (</w:t>
      </w:r>
      <w:proofErr w:type="spellStart"/>
      <w:r w:rsidRPr="00D209B7">
        <w:rPr>
          <w:rFonts w:cs="Arial"/>
          <w:sz w:val="18"/>
          <w:szCs w:val="18"/>
        </w:rPr>
        <w:t>Ch</w:t>
      </w:r>
      <w:proofErr w:type="spellEnd"/>
      <w:r w:rsidRPr="00D209B7">
        <w:rPr>
          <w:rFonts w:cs="Arial"/>
          <w:sz w:val="18"/>
          <w:szCs w:val="18"/>
        </w:rPr>
        <w:t xml:space="preserve"> 1, Section C). In light of both </w:t>
      </w:r>
      <w:r w:rsidRPr="00D209B7">
        <w:rPr>
          <w:rFonts w:cs="Arial"/>
          <w:i/>
          <w:sz w:val="18"/>
          <w:szCs w:val="18"/>
        </w:rPr>
        <w:t>Watson</w:t>
      </w:r>
      <w:r w:rsidRPr="00D209B7">
        <w:rPr>
          <w:rFonts w:cs="Arial"/>
          <w:sz w:val="18"/>
          <w:szCs w:val="18"/>
        </w:rPr>
        <w:t xml:space="preserve"> and </w:t>
      </w:r>
      <w:proofErr w:type="spellStart"/>
      <w:r w:rsidRPr="00D209B7">
        <w:rPr>
          <w:rFonts w:cs="Arial"/>
          <w:i/>
          <w:sz w:val="18"/>
          <w:szCs w:val="18"/>
        </w:rPr>
        <w:t>Wattleworth</w:t>
      </w:r>
      <w:proofErr w:type="spellEnd"/>
      <w:r w:rsidRPr="00D209B7">
        <w:rPr>
          <w:rFonts w:cs="Arial"/>
          <w:sz w:val="18"/>
          <w:szCs w:val="18"/>
        </w:rPr>
        <w:t xml:space="preserve"> it is debatable whether this attempt to exclude liability could be relied upon by the UCI were a court to establish a duty of care in relation to its role in safety regulation.</w:t>
      </w:r>
    </w:p>
  </w:footnote>
  <w:footnote w:id="60">
    <w:p w14:paraId="78CEFF5E" w14:textId="568D7A26"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‘T</w:t>
      </w:r>
      <w:r>
        <w:rPr>
          <w:rFonts w:cs="Arial"/>
          <w:sz w:val="18"/>
          <w:szCs w:val="18"/>
        </w:rPr>
        <w:t>our of Britain: History: 2006’ [</w:t>
      </w:r>
      <w:hyperlink r:id="rId15" w:anchor=".VB1fX8tOWUk" w:history="1">
        <w:r w:rsidRPr="002815CE">
          <w:rPr>
            <w:rStyle w:val="Hyperlink"/>
            <w:rFonts w:cs="Arial"/>
            <w:sz w:val="18"/>
            <w:szCs w:val="18"/>
          </w:rPr>
          <w:t>www.tourofbritain.co.uk/history/2006.php#.VB1fX8tOWUk</w:t>
        </w:r>
      </w:hyperlink>
      <w:r>
        <w:rPr>
          <w:rStyle w:val="Hyperlink"/>
          <w:rFonts w:cs="Arial"/>
          <w:color w:val="auto"/>
          <w:sz w:val="18"/>
          <w:szCs w:val="18"/>
          <w:u w:val="none"/>
        </w:rPr>
        <w:t>]</w:t>
      </w:r>
      <w:r w:rsidRPr="002815CE">
        <w:rPr>
          <w:rFonts w:cs="Arial"/>
          <w:sz w:val="18"/>
          <w:szCs w:val="18"/>
        </w:rPr>
        <w:t xml:space="preserve"> </w:t>
      </w:r>
    </w:p>
  </w:footnote>
  <w:footnote w:id="61">
    <w:p w14:paraId="3827B1D2" w14:textId="55839A6D"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i</w:t>
      </w:r>
      <w:r w:rsidRPr="002815CE">
        <w:rPr>
          <w:rFonts w:cs="Arial"/>
          <w:sz w:val="18"/>
          <w:szCs w:val="18"/>
        </w:rPr>
        <w:t>bid.</w:t>
      </w:r>
    </w:p>
  </w:footnote>
  <w:footnote w:id="62">
    <w:p w14:paraId="65DDA07A" w14:textId="1760605C"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 xml:space="preserve">Author uncited, </w:t>
      </w:r>
      <w:r w:rsidRPr="002815CE">
        <w:rPr>
          <w:rFonts w:cs="Arial"/>
          <w:sz w:val="18"/>
          <w:szCs w:val="18"/>
        </w:rPr>
        <w:t xml:space="preserve">‘London to host start of 2007 Tour’ </w:t>
      </w:r>
      <w:r w:rsidRPr="002815CE">
        <w:rPr>
          <w:rFonts w:cs="Arial"/>
          <w:i/>
          <w:sz w:val="18"/>
          <w:szCs w:val="18"/>
        </w:rPr>
        <w:t>BBC Sport</w:t>
      </w:r>
      <w:r w:rsidRPr="002815CE">
        <w:rPr>
          <w:rFonts w:cs="Arial"/>
          <w:sz w:val="18"/>
          <w:szCs w:val="18"/>
        </w:rPr>
        <w:t xml:space="preserve"> (24 January 2006) </w:t>
      </w:r>
      <w:r>
        <w:rPr>
          <w:rFonts w:cs="Arial"/>
          <w:sz w:val="18"/>
          <w:szCs w:val="18"/>
        </w:rPr>
        <w:t xml:space="preserve">(online) </w:t>
      </w:r>
      <w:hyperlink r:id="rId16" w:history="1">
        <w:r w:rsidRPr="002815CE">
          <w:rPr>
            <w:rStyle w:val="Hyperlink"/>
            <w:rFonts w:cs="Arial"/>
            <w:sz w:val="18"/>
            <w:szCs w:val="18"/>
          </w:rPr>
          <w:t>http://news.bbc.co.uk/sport1/hi/other_sports/cycling/4643032.stm</w:t>
        </w:r>
      </w:hyperlink>
      <w:r>
        <w:rPr>
          <w:rFonts w:cs="Arial"/>
          <w:sz w:val="18"/>
          <w:szCs w:val="18"/>
        </w:rPr>
        <w:t>]</w:t>
      </w:r>
    </w:p>
  </w:footnote>
  <w:footnote w:id="63">
    <w:p w14:paraId="02624456" w14:textId="3CFAFBD1"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Hugh Gladstone, ‘Britain given crash course in Tour safety’ </w:t>
      </w:r>
      <w:r w:rsidRPr="002815CE">
        <w:rPr>
          <w:rFonts w:cs="Arial"/>
          <w:i/>
          <w:sz w:val="18"/>
          <w:szCs w:val="18"/>
        </w:rPr>
        <w:t>The Telegraph</w:t>
      </w:r>
      <w:r>
        <w:rPr>
          <w:rFonts w:cs="Arial"/>
          <w:sz w:val="18"/>
          <w:szCs w:val="18"/>
        </w:rPr>
        <w:t xml:space="preserve"> (London, 5 September 2006) (online) [</w:t>
      </w:r>
      <w:hyperlink r:id="rId17" w:history="1">
        <w:r w:rsidRPr="002815CE">
          <w:rPr>
            <w:rStyle w:val="Hyperlink"/>
            <w:rFonts w:cs="Arial"/>
            <w:sz w:val="18"/>
            <w:szCs w:val="18"/>
          </w:rPr>
          <w:t>www.telegraph.co.uk/sport/othersports/cycling/2345050/Britain-given-crash-course-in-Tour-safety.html</w:t>
        </w:r>
      </w:hyperlink>
      <w:r>
        <w:rPr>
          <w:rFonts w:cs="Arial"/>
          <w:sz w:val="18"/>
          <w:szCs w:val="18"/>
        </w:rPr>
        <w:t>]</w:t>
      </w:r>
    </w:p>
  </w:footnote>
  <w:footnote w:id="64">
    <w:p w14:paraId="0EE44CD2" w14:textId="67BF645A"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‘Tour of Britain Stage 5: </w:t>
      </w:r>
      <w:proofErr w:type="spellStart"/>
      <w:r w:rsidRPr="002815CE">
        <w:rPr>
          <w:rFonts w:cs="Arial"/>
          <w:sz w:val="18"/>
          <w:szCs w:val="18"/>
        </w:rPr>
        <w:t>Chicci</w:t>
      </w:r>
      <w:proofErr w:type="spellEnd"/>
      <w:r w:rsidRPr="002815CE">
        <w:rPr>
          <w:rFonts w:cs="Arial"/>
          <w:sz w:val="18"/>
          <w:szCs w:val="18"/>
        </w:rPr>
        <w:t xml:space="preserve"> wins in Canterbury after </w:t>
      </w:r>
      <w:r>
        <w:rPr>
          <w:rFonts w:cs="Arial"/>
          <w:sz w:val="18"/>
          <w:szCs w:val="18"/>
        </w:rPr>
        <w:t xml:space="preserve">rider protest divides bunch’ </w:t>
      </w:r>
      <w:r w:rsidRPr="009F2921">
        <w:rPr>
          <w:rFonts w:cs="Arial"/>
          <w:i/>
          <w:sz w:val="18"/>
          <w:szCs w:val="18"/>
        </w:rPr>
        <w:t>Cycling Weekly</w:t>
      </w:r>
      <w:r>
        <w:rPr>
          <w:rFonts w:cs="Arial"/>
          <w:sz w:val="18"/>
          <w:szCs w:val="18"/>
        </w:rPr>
        <w:t xml:space="preserve"> (2 September 2006) (online) [</w:t>
      </w:r>
      <w:hyperlink r:id="rId18" w:history="1">
        <w:r w:rsidRPr="002815CE">
          <w:rPr>
            <w:rStyle w:val="Hyperlink"/>
            <w:rFonts w:cs="Arial"/>
            <w:sz w:val="18"/>
            <w:szCs w:val="18"/>
          </w:rPr>
          <w:t>www.cyclingweekly.co.uk/news/latest-news/tour-of-britain-stage-5-chicchi-wins-in-canterbury-after-rider-protest-divides-bunch-73940</w:t>
        </w:r>
      </w:hyperlink>
      <w:r>
        <w:rPr>
          <w:rStyle w:val="Hyperlink"/>
          <w:rFonts w:cs="Arial"/>
          <w:sz w:val="18"/>
          <w:szCs w:val="18"/>
        </w:rPr>
        <w:t>]</w:t>
      </w:r>
    </w:p>
  </w:footnote>
  <w:footnote w:id="65">
    <w:p w14:paraId="6763C2E5"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Fotheringham (n2).</w:t>
      </w:r>
    </w:p>
  </w:footnote>
  <w:footnote w:id="66">
    <w:p w14:paraId="7938BB48" w14:textId="5BCAA3E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Owen Rogers, ‘Riding with the outriders: policing the Tour of Britain’ </w:t>
      </w:r>
      <w:r w:rsidRPr="002815CE">
        <w:rPr>
          <w:rFonts w:cs="Arial"/>
          <w:i/>
          <w:sz w:val="18"/>
          <w:szCs w:val="18"/>
        </w:rPr>
        <w:t>Road.cc</w:t>
      </w:r>
      <w:r w:rsidRPr="002815CE">
        <w:rPr>
          <w:rFonts w:cs="Arial"/>
          <w:sz w:val="18"/>
          <w:szCs w:val="18"/>
        </w:rPr>
        <w:t xml:space="preserve"> (27 September 2012) </w:t>
      </w:r>
      <w:r>
        <w:rPr>
          <w:rFonts w:cs="Arial"/>
          <w:sz w:val="18"/>
          <w:szCs w:val="18"/>
        </w:rPr>
        <w:t>(online) [</w:t>
      </w:r>
      <w:hyperlink r:id="rId19" w:history="1">
        <w:r w:rsidRPr="002815CE">
          <w:rPr>
            <w:rStyle w:val="Hyperlink"/>
            <w:rFonts w:cs="Arial"/>
            <w:sz w:val="18"/>
            <w:szCs w:val="18"/>
          </w:rPr>
          <w:t>http://road.cc/content/feature/67388-riding-outriders-policing-tour-britain</w:t>
        </w:r>
      </w:hyperlink>
      <w:r>
        <w:rPr>
          <w:rFonts w:cs="Arial"/>
          <w:sz w:val="18"/>
          <w:szCs w:val="18"/>
        </w:rPr>
        <w:t>]</w:t>
      </w:r>
    </w:p>
  </w:footnote>
  <w:footnote w:id="67">
    <w:p w14:paraId="1075AF2C" w14:textId="638050D1"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i</w:t>
      </w:r>
      <w:r w:rsidRPr="002815CE">
        <w:rPr>
          <w:rFonts w:cs="Arial"/>
          <w:sz w:val="18"/>
          <w:szCs w:val="18"/>
        </w:rPr>
        <w:t>bid.</w:t>
      </w:r>
    </w:p>
  </w:footnote>
  <w:footnote w:id="68">
    <w:p w14:paraId="0DCDE1C3" w14:textId="4EBE48F2"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Estimation based on race route and geographical spread </w:t>
      </w:r>
      <w:r>
        <w:rPr>
          <w:rFonts w:cs="Arial"/>
          <w:sz w:val="18"/>
          <w:szCs w:val="18"/>
        </w:rPr>
        <w:t>of police constabularies. See: [</w:t>
      </w:r>
      <w:hyperlink r:id="rId20" w:history="1">
        <w:r w:rsidRPr="002815CE">
          <w:rPr>
            <w:rStyle w:val="Hyperlink"/>
            <w:rFonts w:cs="Arial"/>
            <w:sz w:val="18"/>
            <w:szCs w:val="18"/>
          </w:rPr>
          <w:t>www.justiceinspectorates.gov.uk/hmic/media/police-force-map.pdf</w:t>
        </w:r>
      </w:hyperlink>
      <w:r>
        <w:rPr>
          <w:rFonts w:cs="Arial"/>
          <w:sz w:val="18"/>
          <w:szCs w:val="18"/>
        </w:rPr>
        <w:t>]</w:t>
      </w:r>
    </w:p>
  </w:footnote>
  <w:footnote w:id="69">
    <w:p w14:paraId="2E5AA0DA"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Rogers (n64).</w:t>
      </w:r>
    </w:p>
  </w:footnote>
  <w:footnote w:id="70">
    <w:p w14:paraId="65D988B6" w14:textId="0D6D97CF"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This confusion appears to be supported by eyewitness accounts from those who attended </w:t>
      </w:r>
      <w:r>
        <w:rPr>
          <w:rFonts w:cs="Arial"/>
          <w:sz w:val="18"/>
          <w:szCs w:val="18"/>
        </w:rPr>
        <w:t xml:space="preserve">and marshalled </w:t>
      </w:r>
      <w:r w:rsidRPr="002815CE">
        <w:rPr>
          <w:rFonts w:cs="Arial"/>
          <w:sz w:val="18"/>
          <w:szCs w:val="18"/>
        </w:rPr>
        <w:t xml:space="preserve">Stages 5 and 6 of the Tour. See </w:t>
      </w:r>
      <w:r>
        <w:rPr>
          <w:rFonts w:cs="Arial"/>
          <w:sz w:val="18"/>
          <w:szCs w:val="18"/>
        </w:rPr>
        <w:t>for example the discussion at: [</w:t>
      </w:r>
      <w:hyperlink r:id="rId21" w:history="1">
        <w:r w:rsidRPr="002815CE">
          <w:rPr>
            <w:rStyle w:val="Hyperlink"/>
            <w:rFonts w:cs="Arial"/>
            <w:sz w:val="18"/>
            <w:szCs w:val="18"/>
          </w:rPr>
          <w:t>http://tritalk.co.uk/forums/viewtopic.php?p=322414&amp;sid=63fcca9cec8ce8fcf134e5ea433cca3b</w:t>
        </w:r>
      </w:hyperlink>
      <w:r>
        <w:rPr>
          <w:rFonts w:cs="Arial"/>
          <w:sz w:val="18"/>
          <w:szCs w:val="18"/>
        </w:rPr>
        <w:t>]</w:t>
      </w:r>
    </w:p>
  </w:footnote>
  <w:footnote w:id="71">
    <w:p w14:paraId="655E8CD3" w14:textId="77777777"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Rogers (n64).</w:t>
      </w:r>
    </w:p>
  </w:footnote>
  <w:footnote w:id="72">
    <w:p w14:paraId="774D6B44" w14:textId="4985C62C"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‘National Esco</w:t>
      </w:r>
      <w:r>
        <w:rPr>
          <w:rFonts w:cs="Arial"/>
          <w:sz w:val="18"/>
          <w:szCs w:val="18"/>
        </w:rPr>
        <w:t>rt Group: Motorcycle Marshals’ [</w:t>
      </w:r>
      <w:hyperlink r:id="rId22" w:history="1">
        <w:r w:rsidRPr="002815CE">
          <w:rPr>
            <w:rStyle w:val="Hyperlink"/>
            <w:rFonts w:cs="Arial"/>
            <w:sz w:val="18"/>
            <w:szCs w:val="18"/>
          </w:rPr>
          <w:t>www.britishcycling.org.uk/road/article/roadst-National-Escort-Group</w:t>
        </w:r>
      </w:hyperlink>
      <w:r>
        <w:rPr>
          <w:rFonts w:cs="Arial"/>
          <w:sz w:val="18"/>
          <w:szCs w:val="18"/>
        </w:rPr>
        <w:t>]</w:t>
      </w:r>
    </w:p>
  </w:footnote>
  <w:footnote w:id="73">
    <w:p w14:paraId="70191021" w14:textId="175A3FF3" w:rsidR="008F063A" w:rsidRPr="00C43070" w:rsidRDefault="008F063A" w:rsidP="002815CE">
      <w:pPr>
        <w:pStyle w:val="FootnoteText"/>
        <w:spacing w:before="40" w:after="40"/>
        <w:rPr>
          <w:sz w:val="18"/>
          <w:szCs w:val="18"/>
        </w:rPr>
      </w:pPr>
      <w:r w:rsidRPr="00C43070">
        <w:rPr>
          <w:rStyle w:val="FootnoteReference"/>
          <w:sz w:val="18"/>
          <w:szCs w:val="18"/>
        </w:rPr>
        <w:footnoteRef/>
      </w:r>
      <w:r w:rsidRPr="00C43070">
        <w:rPr>
          <w:sz w:val="18"/>
          <w:szCs w:val="18"/>
        </w:rPr>
        <w:t xml:space="preserve"> </w:t>
      </w:r>
      <w:r w:rsidRPr="00C43070">
        <w:rPr>
          <w:rFonts w:cs="Arial"/>
          <w:sz w:val="18"/>
          <w:szCs w:val="18"/>
        </w:rPr>
        <w:t>See for exampl</w:t>
      </w:r>
      <w:r>
        <w:rPr>
          <w:rFonts w:cs="Arial"/>
          <w:sz w:val="18"/>
          <w:szCs w:val="18"/>
        </w:rPr>
        <w:t>e: Road Traffic Act 1980, s 39;</w:t>
      </w:r>
      <w:r w:rsidRPr="00C43070">
        <w:rPr>
          <w:rFonts w:cs="Arial"/>
          <w:sz w:val="18"/>
          <w:szCs w:val="18"/>
        </w:rPr>
        <w:t xml:space="preserve"> </w:t>
      </w:r>
      <w:proofErr w:type="spellStart"/>
      <w:r w:rsidRPr="00C43070">
        <w:rPr>
          <w:rFonts w:cs="Arial"/>
          <w:i/>
          <w:sz w:val="18"/>
          <w:szCs w:val="18"/>
        </w:rPr>
        <w:t>Gorringe</w:t>
      </w:r>
      <w:proofErr w:type="spellEnd"/>
      <w:r w:rsidRPr="00C43070">
        <w:rPr>
          <w:rFonts w:cs="Arial"/>
          <w:i/>
          <w:sz w:val="18"/>
          <w:szCs w:val="18"/>
        </w:rPr>
        <w:t xml:space="preserve"> v</w:t>
      </w:r>
      <w:r>
        <w:rPr>
          <w:rFonts w:cs="Arial"/>
          <w:i/>
          <w:sz w:val="18"/>
          <w:szCs w:val="18"/>
        </w:rPr>
        <w:t>.</w:t>
      </w:r>
      <w:r w:rsidRPr="00C43070">
        <w:rPr>
          <w:rFonts w:cs="Arial"/>
          <w:i/>
          <w:sz w:val="18"/>
          <w:szCs w:val="18"/>
        </w:rPr>
        <w:t xml:space="preserve"> Calderdale MBC </w:t>
      </w:r>
      <w:r w:rsidRPr="00C43070">
        <w:rPr>
          <w:rFonts w:cs="Arial"/>
          <w:sz w:val="18"/>
          <w:szCs w:val="18"/>
        </w:rPr>
        <w:t>[2004] HL 15</w:t>
      </w:r>
      <w:r w:rsidRPr="00C43070">
        <w:rPr>
          <w:rFonts w:cs="Arial"/>
          <w:i/>
          <w:sz w:val="18"/>
          <w:szCs w:val="18"/>
        </w:rPr>
        <w:t xml:space="preserve">; </w:t>
      </w:r>
      <w:proofErr w:type="spellStart"/>
      <w:r w:rsidRPr="00C43070">
        <w:rPr>
          <w:rFonts w:cs="Arial"/>
          <w:i/>
          <w:sz w:val="18"/>
          <w:szCs w:val="18"/>
        </w:rPr>
        <w:t>Yetkin</w:t>
      </w:r>
      <w:proofErr w:type="spellEnd"/>
      <w:r w:rsidRPr="00C43070">
        <w:rPr>
          <w:rFonts w:cs="Arial"/>
          <w:i/>
          <w:sz w:val="18"/>
          <w:szCs w:val="18"/>
        </w:rPr>
        <w:t xml:space="preserve"> v</w:t>
      </w:r>
      <w:r>
        <w:rPr>
          <w:rFonts w:cs="Arial"/>
          <w:i/>
          <w:sz w:val="18"/>
          <w:szCs w:val="18"/>
        </w:rPr>
        <w:t>.</w:t>
      </w:r>
      <w:r w:rsidRPr="00C43070">
        <w:rPr>
          <w:rFonts w:cs="Arial"/>
          <w:i/>
          <w:sz w:val="18"/>
          <w:szCs w:val="18"/>
        </w:rPr>
        <w:t xml:space="preserve"> Newham LBC </w:t>
      </w:r>
      <w:r w:rsidRPr="00C43070">
        <w:rPr>
          <w:rFonts w:cs="Arial"/>
          <w:sz w:val="18"/>
          <w:szCs w:val="18"/>
        </w:rPr>
        <w:t xml:space="preserve">[2010] EWCA </w:t>
      </w:r>
      <w:proofErr w:type="spellStart"/>
      <w:r w:rsidRPr="00C43070">
        <w:rPr>
          <w:rFonts w:cs="Arial"/>
          <w:sz w:val="18"/>
          <w:szCs w:val="18"/>
        </w:rPr>
        <w:t>Civ</w:t>
      </w:r>
      <w:proofErr w:type="spellEnd"/>
      <w:r w:rsidRPr="00C43070">
        <w:rPr>
          <w:rFonts w:cs="Arial"/>
          <w:sz w:val="18"/>
          <w:szCs w:val="18"/>
        </w:rPr>
        <w:t xml:space="preserve"> 776; Julian </w:t>
      </w:r>
      <w:proofErr w:type="spellStart"/>
      <w:r w:rsidRPr="00C43070">
        <w:rPr>
          <w:rFonts w:cs="Arial"/>
          <w:sz w:val="18"/>
          <w:szCs w:val="18"/>
        </w:rPr>
        <w:t>Fullbrook</w:t>
      </w:r>
      <w:proofErr w:type="spellEnd"/>
      <w:r w:rsidRPr="00C43070">
        <w:rPr>
          <w:rFonts w:cs="Arial"/>
          <w:sz w:val="18"/>
          <w:szCs w:val="18"/>
        </w:rPr>
        <w:t>, ‘Case comment: Personal Injury – Liability – Duty of Care’ [2010] Journal of Personal Injury Law 4.</w:t>
      </w:r>
    </w:p>
  </w:footnote>
  <w:footnote w:id="74">
    <w:p w14:paraId="0C8CA8B8" w14:textId="7C540C37" w:rsidR="008F063A" w:rsidRPr="00C43070" w:rsidRDefault="008F063A" w:rsidP="002815CE">
      <w:pPr>
        <w:pStyle w:val="FootnoteText"/>
        <w:spacing w:before="40" w:after="40"/>
        <w:rPr>
          <w:rFonts w:cs="Arial"/>
          <w:sz w:val="18"/>
          <w:szCs w:val="18"/>
        </w:rPr>
      </w:pPr>
      <w:r w:rsidRPr="00C43070">
        <w:rPr>
          <w:rStyle w:val="FootnoteReference"/>
          <w:rFonts w:cs="Arial"/>
          <w:sz w:val="18"/>
          <w:szCs w:val="18"/>
        </w:rPr>
        <w:footnoteRef/>
      </w:r>
      <w:r w:rsidRPr="00C43070">
        <w:rPr>
          <w:rFonts w:cs="Arial"/>
          <w:i/>
          <w:sz w:val="18"/>
          <w:szCs w:val="18"/>
        </w:rPr>
        <w:t xml:space="preserve"> Andersen v</w:t>
      </w:r>
      <w:r>
        <w:rPr>
          <w:rFonts w:cs="Arial"/>
          <w:i/>
          <w:sz w:val="18"/>
          <w:szCs w:val="18"/>
        </w:rPr>
        <w:t>.</w:t>
      </w:r>
      <w:r w:rsidRPr="00C43070">
        <w:rPr>
          <w:rFonts w:cs="Arial"/>
          <w:i/>
          <w:sz w:val="18"/>
          <w:szCs w:val="18"/>
        </w:rPr>
        <w:t xml:space="preserve"> R</w:t>
      </w:r>
      <w:r w:rsidRPr="00C43070">
        <w:rPr>
          <w:rFonts w:cs="Arial"/>
          <w:sz w:val="18"/>
          <w:szCs w:val="18"/>
        </w:rPr>
        <w:t xml:space="preserve"> [2004] NZCA 238.</w:t>
      </w:r>
    </w:p>
  </w:footnote>
  <w:footnote w:id="75">
    <w:p w14:paraId="0B314F86" w14:textId="2F88C108" w:rsidR="008F063A" w:rsidRPr="00C43070" w:rsidRDefault="008F063A" w:rsidP="002815CE">
      <w:pPr>
        <w:pStyle w:val="FootnoteText"/>
        <w:spacing w:before="40" w:after="40"/>
        <w:rPr>
          <w:rFonts w:cs="Arial"/>
          <w:sz w:val="18"/>
          <w:szCs w:val="18"/>
        </w:rPr>
      </w:pPr>
      <w:r w:rsidRPr="00C43070">
        <w:rPr>
          <w:rStyle w:val="FootnoteReference"/>
          <w:rFonts w:cs="Arial"/>
          <w:sz w:val="18"/>
          <w:szCs w:val="18"/>
        </w:rPr>
        <w:footnoteRef/>
      </w:r>
      <w:r>
        <w:rPr>
          <w:rFonts w:cs="Arial"/>
          <w:sz w:val="18"/>
          <w:szCs w:val="18"/>
        </w:rPr>
        <w:t xml:space="preserve"> i</w:t>
      </w:r>
      <w:r w:rsidRPr="00C43070">
        <w:rPr>
          <w:rFonts w:cs="Arial"/>
          <w:sz w:val="18"/>
          <w:szCs w:val="18"/>
        </w:rPr>
        <w:t>bid. This duty is established unde</w:t>
      </w:r>
      <w:r>
        <w:rPr>
          <w:rFonts w:cs="Arial"/>
          <w:sz w:val="18"/>
          <w:szCs w:val="18"/>
        </w:rPr>
        <w:t>r s156 of the Crimes Act 1961: [</w:t>
      </w:r>
      <w:hyperlink r:id="rId23" w:history="1">
        <w:r w:rsidRPr="00C43070">
          <w:rPr>
            <w:rStyle w:val="Hyperlink"/>
            <w:rFonts w:cs="Arial"/>
            <w:sz w:val="18"/>
            <w:szCs w:val="18"/>
          </w:rPr>
          <w:t>www.legislation.govt.nz/act/public/1961/0043/latest/DLM327382.html</w:t>
        </w:r>
      </w:hyperlink>
      <w:r>
        <w:rPr>
          <w:rFonts w:cs="Arial"/>
          <w:sz w:val="18"/>
          <w:szCs w:val="18"/>
        </w:rPr>
        <w:t>]</w:t>
      </w:r>
    </w:p>
  </w:footnote>
  <w:footnote w:id="76">
    <w:p w14:paraId="7DC46F63" w14:textId="2C620C86" w:rsidR="008F063A" w:rsidRPr="00C43070" w:rsidRDefault="008F063A" w:rsidP="002815CE">
      <w:pPr>
        <w:pStyle w:val="FootnoteText"/>
        <w:spacing w:before="40" w:after="40"/>
        <w:rPr>
          <w:rFonts w:cs="Arial"/>
          <w:sz w:val="18"/>
          <w:szCs w:val="18"/>
        </w:rPr>
      </w:pPr>
      <w:r w:rsidRPr="00C43070">
        <w:rPr>
          <w:rStyle w:val="FootnoteReference"/>
          <w:rFonts w:cs="Arial"/>
          <w:sz w:val="18"/>
          <w:szCs w:val="18"/>
        </w:rPr>
        <w:footnoteRef/>
      </w:r>
      <w:r w:rsidRPr="00C43070">
        <w:rPr>
          <w:rFonts w:cs="Arial"/>
          <w:sz w:val="18"/>
          <w:szCs w:val="18"/>
        </w:rPr>
        <w:t xml:space="preserve"> </w:t>
      </w:r>
      <w:r w:rsidRPr="00C43070">
        <w:rPr>
          <w:rFonts w:cs="Arial"/>
          <w:i/>
          <w:sz w:val="18"/>
          <w:szCs w:val="18"/>
        </w:rPr>
        <w:t>Andersen v</w:t>
      </w:r>
      <w:r>
        <w:rPr>
          <w:rFonts w:cs="Arial"/>
          <w:i/>
          <w:sz w:val="18"/>
          <w:szCs w:val="18"/>
        </w:rPr>
        <w:t>.</w:t>
      </w:r>
      <w:r w:rsidRPr="00C43070">
        <w:rPr>
          <w:rFonts w:cs="Arial"/>
          <w:i/>
          <w:sz w:val="18"/>
          <w:szCs w:val="18"/>
        </w:rPr>
        <w:t xml:space="preserve"> R</w:t>
      </w:r>
      <w:r w:rsidRPr="00C43070">
        <w:rPr>
          <w:rFonts w:cs="Arial"/>
          <w:sz w:val="18"/>
          <w:szCs w:val="18"/>
        </w:rPr>
        <w:t>. [2004] NZCA 238 (New Zealand)</w:t>
      </w:r>
    </w:p>
  </w:footnote>
  <w:footnote w:id="77">
    <w:p w14:paraId="73F23381" w14:textId="4887487F" w:rsidR="008F063A" w:rsidRPr="00C43070" w:rsidRDefault="008F063A" w:rsidP="002815CE">
      <w:pPr>
        <w:pStyle w:val="FootnoteText"/>
        <w:spacing w:before="40" w:after="40"/>
        <w:rPr>
          <w:sz w:val="18"/>
          <w:szCs w:val="18"/>
        </w:rPr>
      </w:pPr>
      <w:r w:rsidRPr="00C43070">
        <w:rPr>
          <w:rStyle w:val="FootnoteReference"/>
          <w:sz w:val="18"/>
          <w:szCs w:val="18"/>
        </w:rPr>
        <w:footnoteRef/>
      </w:r>
      <w:r w:rsidRPr="00C43070">
        <w:rPr>
          <w:sz w:val="18"/>
          <w:szCs w:val="18"/>
        </w:rPr>
        <w:t xml:space="preserve"> </w:t>
      </w:r>
      <w:r w:rsidRPr="00C43070">
        <w:rPr>
          <w:rFonts w:cs="Arial"/>
          <w:bCs/>
          <w:i/>
          <w:kern w:val="36"/>
          <w:sz w:val="18"/>
          <w:szCs w:val="18"/>
        </w:rPr>
        <w:t>Uren v</w:t>
      </w:r>
      <w:r>
        <w:rPr>
          <w:rFonts w:cs="Arial"/>
          <w:bCs/>
          <w:i/>
          <w:kern w:val="36"/>
          <w:sz w:val="18"/>
          <w:szCs w:val="18"/>
        </w:rPr>
        <w:t>.</w:t>
      </w:r>
      <w:r w:rsidRPr="00C43070">
        <w:rPr>
          <w:rFonts w:cs="Arial"/>
          <w:bCs/>
          <w:i/>
          <w:kern w:val="36"/>
          <w:sz w:val="18"/>
          <w:szCs w:val="18"/>
        </w:rPr>
        <w:t xml:space="preserve"> Corporate Leisure (UK) Limited, Ministry of Defence [</w:t>
      </w:r>
      <w:r w:rsidRPr="00C43070">
        <w:rPr>
          <w:rFonts w:cs="Arial"/>
          <w:bCs/>
          <w:i/>
          <w:sz w:val="18"/>
          <w:szCs w:val="18"/>
        </w:rPr>
        <w:t>2013] EWHC 353 (QB)</w:t>
      </w:r>
    </w:p>
  </w:footnote>
  <w:footnote w:id="78">
    <w:p w14:paraId="2DAED686" w14:textId="419C22B9" w:rsidR="008F063A" w:rsidRPr="00C43070" w:rsidRDefault="008F063A" w:rsidP="002815CE">
      <w:pPr>
        <w:pStyle w:val="FootnoteText"/>
        <w:spacing w:before="40" w:after="40"/>
        <w:rPr>
          <w:sz w:val="18"/>
          <w:szCs w:val="18"/>
        </w:rPr>
      </w:pPr>
      <w:r w:rsidRPr="00C43070">
        <w:rPr>
          <w:rStyle w:val="FootnoteReference"/>
          <w:sz w:val="18"/>
          <w:szCs w:val="18"/>
        </w:rPr>
        <w:footnoteRef/>
      </w:r>
      <w:r w:rsidRPr="00C43070">
        <w:rPr>
          <w:sz w:val="18"/>
          <w:szCs w:val="18"/>
        </w:rPr>
        <w:t xml:space="preserve"> </w:t>
      </w:r>
      <w:r w:rsidRPr="00C43070">
        <w:rPr>
          <w:rFonts w:cs="Arial"/>
          <w:i/>
          <w:sz w:val="18"/>
          <w:szCs w:val="18"/>
        </w:rPr>
        <w:t>Blair-Ford v</w:t>
      </w:r>
      <w:r>
        <w:rPr>
          <w:rFonts w:cs="Arial"/>
          <w:i/>
          <w:sz w:val="18"/>
          <w:szCs w:val="18"/>
        </w:rPr>
        <w:t>.</w:t>
      </w:r>
      <w:r w:rsidRPr="00C43070">
        <w:rPr>
          <w:rFonts w:cs="Arial"/>
          <w:i/>
          <w:sz w:val="18"/>
          <w:szCs w:val="18"/>
        </w:rPr>
        <w:t xml:space="preserve"> CRS Adventures Ltd [2012] EWHC 2360 (QB)</w:t>
      </w:r>
      <w:r w:rsidRPr="00C43070">
        <w:rPr>
          <w:rFonts w:cs="Arial"/>
          <w:sz w:val="18"/>
          <w:szCs w:val="18"/>
        </w:rPr>
        <w:t xml:space="preserve">  </w:t>
      </w:r>
    </w:p>
  </w:footnote>
  <w:footnote w:id="79">
    <w:p w14:paraId="2768937F" w14:textId="77777777" w:rsidR="008F063A" w:rsidRPr="002815CE" w:rsidRDefault="008F063A" w:rsidP="002815CE">
      <w:pPr>
        <w:pStyle w:val="FootnoteText"/>
        <w:spacing w:before="40" w:after="40"/>
        <w:rPr>
          <w:rFonts w:cs="Arial"/>
          <w:sz w:val="18"/>
          <w:szCs w:val="18"/>
        </w:rPr>
      </w:pPr>
      <w:r w:rsidRPr="00C43070">
        <w:rPr>
          <w:rStyle w:val="FootnoteReference"/>
          <w:sz w:val="18"/>
          <w:szCs w:val="18"/>
        </w:rPr>
        <w:footnoteRef/>
      </w:r>
      <w:r w:rsidRPr="00C43070">
        <w:rPr>
          <w:sz w:val="18"/>
          <w:szCs w:val="18"/>
        </w:rPr>
        <w:t xml:space="preserve"> </w:t>
      </w:r>
      <w:r w:rsidRPr="00C43070">
        <w:rPr>
          <w:rFonts w:cs="Arial"/>
          <w:sz w:val="18"/>
          <w:szCs w:val="18"/>
        </w:rPr>
        <w:t xml:space="preserve">Peter </w:t>
      </w:r>
      <w:proofErr w:type="spellStart"/>
      <w:r w:rsidRPr="00C43070">
        <w:rPr>
          <w:rFonts w:cs="Arial"/>
          <w:sz w:val="18"/>
          <w:szCs w:val="18"/>
        </w:rPr>
        <w:t>Charlish</w:t>
      </w:r>
      <w:proofErr w:type="spellEnd"/>
      <w:r w:rsidRPr="00C43070">
        <w:rPr>
          <w:rFonts w:cs="Arial"/>
          <w:sz w:val="18"/>
          <w:szCs w:val="18"/>
        </w:rPr>
        <w:t>, ‘The Astrid Andersen Case’ [2004] ISLR 85.</w:t>
      </w:r>
    </w:p>
  </w:footnote>
  <w:footnote w:id="80">
    <w:p w14:paraId="71EF272E" w14:textId="58B51EC8" w:rsidR="008F063A" w:rsidRPr="002815CE" w:rsidRDefault="008F063A" w:rsidP="002815CE">
      <w:pPr>
        <w:pStyle w:val="FootnoteText"/>
        <w:spacing w:before="40" w:after="40"/>
        <w:rPr>
          <w:rFonts w:cs="Arial"/>
          <w:i/>
          <w:sz w:val="18"/>
          <w:szCs w:val="18"/>
        </w:rPr>
      </w:pPr>
      <w:r w:rsidRPr="002815CE">
        <w:rPr>
          <w:rStyle w:val="FootnoteReference"/>
          <w:rFonts w:cs="Arial"/>
          <w:sz w:val="18"/>
          <w:szCs w:val="18"/>
        </w:rPr>
        <w:footnoteRef/>
      </w:r>
      <w:r w:rsidRPr="002815CE">
        <w:rPr>
          <w:rFonts w:cs="Arial"/>
          <w:sz w:val="18"/>
          <w:szCs w:val="18"/>
        </w:rPr>
        <w:t xml:space="preserve"> </w:t>
      </w:r>
      <w:r w:rsidRPr="002815CE">
        <w:rPr>
          <w:rFonts w:cs="Arial"/>
          <w:i/>
          <w:sz w:val="18"/>
          <w:szCs w:val="18"/>
        </w:rPr>
        <w:t>Watson v</w:t>
      </w:r>
      <w:r>
        <w:rPr>
          <w:rFonts w:cs="Arial"/>
          <w:i/>
          <w:sz w:val="18"/>
          <w:szCs w:val="18"/>
        </w:rPr>
        <w:t>.</w:t>
      </w:r>
      <w:r w:rsidRPr="002815CE">
        <w:rPr>
          <w:rFonts w:cs="Arial"/>
          <w:i/>
          <w:sz w:val="18"/>
          <w:szCs w:val="18"/>
        </w:rPr>
        <w:t xml:space="preserve"> BBBC </w:t>
      </w:r>
      <w:r w:rsidRPr="00E05961">
        <w:rPr>
          <w:rFonts w:cs="Arial"/>
          <w:sz w:val="18"/>
          <w:szCs w:val="18"/>
        </w:rPr>
        <w:t>(n41)</w:t>
      </w:r>
      <w:r>
        <w:rPr>
          <w:rFonts w:cs="Arial"/>
          <w:i/>
          <w:sz w:val="18"/>
          <w:szCs w:val="18"/>
        </w:rPr>
        <w:t xml:space="preserve"> </w:t>
      </w:r>
      <w:r w:rsidRPr="002815CE">
        <w:rPr>
          <w:rFonts w:cs="Arial"/>
          <w:sz w:val="18"/>
          <w:szCs w:val="18"/>
        </w:rPr>
        <w:t xml:space="preserve">and </w:t>
      </w:r>
      <w:proofErr w:type="spellStart"/>
      <w:r w:rsidRPr="002815CE">
        <w:rPr>
          <w:rFonts w:cs="Arial"/>
          <w:i/>
          <w:sz w:val="18"/>
          <w:szCs w:val="18"/>
        </w:rPr>
        <w:t>Wattleworth</w:t>
      </w:r>
      <w:proofErr w:type="spellEnd"/>
      <w:r w:rsidRPr="002815CE">
        <w:rPr>
          <w:rFonts w:cs="Arial"/>
          <w:i/>
          <w:sz w:val="18"/>
          <w:szCs w:val="18"/>
        </w:rPr>
        <w:t xml:space="preserve"> v</w:t>
      </w:r>
      <w:r>
        <w:rPr>
          <w:rFonts w:cs="Arial"/>
          <w:i/>
          <w:sz w:val="18"/>
          <w:szCs w:val="18"/>
        </w:rPr>
        <w:t>.</w:t>
      </w:r>
      <w:r w:rsidRPr="002815CE">
        <w:rPr>
          <w:rFonts w:cs="Arial"/>
          <w:i/>
          <w:sz w:val="18"/>
          <w:szCs w:val="18"/>
        </w:rPr>
        <w:t xml:space="preserve"> </w:t>
      </w:r>
      <w:proofErr w:type="spellStart"/>
      <w:r w:rsidRPr="002815CE">
        <w:rPr>
          <w:rFonts w:cs="Arial"/>
          <w:i/>
          <w:sz w:val="18"/>
          <w:szCs w:val="18"/>
        </w:rPr>
        <w:t>Goodwood</w:t>
      </w:r>
      <w:proofErr w:type="spellEnd"/>
      <w:r w:rsidRPr="002815CE">
        <w:rPr>
          <w:rFonts w:cs="Arial"/>
          <w:sz w:val="18"/>
          <w:szCs w:val="18"/>
        </w:rPr>
        <w:t xml:space="preserve"> </w:t>
      </w:r>
      <w:r w:rsidRPr="002815CE">
        <w:rPr>
          <w:rFonts w:cs="Arial"/>
          <w:i/>
          <w:sz w:val="18"/>
          <w:szCs w:val="18"/>
        </w:rPr>
        <w:t xml:space="preserve">and FIA </w:t>
      </w:r>
      <w:r>
        <w:rPr>
          <w:rFonts w:cs="Arial"/>
          <w:sz w:val="18"/>
          <w:szCs w:val="18"/>
        </w:rPr>
        <w:t>(n42)</w:t>
      </w:r>
      <w:r w:rsidRPr="002815CE">
        <w:rPr>
          <w:rFonts w:cs="Arial"/>
          <w:sz w:val="18"/>
          <w:szCs w:val="18"/>
        </w:rPr>
        <w:t>.</w:t>
      </w:r>
    </w:p>
  </w:footnote>
  <w:footnote w:id="81">
    <w:p w14:paraId="7EBF0AD1" w14:textId="376AB739" w:rsidR="008F063A" w:rsidRPr="002815CE" w:rsidRDefault="008F063A" w:rsidP="002815CE">
      <w:pPr>
        <w:pStyle w:val="FootnoteText"/>
        <w:spacing w:before="40" w:after="40"/>
        <w:rPr>
          <w:rFonts w:cs="Arial"/>
          <w:i/>
          <w:sz w:val="18"/>
          <w:szCs w:val="18"/>
        </w:rPr>
      </w:pPr>
      <w:r w:rsidRPr="002815CE">
        <w:rPr>
          <w:rStyle w:val="FootnoteReference"/>
          <w:rFonts w:cs="Arial"/>
          <w:sz w:val="18"/>
          <w:szCs w:val="18"/>
        </w:rPr>
        <w:footnoteRef/>
      </w:r>
      <w:r w:rsidRPr="002815CE">
        <w:rPr>
          <w:rFonts w:cs="Arial"/>
          <w:sz w:val="18"/>
          <w:szCs w:val="18"/>
        </w:rPr>
        <w:t xml:space="preserve"> </w:t>
      </w:r>
      <w:r w:rsidRPr="002815CE">
        <w:rPr>
          <w:rFonts w:cs="Arial"/>
          <w:i/>
          <w:sz w:val="18"/>
          <w:szCs w:val="18"/>
        </w:rPr>
        <w:t>Brown v</w:t>
      </w:r>
      <w:r>
        <w:rPr>
          <w:rFonts w:cs="Arial"/>
          <w:i/>
          <w:sz w:val="18"/>
          <w:szCs w:val="18"/>
        </w:rPr>
        <w:t>.</w:t>
      </w:r>
      <w:r w:rsidRPr="002815CE">
        <w:rPr>
          <w:rFonts w:cs="Arial"/>
          <w:i/>
          <w:sz w:val="18"/>
          <w:szCs w:val="18"/>
        </w:rPr>
        <w:t xml:space="preserve"> Brent and BCF</w:t>
      </w:r>
      <w:r w:rsidRPr="002815CE">
        <w:rPr>
          <w:rFonts w:cs="Arial"/>
          <w:sz w:val="18"/>
          <w:szCs w:val="18"/>
        </w:rPr>
        <w:t xml:space="preserve"> [2011] Croydon County Court, Case no. 9SE0058</w:t>
      </w:r>
    </w:p>
  </w:footnote>
  <w:footnote w:id="82">
    <w:p w14:paraId="020EDE8E" w14:textId="2F215A34"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sidRPr="002815CE">
        <w:rPr>
          <w:rFonts w:cs="Arial"/>
          <w:sz w:val="18"/>
          <w:szCs w:val="18"/>
        </w:rPr>
        <w:t xml:space="preserve"> </w:t>
      </w:r>
      <w:r>
        <w:rPr>
          <w:rFonts w:cs="Arial"/>
          <w:sz w:val="18"/>
          <w:szCs w:val="18"/>
        </w:rPr>
        <w:t>i</w:t>
      </w:r>
      <w:r w:rsidRPr="002815CE">
        <w:rPr>
          <w:rFonts w:cs="Arial"/>
          <w:sz w:val="18"/>
          <w:szCs w:val="18"/>
        </w:rPr>
        <w:t>bid.</w:t>
      </w:r>
    </w:p>
  </w:footnote>
  <w:footnote w:id="83">
    <w:p w14:paraId="0F7C8CFC" w14:textId="1561BA30" w:rsidR="008F063A" w:rsidRPr="002815CE" w:rsidRDefault="008F063A" w:rsidP="002815CE">
      <w:pPr>
        <w:pStyle w:val="FootnoteText"/>
        <w:spacing w:before="40" w:after="40"/>
        <w:rPr>
          <w:rFonts w:cs="Arial"/>
          <w:sz w:val="18"/>
          <w:szCs w:val="18"/>
        </w:rPr>
      </w:pPr>
      <w:r w:rsidRPr="002815CE">
        <w:rPr>
          <w:rStyle w:val="FootnoteReference"/>
          <w:rFonts w:cs="Arial"/>
          <w:sz w:val="18"/>
          <w:szCs w:val="18"/>
        </w:rPr>
        <w:footnoteRef/>
      </w:r>
      <w:r>
        <w:rPr>
          <w:rFonts w:cs="Arial"/>
          <w:sz w:val="18"/>
          <w:szCs w:val="18"/>
        </w:rPr>
        <w:t xml:space="preserve"> UCI (n5 and n57), </w:t>
      </w:r>
      <w:r>
        <w:rPr>
          <w:rFonts w:cs="Arial"/>
          <w:i/>
          <w:sz w:val="18"/>
          <w:szCs w:val="18"/>
        </w:rPr>
        <w:t xml:space="preserve">Watson v. BBBC </w:t>
      </w:r>
      <w:r>
        <w:rPr>
          <w:rFonts w:cs="Arial"/>
          <w:sz w:val="18"/>
          <w:szCs w:val="18"/>
        </w:rPr>
        <w:t xml:space="preserve">(n41) and </w:t>
      </w:r>
      <w:proofErr w:type="spellStart"/>
      <w:r>
        <w:rPr>
          <w:rFonts w:cs="Arial"/>
          <w:i/>
          <w:sz w:val="18"/>
          <w:szCs w:val="18"/>
        </w:rPr>
        <w:t>Wattleworth</w:t>
      </w:r>
      <w:proofErr w:type="spellEnd"/>
      <w:r>
        <w:rPr>
          <w:rFonts w:cs="Arial"/>
          <w:i/>
          <w:sz w:val="18"/>
          <w:szCs w:val="18"/>
        </w:rPr>
        <w:t xml:space="preserve"> v. </w:t>
      </w:r>
      <w:proofErr w:type="spellStart"/>
      <w:r>
        <w:rPr>
          <w:rFonts w:cs="Arial"/>
          <w:i/>
          <w:sz w:val="18"/>
          <w:szCs w:val="18"/>
        </w:rPr>
        <w:t>Goodwood</w:t>
      </w:r>
      <w:proofErr w:type="spellEnd"/>
      <w:r>
        <w:rPr>
          <w:rFonts w:cs="Arial"/>
          <w:i/>
          <w:sz w:val="18"/>
          <w:szCs w:val="18"/>
        </w:rPr>
        <w:t xml:space="preserve"> and FIA </w:t>
      </w:r>
      <w:r>
        <w:rPr>
          <w:rFonts w:cs="Arial"/>
          <w:sz w:val="18"/>
          <w:szCs w:val="18"/>
        </w:rPr>
        <w:t>(n42).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Content>
      <w:p w14:paraId="59D3D7B9" w14:textId="77777777" w:rsidR="008F063A" w:rsidRDefault="008F063A" w:rsidP="009F2921">
        <w:pPr>
          <w:pStyle w:val="Header"/>
          <w:tabs>
            <w:tab w:val="left" w:pos="7938"/>
          </w:tabs>
          <w:jc w:val="right"/>
          <w:rPr>
            <w:b/>
            <w:bCs/>
            <w:sz w:val="24"/>
            <w:szCs w:val="24"/>
          </w:rPr>
        </w:pPr>
        <w:r>
          <w:rPr>
            <w:noProof/>
            <w:lang w:eastAsia="en-GB"/>
          </w:rPr>
          <w:drawing>
            <wp:anchor distT="0" distB="0" distL="114300" distR="114300" simplePos="0" relativeHeight="251658240" behindDoc="1" locked="0" layoutInCell="1" allowOverlap="0" wp14:anchorId="607B3642" wp14:editId="71DD663A">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EC586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586C">
          <w:rPr>
            <w:b/>
            <w:bCs/>
            <w:noProof/>
          </w:rPr>
          <w:t>14</w:t>
        </w:r>
        <w:r>
          <w:rPr>
            <w:b/>
            <w:bCs/>
            <w:sz w:val="24"/>
            <w:szCs w:val="24"/>
          </w:rPr>
          <w:fldChar w:fldCharType="end"/>
        </w:r>
      </w:p>
      <w:p w14:paraId="2F07AAC0" w14:textId="77777777" w:rsidR="008F063A" w:rsidRDefault="008F063A" w:rsidP="009F2921">
        <w:pPr>
          <w:pStyle w:val="Header"/>
          <w:jc w:val="right"/>
          <w:rPr>
            <w:b/>
            <w:bCs/>
            <w:sz w:val="24"/>
            <w:szCs w:val="24"/>
          </w:rPr>
        </w:pPr>
      </w:p>
      <w:p w14:paraId="542E59B8" w14:textId="77777777" w:rsidR="008F063A" w:rsidRDefault="008F063A" w:rsidP="009F2921">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1134DD1C" w14:textId="77777777" w:rsidR="008F063A" w:rsidRDefault="008F063A" w:rsidP="009F2921">
        <w:pPr>
          <w:pStyle w:val="Header"/>
        </w:pPr>
      </w:p>
    </w:sdtContent>
  </w:sdt>
  <w:p w14:paraId="51E24756" w14:textId="77777777" w:rsidR="008F063A" w:rsidRPr="009F2921" w:rsidRDefault="008F063A" w:rsidP="009F2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184F" w14:textId="77777777" w:rsidR="008F063A" w:rsidRDefault="008F063A" w:rsidP="009F2921">
    <w:pPr>
      <w:spacing w:after="0"/>
      <w:ind w:right="2246"/>
      <w:rPr>
        <w:b/>
        <w:sz w:val="32"/>
        <w:u w:val="single"/>
      </w:rPr>
    </w:pPr>
  </w:p>
  <w:p w14:paraId="673B5641" w14:textId="77777777" w:rsidR="008F063A" w:rsidRDefault="008F063A" w:rsidP="009F2921">
    <w:pPr>
      <w:spacing w:after="0"/>
      <w:ind w:right="2246"/>
      <w:rPr>
        <w:b/>
        <w:sz w:val="32"/>
        <w:u w:val="single"/>
      </w:rPr>
    </w:pPr>
    <w:r>
      <w:rPr>
        <w:b/>
        <w:noProof/>
        <w:sz w:val="32"/>
        <w:u w:val="single"/>
        <w:lang w:eastAsia="en-GB"/>
      </w:rPr>
      <w:drawing>
        <wp:anchor distT="0" distB="0" distL="114300" distR="114300" simplePos="0" relativeHeight="251659264" behindDoc="0" locked="0" layoutInCell="1" allowOverlap="1" wp14:anchorId="4E216C22" wp14:editId="733E33CF">
          <wp:simplePos x="0" y="0"/>
          <wp:positionH relativeFrom="page">
            <wp:posOffset>0</wp:posOffset>
          </wp:positionH>
          <wp:positionV relativeFrom="page">
            <wp:posOffset>144145</wp:posOffset>
          </wp:positionV>
          <wp:extent cx="7560000" cy="1618116"/>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6A68E75C" w14:textId="77777777" w:rsidR="008F063A" w:rsidRDefault="008F063A" w:rsidP="009F2921">
    <w:pPr>
      <w:spacing w:after="0"/>
      <w:ind w:right="2246"/>
      <w:rPr>
        <w:b/>
        <w:sz w:val="32"/>
        <w:u w:val="single"/>
      </w:rPr>
    </w:pPr>
  </w:p>
  <w:p w14:paraId="558095E7" w14:textId="77777777" w:rsidR="008F063A" w:rsidRDefault="008F063A" w:rsidP="009F2921">
    <w:pPr>
      <w:spacing w:after="0"/>
      <w:ind w:right="2246"/>
      <w:rPr>
        <w:b/>
        <w:sz w:val="32"/>
        <w:u w:val="single"/>
      </w:rPr>
    </w:pPr>
  </w:p>
  <w:p w14:paraId="4103A4D2" w14:textId="77777777" w:rsidR="008F063A" w:rsidRDefault="008F063A" w:rsidP="009F2921">
    <w:pPr>
      <w:spacing w:after="0"/>
      <w:ind w:right="2246"/>
      <w:rPr>
        <w:b/>
        <w:sz w:val="32"/>
        <w:u w:val="single"/>
      </w:rPr>
    </w:pPr>
  </w:p>
  <w:p w14:paraId="43D6E754" w14:textId="77777777" w:rsidR="008F063A" w:rsidRPr="008F6097" w:rsidRDefault="008F063A" w:rsidP="009F2921">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26754F98" w14:textId="77777777" w:rsidR="008F063A" w:rsidRDefault="008F063A" w:rsidP="009F2921">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7D7B3808" w14:textId="77777777" w:rsidR="008F063A" w:rsidRDefault="008F063A" w:rsidP="009F2921">
    <w:pPr>
      <w:spacing w:after="0"/>
      <w:ind w:right="-602"/>
      <w:rPr>
        <w:i/>
        <w:color w:val="00B0F0"/>
        <w:sz w:val="12"/>
        <w:szCs w:val="12"/>
      </w:rPr>
    </w:pPr>
  </w:p>
  <w:p w14:paraId="7B21857C" w14:textId="77777777" w:rsidR="008F063A" w:rsidRDefault="008F063A" w:rsidP="009F2921">
    <w:pPr>
      <w:pStyle w:val="Header"/>
    </w:pPr>
  </w:p>
  <w:p w14:paraId="23563508" w14:textId="77777777" w:rsidR="008F063A" w:rsidRDefault="008F0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50DF"/>
    <w:multiLevelType w:val="hybridMultilevel"/>
    <w:tmpl w:val="806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0B36"/>
    <w:multiLevelType w:val="hybridMultilevel"/>
    <w:tmpl w:val="7D720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BCC"/>
    <w:multiLevelType w:val="hybridMultilevel"/>
    <w:tmpl w:val="F13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B7DA7"/>
    <w:multiLevelType w:val="hybridMultilevel"/>
    <w:tmpl w:val="72BE7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5" w15:restartNumberingAfterBreak="0">
    <w:nsid w:val="161F5F0C"/>
    <w:multiLevelType w:val="hybridMultilevel"/>
    <w:tmpl w:val="2254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E281F"/>
    <w:multiLevelType w:val="hybridMultilevel"/>
    <w:tmpl w:val="E93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63085"/>
    <w:multiLevelType w:val="hybridMultilevel"/>
    <w:tmpl w:val="3B2EB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264F6"/>
    <w:multiLevelType w:val="hybridMultilevel"/>
    <w:tmpl w:val="F20E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F2F33"/>
    <w:multiLevelType w:val="hybridMultilevel"/>
    <w:tmpl w:val="D41E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005DA"/>
    <w:multiLevelType w:val="hybridMultilevel"/>
    <w:tmpl w:val="5CF0D42C"/>
    <w:lvl w:ilvl="0" w:tplc="2124D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42D77"/>
    <w:multiLevelType w:val="hybridMultilevel"/>
    <w:tmpl w:val="CB52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2"/>
  </w:num>
  <w:num w:numId="5">
    <w:abstractNumId w:val="10"/>
  </w:num>
  <w:num w:numId="6">
    <w:abstractNumId w:val="1"/>
  </w:num>
  <w:num w:numId="7">
    <w:abstractNumId w:val="5"/>
  </w:num>
  <w:num w:numId="8">
    <w:abstractNumId w:val="0"/>
  </w:num>
  <w:num w:numId="9">
    <w:abstractNumId w:val="6"/>
  </w:num>
  <w:num w:numId="10">
    <w:abstractNumId w:val="3"/>
  </w:num>
  <w:num w:numId="11">
    <w:abstractNumId w:val="11"/>
  </w:num>
  <w:num w:numId="12">
    <w:abstractNumId w:val="9"/>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21E4B"/>
    <w:rsid w:val="00026278"/>
    <w:rsid w:val="0003114F"/>
    <w:rsid w:val="00043DAE"/>
    <w:rsid w:val="00053C9E"/>
    <w:rsid w:val="00072FA9"/>
    <w:rsid w:val="00093913"/>
    <w:rsid w:val="00096F24"/>
    <w:rsid w:val="000A3008"/>
    <w:rsid w:val="000B1ABD"/>
    <w:rsid w:val="000B6DD4"/>
    <w:rsid w:val="000D0586"/>
    <w:rsid w:val="000F0030"/>
    <w:rsid w:val="00106DB7"/>
    <w:rsid w:val="001102C8"/>
    <w:rsid w:val="00117E7F"/>
    <w:rsid w:val="00125578"/>
    <w:rsid w:val="00125FC8"/>
    <w:rsid w:val="00132E83"/>
    <w:rsid w:val="00152679"/>
    <w:rsid w:val="0016143A"/>
    <w:rsid w:val="00161E44"/>
    <w:rsid w:val="001905EF"/>
    <w:rsid w:val="00197515"/>
    <w:rsid w:val="001A7FE5"/>
    <w:rsid w:val="001B2804"/>
    <w:rsid w:val="001C003E"/>
    <w:rsid w:val="001C563D"/>
    <w:rsid w:val="001D510B"/>
    <w:rsid w:val="002044C3"/>
    <w:rsid w:val="00207677"/>
    <w:rsid w:val="00213D17"/>
    <w:rsid w:val="00213F61"/>
    <w:rsid w:val="002263CE"/>
    <w:rsid w:val="00264EFC"/>
    <w:rsid w:val="002759D0"/>
    <w:rsid w:val="002815CE"/>
    <w:rsid w:val="00297549"/>
    <w:rsid w:val="002A0AA6"/>
    <w:rsid w:val="002B0A45"/>
    <w:rsid w:val="002B15FE"/>
    <w:rsid w:val="002B281D"/>
    <w:rsid w:val="002B35E4"/>
    <w:rsid w:val="002C4A4D"/>
    <w:rsid w:val="002D260A"/>
    <w:rsid w:val="002E5EF3"/>
    <w:rsid w:val="002F02F8"/>
    <w:rsid w:val="002F356C"/>
    <w:rsid w:val="002F75E2"/>
    <w:rsid w:val="002F7909"/>
    <w:rsid w:val="0031544F"/>
    <w:rsid w:val="00324B42"/>
    <w:rsid w:val="003268EF"/>
    <w:rsid w:val="00341B77"/>
    <w:rsid w:val="0036208E"/>
    <w:rsid w:val="003704FA"/>
    <w:rsid w:val="0037410C"/>
    <w:rsid w:val="00374B38"/>
    <w:rsid w:val="003754A4"/>
    <w:rsid w:val="003A4CCA"/>
    <w:rsid w:val="003B70A9"/>
    <w:rsid w:val="003C1384"/>
    <w:rsid w:val="003D1484"/>
    <w:rsid w:val="003D27C1"/>
    <w:rsid w:val="003D639C"/>
    <w:rsid w:val="003D7EBB"/>
    <w:rsid w:val="003E4DA3"/>
    <w:rsid w:val="00402B5D"/>
    <w:rsid w:val="00405B7A"/>
    <w:rsid w:val="00420496"/>
    <w:rsid w:val="00422C75"/>
    <w:rsid w:val="00430BDC"/>
    <w:rsid w:val="00431417"/>
    <w:rsid w:val="00435A17"/>
    <w:rsid w:val="004515FA"/>
    <w:rsid w:val="004627BC"/>
    <w:rsid w:val="00466698"/>
    <w:rsid w:val="00490332"/>
    <w:rsid w:val="00496324"/>
    <w:rsid w:val="004A1CF2"/>
    <w:rsid w:val="004B47EC"/>
    <w:rsid w:val="004B4FD4"/>
    <w:rsid w:val="004C1100"/>
    <w:rsid w:val="004C6BBB"/>
    <w:rsid w:val="004E170C"/>
    <w:rsid w:val="004E7AEA"/>
    <w:rsid w:val="004F4C1F"/>
    <w:rsid w:val="004F7CD1"/>
    <w:rsid w:val="00501F21"/>
    <w:rsid w:val="005025A7"/>
    <w:rsid w:val="00503021"/>
    <w:rsid w:val="00511416"/>
    <w:rsid w:val="00514E0A"/>
    <w:rsid w:val="00527E36"/>
    <w:rsid w:val="00536839"/>
    <w:rsid w:val="00543F99"/>
    <w:rsid w:val="00563045"/>
    <w:rsid w:val="00563095"/>
    <w:rsid w:val="00581337"/>
    <w:rsid w:val="00582D7C"/>
    <w:rsid w:val="00584294"/>
    <w:rsid w:val="00585563"/>
    <w:rsid w:val="005901F9"/>
    <w:rsid w:val="005D2F69"/>
    <w:rsid w:val="005D401E"/>
    <w:rsid w:val="005D6408"/>
    <w:rsid w:val="005D7A04"/>
    <w:rsid w:val="005F57A1"/>
    <w:rsid w:val="00615320"/>
    <w:rsid w:val="00622312"/>
    <w:rsid w:val="00625F9F"/>
    <w:rsid w:val="006348E6"/>
    <w:rsid w:val="00643E2C"/>
    <w:rsid w:val="006533CD"/>
    <w:rsid w:val="0067667D"/>
    <w:rsid w:val="00682A67"/>
    <w:rsid w:val="006848F2"/>
    <w:rsid w:val="00687C9A"/>
    <w:rsid w:val="006A343D"/>
    <w:rsid w:val="006B5687"/>
    <w:rsid w:val="006C5C82"/>
    <w:rsid w:val="006D6800"/>
    <w:rsid w:val="006E24D5"/>
    <w:rsid w:val="006F31BE"/>
    <w:rsid w:val="00704C34"/>
    <w:rsid w:val="00717D0D"/>
    <w:rsid w:val="00736B72"/>
    <w:rsid w:val="007374F3"/>
    <w:rsid w:val="007376D4"/>
    <w:rsid w:val="00744156"/>
    <w:rsid w:val="007524AF"/>
    <w:rsid w:val="00766AF0"/>
    <w:rsid w:val="007676C7"/>
    <w:rsid w:val="00777654"/>
    <w:rsid w:val="007803A8"/>
    <w:rsid w:val="00785FD9"/>
    <w:rsid w:val="007A5E09"/>
    <w:rsid w:val="007B0D02"/>
    <w:rsid w:val="007B53BC"/>
    <w:rsid w:val="007D3985"/>
    <w:rsid w:val="007F26D4"/>
    <w:rsid w:val="007F31A6"/>
    <w:rsid w:val="008000E3"/>
    <w:rsid w:val="00821551"/>
    <w:rsid w:val="00827845"/>
    <w:rsid w:val="00831CBD"/>
    <w:rsid w:val="00836DA1"/>
    <w:rsid w:val="0084779E"/>
    <w:rsid w:val="008571F3"/>
    <w:rsid w:val="008873D3"/>
    <w:rsid w:val="0089338C"/>
    <w:rsid w:val="00897A21"/>
    <w:rsid w:val="008A52BB"/>
    <w:rsid w:val="008B04E7"/>
    <w:rsid w:val="008C15F8"/>
    <w:rsid w:val="008C33D9"/>
    <w:rsid w:val="008C6D0E"/>
    <w:rsid w:val="008D7766"/>
    <w:rsid w:val="008F063A"/>
    <w:rsid w:val="008F179D"/>
    <w:rsid w:val="0092443A"/>
    <w:rsid w:val="00924455"/>
    <w:rsid w:val="009331F0"/>
    <w:rsid w:val="0093324A"/>
    <w:rsid w:val="009366DD"/>
    <w:rsid w:val="0094241E"/>
    <w:rsid w:val="0095290B"/>
    <w:rsid w:val="00961031"/>
    <w:rsid w:val="00966435"/>
    <w:rsid w:val="00966A1D"/>
    <w:rsid w:val="00971CAF"/>
    <w:rsid w:val="00974A72"/>
    <w:rsid w:val="009853DC"/>
    <w:rsid w:val="00990889"/>
    <w:rsid w:val="009950CC"/>
    <w:rsid w:val="009A106D"/>
    <w:rsid w:val="009A18B7"/>
    <w:rsid w:val="009A4AC8"/>
    <w:rsid w:val="009A78B6"/>
    <w:rsid w:val="009D55E0"/>
    <w:rsid w:val="009E3B74"/>
    <w:rsid w:val="009F2921"/>
    <w:rsid w:val="009F79A1"/>
    <w:rsid w:val="00A00C5B"/>
    <w:rsid w:val="00A146D5"/>
    <w:rsid w:val="00A17DE5"/>
    <w:rsid w:val="00A54CEF"/>
    <w:rsid w:val="00A6035E"/>
    <w:rsid w:val="00A62556"/>
    <w:rsid w:val="00A66E88"/>
    <w:rsid w:val="00A96030"/>
    <w:rsid w:val="00AA01FB"/>
    <w:rsid w:val="00AA1B7A"/>
    <w:rsid w:val="00AA6333"/>
    <w:rsid w:val="00AB5717"/>
    <w:rsid w:val="00AB7136"/>
    <w:rsid w:val="00AD4CBC"/>
    <w:rsid w:val="00AE160C"/>
    <w:rsid w:val="00AF3DD2"/>
    <w:rsid w:val="00B0610E"/>
    <w:rsid w:val="00B17D75"/>
    <w:rsid w:val="00B510F8"/>
    <w:rsid w:val="00B6352A"/>
    <w:rsid w:val="00B655A3"/>
    <w:rsid w:val="00B8581D"/>
    <w:rsid w:val="00BA5D2A"/>
    <w:rsid w:val="00BC74B0"/>
    <w:rsid w:val="00C011EA"/>
    <w:rsid w:val="00C11BD8"/>
    <w:rsid w:val="00C1548B"/>
    <w:rsid w:val="00C158DA"/>
    <w:rsid w:val="00C1783C"/>
    <w:rsid w:val="00C273B4"/>
    <w:rsid w:val="00C31B22"/>
    <w:rsid w:val="00C43070"/>
    <w:rsid w:val="00C4583A"/>
    <w:rsid w:val="00C46EE7"/>
    <w:rsid w:val="00C52803"/>
    <w:rsid w:val="00C54D9A"/>
    <w:rsid w:val="00C54DA1"/>
    <w:rsid w:val="00C5547B"/>
    <w:rsid w:val="00C72874"/>
    <w:rsid w:val="00C76120"/>
    <w:rsid w:val="00C80582"/>
    <w:rsid w:val="00C81288"/>
    <w:rsid w:val="00C84E6E"/>
    <w:rsid w:val="00C85C15"/>
    <w:rsid w:val="00CA61DC"/>
    <w:rsid w:val="00CB0DA0"/>
    <w:rsid w:val="00CC2788"/>
    <w:rsid w:val="00CC7068"/>
    <w:rsid w:val="00CF4568"/>
    <w:rsid w:val="00D10101"/>
    <w:rsid w:val="00D130C2"/>
    <w:rsid w:val="00D20235"/>
    <w:rsid w:val="00D209B7"/>
    <w:rsid w:val="00D35EFB"/>
    <w:rsid w:val="00D519D7"/>
    <w:rsid w:val="00D92B58"/>
    <w:rsid w:val="00D9568C"/>
    <w:rsid w:val="00DA18AD"/>
    <w:rsid w:val="00DB2BC7"/>
    <w:rsid w:val="00DB3867"/>
    <w:rsid w:val="00DC658C"/>
    <w:rsid w:val="00DD7411"/>
    <w:rsid w:val="00DE61B9"/>
    <w:rsid w:val="00DF2263"/>
    <w:rsid w:val="00DF2BD5"/>
    <w:rsid w:val="00E05961"/>
    <w:rsid w:val="00E1312F"/>
    <w:rsid w:val="00E43FF7"/>
    <w:rsid w:val="00E65967"/>
    <w:rsid w:val="00E8118D"/>
    <w:rsid w:val="00E82FD9"/>
    <w:rsid w:val="00E85DD9"/>
    <w:rsid w:val="00EB1024"/>
    <w:rsid w:val="00EC1FAC"/>
    <w:rsid w:val="00EC586C"/>
    <w:rsid w:val="00ED3DB1"/>
    <w:rsid w:val="00EE4136"/>
    <w:rsid w:val="00EF63B1"/>
    <w:rsid w:val="00EF6A86"/>
    <w:rsid w:val="00F04FA3"/>
    <w:rsid w:val="00F20225"/>
    <w:rsid w:val="00F24D8A"/>
    <w:rsid w:val="00F2511C"/>
    <w:rsid w:val="00F261E4"/>
    <w:rsid w:val="00F2710A"/>
    <w:rsid w:val="00F34840"/>
    <w:rsid w:val="00F3565B"/>
    <w:rsid w:val="00F7566E"/>
    <w:rsid w:val="00F7716C"/>
    <w:rsid w:val="00F841FB"/>
    <w:rsid w:val="00F96382"/>
    <w:rsid w:val="00FA0AEC"/>
    <w:rsid w:val="00FB7E7D"/>
    <w:rsid w:val="00FC5EB5"/>
    <w:rsid w:val="00FD660A"/>
    <w:rsid w:val="00FD6CF2"/>
    <w:rsid w:val="00FE06DD"/>
    <w:rsid w:val="00FF189B"/>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3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 w:type="character" w:customStyle="1" w:styleId="legds2">
    <w:name w:val="legds2"/>
    <w:basedOn w:val="DefaultParagraphFont"/>
    <w:rsid w:val="00C4583A"/>
    <w:rPr>
      <w:vanish w:val="0"/>
      <w:webHidden w:val="0"/>
      <w:specVanish w:val="0"/>
    </w:rPr>
  </w:style>
  <w:style w:type="character" w:styleId="HTMLCite">
    <w:name w:val="HTML Cite"/>
    <w:basedOn w:val="DefaultParagraphFont"/>
    <w:uiPriority w:val="99"/>
    <w:semiHidden/>
    <w:unhideWhenUsed/>
    <w:rsid w:val="00C45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www.britishcycling.org.uk/roadeventorganisersupport" TargetMode="External"/><Relationship Id="rId18" Type="http://schemas.openxmlformats.org/officeDocument/2006/relationships/hyperlink" Target="http://www.telegraph.co.uk/sport/othersports/cycling/2345050/Britain-given-crash-course-in-Tour-safety.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ci.ch/docs/UCIGB-PDF/UCIGB_GUIDEORGA.pdf" TargetMode="External"/><Relationship Id="rId7" Type="http://schemas.openxmlformats.org/officeDocument/2006/relationships/endnotes" Target="endnotes.xml"/><Relationship Id="rId12" Type="http://schemas.openxmlformats.org/officeDocument/2006/relationships/hyperlink" Target="http://www.independent.co.uk/sport/cycling-death-of-police-escort-rider-cancels-tour-of-britain-stage-1156744.html" TargetMode="External"/><Relationship Id="rId17" Type="http://schemas.openxmlformats.org/officeDocument/2006/relationships/hyperlink" Target="http://www.theguardian.com/sport/2006/sep/04/cycling.cycling1" TargetMode="External"/><Relationship Id="rId25" Type="http://schemas.openxmlformats.org/officeDocument/2006/relationships/hyperlink" Target="http://www.sweetspotgroup.co.uk/events.php" TargetMode="External"/><Relationship Id="rId2" Type="http://schemas.openxmlformats.org/officeDocument/2006/relationships/numbering" Target="numbering.xml"/><Relationship Id="rId16" Type="http://schemas.openxmlformats.org/officeDocument/2006/relationships/hyperlink" Target="http://www.safetyatsportsgrounds.org.uk/publications/green-guide" TargetMode="External"/><Relationship Id="rId20" Type="http://schemas.openxmlformats.org/officeDocument/2006/relationships/hyperlink" Target="http://www.uci.ch/inside-uci/rules-and-regulations/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lingweekly.co.uk/news/latest-news/tour-of-britain-stage-5-chicchi-wins-in-canterbury-after-rider-protest-divides-bunch-73940" TargetMode="External"/><Relationship Id="rId24" Type="http://schemas.openxmlformats.org/officeDocument/2006/relationships/hyperlink" Target="http://www.ucieuropetour.com" TargetMode="External"/><Relationship Id="rId5" Type="http://schemas.openxmlformats.org/officeDocument/2006/relationships/webSettings" Target="webSettings.xml"/><Relationship Id="rId15" Type="http://schemas.openxmlformats.org/officeDocument/2006/relationships/hyperlink" Target="http://www.gov.uk/government/consultations/proposed-changes-to-the-cycle-racing-on-the-highway-regulations-1960" TargetMode="External"/><Relationship Id="rId23" Type="http://schemas.openxmlformats.org/officeDocument/2006/relationships/hyperlink" Target="http://www.tourofbritain.com" TargetMode="External"/><Relationship Id="rId28" Type="http://schemas.openxmlformats.org/officeDocument/2006/relationships/fontTable" Target="fontTable.xml"/><Relationship Id="rId10" Type="http://schemas.openxmlformats.org/officeDocument/2006/relationships/hyperlink" Target="http://news.bbc.co.uk/sport1/hi/other_sports/cycling/4643032.stm" TargetMode="External"/><Relationship Id="rId19" Type="http://schemas.openxmlformats.org/officeDocument/2006/relationships/hyperlink" Target="http://road.cc/content/feature/67388-riding-outriders-policing-tour-britain" TargetMode="Externa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yperlink" Target="http://www.britishcycling.org.uk/zuvvi/media/bc_files/road/Road_Race_Organisers_Guide_-_FINAL.pdf" TargetMode="External"/><Relationship Id="rId22" Type="http://schemas.openxmlformats.org/officeDocument/2006/relationships/hyperlink" Target="http://www.britishcycling.org.uk/road/article/roadst-National-Escort-Group"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britishcycling.org.uk/about/article/bc-British-Cycling-Event-0" TargetMode="External"/><Relationship Id="rId13" Type="http://schemas.openxmlformats.org/officeDocument/2006/relationships/hyperlink" Target="http://www.britishcycling.org.uk/roadeventorganisersupport" TargetMode="External"/><Relationship Id="rId18" Type="http://schemas.openxmlformats.org/officeDocument/2006/relationships/hyperlink" Target="http://www.cyclingweekly.co.uk/news/latest-news/tour-of-britain-stage-5-chicchi-wins-in-canterbury-after-rider-protest-divides-bunch-73940" TargetMode="External"/><Relationship Id="rId3" Type="http://schemas.openxmlformats.org/officeDocument/2006/relationships/hyperlink" Target="http://www.independent.co.uk/sport/cycling-death-of-police-escort-rider-cancels-tour-of-britain-stage-1156744.html" TargetMode="External"/><Relationship Id="rId21" Type="http://schemas.openxmlformats.org/officeDocument/2006/relationships/hyperlink" Target="http://tritalk.co.uk/forums/viewtopic.php?p=322414&amp;sid=63fcca9cec8ce8fcf134e5ea433cca3b" TargetMode="External"/><Relationship Id="rId7" Type="http://schemas.openxmlformats.org/officeDocument/2006/relationships/hyperlink" Target="http://www.safetyatsportsgrounds.org.uk/publications/green-guide" TargetMode="External"/><Relationship Id="rId12" Type="http://schemas.openxmlformats.org/officeDocument/2006/relationships/hyperlink" Target="http://www.gov.uk/government/consultations/proposed-changes-to-the-cycle-racing-on-the-highway-regulations-1960" TargetMode="External"/><Relationship Id="rId17" Type="http://schemas.openxmlformats.org/officeDocument/2006/relationships/hyperlink" Target="http://www.telegraph.co.uk/sport/othersports/cycling/2345050/Britain-given-crash-course-in-Tour-safety.html" TargetMode="External"/><Relationship Id="rId2" Type="http://schemas.openxmlformats.org/officeDocument/2006/relationships/hyperlink" Target="http://www.theguardian.com/sport/2006/sep/04/cycling.cycling1" TargetMode="External"/><Relationship Id="rId16" Type="http://schemas.openxmlformats.org/officeDocument/2006/relationships/hyperlink" Target="http://news.bbc.co.uk/sport1/hi/other_sports/cycling/4643032.stm" TargetMode="External"/><Relationship Id="rId20" Type="http://schemas.openxmlformats.org/officeDocument/2006/relationships/hyperlink" Target="http://www.justiceinspectorates.gov.uk/hmic/media/police-force-map.pdf" TargetMode="External"/><Relationship Id="rId1" Type="http://schemas.openxmlformats.org/officeDocument/2006/relationships/hyperlink" Target="http://www.tourofbritain.com" TargetMode="External"/><Relationship Id="rId6" Type="http://schemas.openxmlformats.org/officeDocument/2006/relationships/hyperlink" Target="http://www.uci.ch/docs/UCIGB-PDF/UCIGB_GUIDEORGA.pdf" TargetMode="External"/><Relationship Id="rId11" Type="http://schemas.openxmlformats.org/officeDocument/2006/relationships/hyperlink" Target="http://www.ucieuropetour.com" TargetMode="External"/><Relationship Id="rId5" Type="http://schemas.openxmlformats.org/officeDocument/2006/relationships/hyperlink" Target="http://www.tourofbritain.co.uk/partners/index.php" TargetMode="External"/><Relationship Id="rId15" Type="http://schemas.openxmlformats.org/officeDocument/2006/relationships/hyperlink" Target="http://www.tourofbritain.co.uk/history/2006.php" TargetMode="External"/><Relationship Id="rId23" Type="http://schemas.openxmlformats.org/officeDocument/2006/relationships/hyperlink" Target="http://www.legislation.govt.nz/act/public/1961/0043/latest/DLM327382.html" TargetMode="External"/><Relationship Id="rId10" Type="http://schemas.openxmlformats.org/officeDocument/2006/relationships/hyperlink" Target="http://www.britishcycling.org.uk/roadeventorganisersupport" TargetMode="External"/><Relationship Id="rId19" Type="http://schemas.openxmlformats.org/officeDocument/2006/relationships/hyperlink" Target="http://road.cc/content/feature/67388-riding-outriders-policing-tour-britain" TargetMode="External"/><Relationship Id="rId4" Type="http://schemas.openxmlformats.org/officeDocument/2006/relationships/hyperlink" Target="http://www.sweetspotgroup.co.uk/events.php" TargetMode="External"/><Relationship Id="rId9" Type="http://schemas.openxmlformats.org/officeDocument/2006/relationships/hyperlink" Target="http://www.britishcycling.org.uk/zuvvi/media/bc_files/road/Road_Race_Organisers_Guide_-_FINAL.pdf" TargetMode="External"/><Relationship Id="rId14" Type="http://schemas.openxmlformats.org/officeDocument/2006/relationships/hyperlink" Target="http://www.uci.ch/inside-uci/rules-and-regulations/regulations/" TargetMode="External"/><Relationship Id="rId22" Type="http://schemas.openxmlformats.org/officeDocument/2006/relationships/hyperlink" Target="http://www.britishcycling.org.uk/road/article/roadst-National-Escort-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0ACB-AC1E-4A65-8AE4-6408E72A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5</cp:revision>
  <cp:lastPrinted>2015-06-29T23:57:00Z</cp:lastPrinted>
  <dcterms:created xsi:type="dcterms:W3CDTF">2015-06-29T23:33:00Z</dcterms:created>
  <dcterms:modified xsi:type="dcterms:W3CDTF">2015-06-29T23:57:00Z</dcterms:modified>
</cp:coreProperties>
</file>