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0E6" w:rsidRPr="00972275" w:rsidRDefault="00EA4225" w:rsidP="00351480">
      <w:pPr>
        <w:spacing w:line="360" w:lineRule="auto"/>
        <w:rPr>
          <w:rFonts w:ascii="Tahoma" w:hAnsi="Tahoma" w:cs="Tahoma"/>
          <w:b/>
          <w:sz w:val="24"/>
          <w:szCs w:val="24"/>
        </w:rPr>
      </w:pPr>
      <w:r w:rsidRPr="00972275">
        <w:rPr>
          <w:rFonts w:ascii="Tahoma" w:hAnsi="Tahoma" w:cs="Tahoma"/>
          <w:b/>
          <w:sz w:val="32"/>
          <w:szCs w:val="32"/>
        </w:rPr>
        <w:t>E</w:t>
      </w:r>
      <w:r w:rsidR="00726B7C" w:rsidRPr="00972275">
        <w:rPr>
          <w:rFonts w:ascii="Tahoma" w:hAnsi="Tahoma" w:cs="Tahoma"/>
          <w:b/>
          <w:sz w:val="32"/>
          <w:szCs w:val="32"/>
        </w:rPr>
        <w:t>xtend</w:t>
      </w:r>
      <w:r w:rsidRPr="00972275">
        <w:rPr>
          <w:rFonts w:ascii="Tahoma" w:hAnsi="Tahoma" w:cs="Tahoma"/>
          <w:b/>
          <w:sz w:val="32"/>
          <w:szCs w:val="32"/>
        </w:rPr>
        <w:t>ing</w:t>
      </w:r>
      <w:r w:rsidR="00726B7C" w:rsidRPr="00972275">
        <w:rPr>
          <w:rFonts w:ascii="Tahoma" w:hAnsi="Tahoma" w:cs="Tahoma"/>
          <w:b/>
          <w:sz w:val="32"/>
          <w:szCs w:val="32"/>
        </w:rPr>
        <w:t xml:space="preserve"> possibilities for widening participation</w:t>
      </w:r>
      <w:r w:rsidR="00C360E6" w:rsidRPr="00972275">
        <w:rPr>
          <w:rFonts w:ascii="Tahoma" w:hAnsi="Tahoma" w:cs="Tahoma"/>
          <w:b/>
          <w:sz w:val="32"/>
          <w:szCs w:val="32"/>
        </w:rPr>
        <w:t>: a circus arts and heritage case study</w:t>
      </w:r>
    </w:p>
    <w:p w:rsidR="00D651FE" w:rsidRPr="005B37B4" w:rsidRDefault="00D651FE" w:rsidP="00351480">
      <w:pPr>
        <w:spacing w:line="360" w:lineRule="auto"/>
        <w:rPr>
          <w:rFonts w:ascii="Tahoma" w:hAnsi="Tahoma" w:cs="Tahoma"/>
          <w:sz w:val="24"/>
          <w:szCs w:val="24"/>
        </w:rPr>
      </w:pPr>
      <w:bookmarkStart w:id="0" w:name="_GoBack"/>
      <w:bookmarkEnd w:id="0"/>
      <w:r w:rsidRPr="00972275">
        <w:rPr>
          <w:rFonts w:ascii="Tahoma" w:hAnsi="Tahoma" w:cs="Tahoma"/>
          <w:b/>
          <w:sz w:val="24"/>
          <w:szCs w:val="24"/>
        </w:rPr>
        <w:t>Dr Carmel Thomason</w:t>
      </w:r>
      <w:r w:rsidR="00972275">
        <w:rPr>
          <w:rFonts w:ascii="Tahoma" w:hAnsi="Tahoma" w:cs="Tahoma"/>
          <w:b/>
          <w:sz w:val="24"/>
          <w:szCs w:val="24"/>
        </w:rPr>
        <w:br/>
      </w:r>
      <w:r w:rsidRPr="005B37B4">
        <w:rPr>
          <w:rFonts w:ascii="Tahoma" w:hAnsi="Tahoma" w:cs="Tahoma"/>
          <w:sz w:val="24"/>
          <w:szCs w:val="24"/>
        </w:rPr>
        <w:t>Senior Lecturer, Staffordshire University</w:t>
      </w:r>
    </w:p>
    <w:p w:rsidR="00D651FE" w:rsidRPr="005B37B4" w:rsidRDefault="0099425F" w:rsidP="00351480">
      <w:pPr>
        <w:spacing w:line="360" w:lineRule="auto"/>
        <w:rPr>
          <w:rFonts w:ascii="Tahoma" w:hAnsi="Tahoma" w:cs="Tahoma"/>
          <w:sz w:val="24"/>
          <w:szCs w:val="24"/>
        </w:rPr>
      </w:pPr>
      <w:r w:rsidRPr="0099425F">
        <w:rPr>
          <w:rFonts w:ascii="Tahoma" w:hAnsi="Tahoma" w:cs="Tahoma"/>
          <w:sz w:val="24"/>
          <w:szCs w:val="24"/>
        </w:rPr>
        <w:t xml:space="preserve">Corresponding author: </w:t>
      </w:r>
      <w:hyperlink r:id="rId8" w:history="1">
        <w:r w:rsidRPr="002A46DB">
          <w:rPr>
            <w:rStyle w:val="Hyperlink"/>
            <w:rFonts w:ascii="Tahoma" w:hAnsi="Tahoma" w:cs="Tahoma"/>
            <w:sz w:val="24"/>
            <w:szCs w:val="24"/>
          </w:rPr>
          <w:t>C.Thomason@mmu.ac.uk</w:t>
        </w:r>
      </w:hyperlink>
    </w:p>
    <w:p w:rsidR="00D651FE" w:rsidRPr="005B37B4" w:rsidRDefault="00D651FE" w:rsidP="00351480">
      <w:pPr>
        <w:spacing w:line="360" w:lineRule="auto"/>
        <w:rPr>
          <w:rFonts w:ascii="Tahoma" w:hAnsi="Tahoma" w:cs="Tahoma"/>
          <w:sz w:val="24"/>
          <w:szCs w:val="24"/>
        </w:rPr>
      </w:pPr>
      <w:bookmarkStart w:id="1" w:name="_Hlk16266098"/>
      <w:r w:rsidRPr="005B37B4">
        <w:rPr>
          <w:rFonts w:ascii="Tahoma" w:hAnsi="Tahoma" w:cs="Tahoma"/>
          <w:b/>
          <w:sz w:val="24"/>
          <w:szCs w:val="24"/>
        </w:rPr>
        <w:t>Abstract:</w:t>
      </w:r>
      <w:r w:rsidRPr="005B37B4">
        <w:rPr>
          <w:rFonts w:ascii="Tahoma" w:hAnsi="Tahoma" w:cs="Tahoma"/>
          <w:sz w:val="24"/>
          <w:szCs w:val="24"/>
        </w:rPr>
        <w:t xml:space="preserve"> </w:t>
      </w:r>
      <w:bookmarkStart w:id="2" w:name="_Hlk18507402"/>
      <w:r w:rsidRPr="005B37B4">
        <w:rPr>
          <w:rFonts w:ascii="Tahoma" w:hAnsi="Tahoma" w:cs="Tahoma"/>
          <w:sz w:val="24"/>
          <w:szCs w:val="24"/>
        </w:rPr>
        <w:t>This paper presents a</w:t>
      </w:r>
      <w:r w:rsidR="00C55949" w:rsidRPr="005B37B4">
        <w:rPr>
          <w:rFonts w:ascii="Tahoma" w:hAnsi="Tahoma" w:cs="Tahoma"/>
          <w:sz w:val="24"/>
          <w:szCs w:val="24"/>
        </w:rPr>
        <w:t xml:space="preserve"> circus</w:t>
      </w:r>
      <w:r w:rsidRPr="005B37B4">
        <w:rPr>
          <w:rFonts w:ascii="Tahoma" w:hAnsi="Tahoma" w:cs="Tahoma"/>
          <w:sz w:val="24"/>
          <w:szCs w:val="24"/>
        </w:rPr>
        <w:t xml:space="preserve"> arts and heritage case study </w:t>
      </w:r>
      <w:bookmarkStart w:id="3" w:name="_Hlk30941457"/>
      <w:r w:rsidRPr="005B37B4">
        <w:rPr>
          <w:rFonts w:ascii="Tahoma" w:hAnsi="Tahoma" w:cs="Tahoma"/>
          <w:sz w:val="24"/>
          <w:szCs w:val="24"/>
        </w:rPr>
        <w:t>exploring extended possibilities for widening participation</w:t>
      </w:r>
      <w:bookmarkEnd w:id="3"/>
      <w:r w:rsidRPr="005B37B4">
        <w:rPr>
          <w:rFonts w:ascii="Tahoma" w:hAnsi="Tahoma" w:cs="Tahoma"/>
          <w:sz w:val="24"/>
          <w:szCs w:val="24"/>
        </w:rPr>
        <w:t xml:space="preserve">, within a broader conceptual framework of the civic university </w:t>
      </w:r>
      <w:r w:rsidR="003A5112" w:rsidRPr="005B37B4">
        <w:rPr>
          <w:rFonts w:ascii="Tahoma" w:hAnsi="Tahoma" w:cs="Tahoma"/>
          <w:sz w:val="24"/>
          <w:szCs w:val="24"/>
        </w:rPr>
        <w:fldChar w:fldCharType="begin" w:fldLock="1"/>
      </w:r>
      <w:r w:rsidR="00B60449">
        <w:rPr>
          <w:rFonts w:ascii="Tahoma" w:hAnsi="Tahoma" w:cs="Tahoma"/>
          <w:sz w:val="24"/>
          <w:szCs w:val="24"/>
        </w:rPr>
        <w:instrText>ADDIN CSL_CITATION {"citationItems":[{"id":"ITEM-1","itemData":{"DOI":"10.4337/9781784717728.00008","ISBN":"9781784717711","author":[{"dropping-particle":"","family":"Goddard","given":"John","non-dropping-particle":"","parse-names":false,"suffix":""},{"dropping-particle":"","family":"Hazelkorn","given":"Ellen","non-dropping-particle":"","parse-names":false,"suffix":""},{"dropping-particle":"","family":"Kempton","given":"Louise","non-dropping-particle":"","parse-names":false,"suffix":""},{"dropping-particle":"","family":"Vallance","given":"Paul","non-dropping-particle":"","parse-names":false,"suffix":""}],"container-title":"The Civic University","id":"ITEM-1","issue":"November","issued":{"date-parts":[["2016"]]},"page":"3-15","title":"Introduction: why the civic university?","type":"article-journal"},"uris":["http://www.mendeley.com/documents/?uuid=27796b6d-ecbb-461c-a1ca-5964cae21076"]}],"mendeley":{"formattedCitation":"(Goddard et al., 2016)","plainTextFormattedCitation":"(Goddard et al., 2016)","previouslyFormattedCitation":"(Goddard et al., 2016)"},"properties":{"noteIndex":0},"schema":"https://github.com/citation-style-language/schema/raw/master/csl-citation.json"}</w:instrText>
      </w:r>
      <w:r w:rsidR="003A5112" w:rsidRPr="005B37B4">
        <w:rPr>
          <w:rFonts w:ascii="Tahoma" w:hAnsi="Tahoma" w:cs="Tahoma"/>
          <w:sz w:val="24"/>
          <w:szCs w:val="24"/>
        </w:rPr>
        <w:fldChar w:fldCharType="separate"/>
      </w:r>
      <w:r w:rsidRPr="003D1903">
        <w:rPr>
          <w:rFonts w:ascii="Tahoma" w:hAnsi="Tahoma" w:cs="Tahoma"/>
          <w:noProof/>
          <w:sz w:val="24"/>
          <w:szCs w:val="24"/>
        </w:rPr>
        <w:t>(Goddard et al., 2016)</w:t>
      </w:r>
      <w:r w:rsidR="003A5112" w:rsidRPr="005B37B4">
        <w:rPr>
          <w:rFonts w:ascii="Tahoma" w:hAnsi="Tahoma" w:cs="Tahoma"/>
          <w:sz w:val="24"/>
          <w:szCs w:val="24"/>
        </w:rPr>
        <w:fldChar w:fldCharType="end"/>
      </w:r>
      <w:r w:rsidRPr="005B37B4">
        <w:rPr>
          <w:rFonts w:ascii="Tahoma" w:hAnsi="Tahoma" w:cs="Tahoma"/>
          <w:sz w:val="24"/>
          <w:szCs w:val="24"/>
        </w:rPr>
        <w:t xml:space="preserve"> and Culture 3.0 </w:t>
      </w:r>
      <w:r w:rsidR="003A5112" w:rsidRPr="005B37B4">
        <w:rPr>
          <w:rFonts w:ascii="Tahoma" w:hAnsi="Tahoma" w:cs="Tahoma"/>
          <w:sz w:val="24"/>
          <w:szCs w:val="24"/>
        </w:rPr>
        <w:fldChar w:fldCharType="begin" w:fldLock="1"/>
      </w:r>
      <w:r w:rsidR="00B60449">
        <w:rPr>
          <w:rFonts w:ascii="Tahoma" w:hAnsi="Tahoma" w:cs="Tahoma"/>
          <w:sz w:val="24"/>
          <w:szCs w:val="24"/>
        </w:rPr>
        <w:instrText>ADDIN CSL_CITATION {"citationItems":[{"id":"ITEM-1","itemData":{"ISSN":"2175-8131","author":[{"dropping-particle":"","family":"Boehm","given":"Carola","non-dropping-particle":"","parse-names":false,"suffix":""}],"container-title":"REPERTÓRIO: Teatro &amp; Dança","id":"ITEM-1","issue":"27","issued":{"date-parts":[["2016"]]},"page":"37-48","title":"Academia in Culture 3.0: a Crime story of Death and Rebirth (but also of Curation, Innovation and Sector Mash-ups)","type":"article-journal","volume":"19"},"uris":["http://www.mendeley.com/documents/?uuid=0ffc4e48-c383-4b66-85db-cc2515de67c1"]},{"id":"ITEM-2","itemData":{"DOI":"10.3390/su10113923","ISSN":"20711050","abstract":"We develop a new conceptual framework to analyze the evolution of the relationship between cultural production and different forms of economic and social value creation in terms of three alternative socio-technical regimes that have emerged over time. We show how, with the emergence of the Culture 3.0 regime characterized by novel forms of active cultural participation, where the distinction between producers and users of cultural and creative contents is increasingly blurred, new channels of social and economic value creation through cultural participation acquire increasing importance. We characterize them through an eight-tier classification, and argue on this basis why cultural policy is going to acquire a central role in the policy design approaches of the future. Whether Europe will play the role of a strategic leader in this scenario in the context of future cohesion policies is an open question.","author":[{"dropping-particle":"","family":"Sacco","given":"Pier Luigi","non-dropping-particle":"","parse-names":false,"suffix":""},{"dropping-particle":"","family":"Ferilli","given":"Guido","non-dropping-particle":"","parse-names":false,"suffix":""},{"dropping-particle":"","family":"Blessi","given":"Giorgio Tavano","non-dropping-particle":"","parse-names":false,"suffix":""}],"container-title":"Sustainability (Switzerland)","id":"ITEM-2","issue":"11","issued":{"date-parts":[["2018"]]},"page":"0-23","title":"From Culture 1.0 to Culture 3.0: Three socio-technical regimes of social and economic value creation through culture, and their impact on European cohesion policies","type":"article-journal","volume":"10"},"uris":["http://www.mendeley.com/documents/?uuid=a287bde4-9fce-4d75-9c38-b826bf0d4243"]}],"mendeley":{"formattedCitation":"(Boehm, 2016; Sacco et al., 2018)","plainTextFormattedCitation":"(Boehm, 2016; Sacco et al., 2018)","previouslyFormattedCitation":"(Boehm, 2016; Sacco et al., 2018)"},"properties":{"noteIndex":0},"schema":"https://github.com/citation-style-language/schema/raw/master/csl-citation.json"}</w:instrText>
      </w:r>
      <w:r w:rsidR="003A5112" w:rsidRPr="005B37B4">
        <w:rPr>
          <w:rFonts w:ascii="Tahoma" w:hAnsi="Tahoma" w:cs="Tahoma"/>
          <w:sz w:val="24"/>
          <w:szCs w:val="24"/>
        </w:rPr>
        <w:fldChar w:fldCharType="separate"/>
      </w:r>
      <w:r w:rsidR="003D1903" w:rsidRPr="003D1903">
        <w:rPr>
          <w:rFonts w:ascii="Tahoma" w:hAnsi="Tahoma" w:cs="Tahoma"/>
          <w:noProof/>
          <w:sz w:val="24"/>
          <w:szCs w:val="24"/>
        </w:rPr>
        <w:t>(Boehm, 2016; Sacco et al., 2018)</w:t>
      </w:r>
      <w:r w:rsidR="003A5112" w:rsidRPr="005B37B4">
        <w:rPr>
          <w:rFonts w:ascii="Tahoma" w:hAnsi="Tahoma" w:cs="Tahoma"/>
          <w:sz w:val="24"/>
          <w:szCs w:val="24"/>
        </w:rPr>
        <w:fldChar w:fldCharType="end"/>
      </w:r>
      <w:r w:rsidRPr="005B37B4">
        <w:rPr>
          <w:rFonts w:ascii="Tahoma" w:hAnsi="Tahoma" w:cs="Tahoma"/>
          <w:sz w:val="24"/>
          <w:szCs w:val="24"/>
        </w:rPr>
        <w:t>.</w:t>
      </w:r>
    </w:p>
    <w:p w:rsidR="005C330A" w:rsidRPr="005B37B4" w:rsidRDefault="009F351D" w:rsidP="00351480">
      <w:pPr>
        <w:spacing w:line="360" w:lineRule="auto"/>
        <w:rPr>
          <w:rFonts w:ascii="Tahoma" w:hAnsi="Tahoma" w:cs="Tahoma"/>
          <w:sz w:val="24"/>
          <w:szCs w:val="24"/>
        </w:rPr>
      </w:pPr>
      <w:r w:rsidRPr="005B37B4">
        <w:rPr>
          <w:rFonts w:ascii="Tahoma" w:hAnsi="Tahoma" w:cs="Tahoma"/>
          <w:sz w:val="24"/>
          <w:szCs w:val="24"/>
        </w:rPr>
        <w:t xml:space="preserve">Recent changes to </w:t>
      </w:r>
      <w:r w:rsidR="00887CC7" w:rsidRPr="005B37B4">
        <w:rPr>
          <w:rFonts w:ascii="Tahoma" w:hAnsi="Tahoma" w:cs="Tahoma"/>
          <w:sz w:val="24"/>
          <w:szCs w:val="24"/>
        </w:rPr>
        <w:t xml:space="preserve">UK </w:t>
      </w:r>
      <w:r w:rsidRPr="005B37B4">
        <w:rPr>
          <w:rFonts w:ascii="Tahoma" w:hAnsi="Tahoma" w:cs="Tahoma"/>
          <w:sz w:val="24"/>
          <w:szCs w:val="24"/>
        </w:rPr>
        <w:t>higher education</w:t>
      </w:r>
      <w:r w:rsidR="005C330A" w:rsidRPr="005B37B4">
        <w:rPr>
          <w:rFonts w:ascii="Tahoma" w:hAnsi="Tahoma" w:cs="Tahoma"/>
          <w:sz w:val="24"/>
          <w:szCs w:val="24"/>
        </w:rPr>
        <w:t xml:space="preserve"> policy reinforced the </w:t>
      </w:r>
      <w:r w:rsidR="009F71C4" w:rsidRPr="005B37B4">
        <w:rPr>
          <w:rFonts w:ascii="Tahoma" w:hAnsi="Tahoma" w:cs="Tahoma"/>
          <w:sz w:val="24"/>
          <w:szCs w:val="24"/>
        </w:rPr>
        <w:t>strength</w:t>
      </w:r>
      <w:r w:rsidR="005C330A" w:rsidRPr="005B37B4">
        <w:rPr>
          <w:rFonts w:ascii="Tahoma" w:hAnsi="Tahoma" w:cs="Tahoma"/>
          <w:sz w:val="24"/>
          <w:szCs w:val="24"/>
        </w:rPr>
        <w:t xml:space="preserve"> of universities as </w:t>
      </w:r>
      <w:r w:rsidR="001A67A0" w:rsidRPr="005B37B4">
        <w:rPr>
          <w:rFonts w:ascii="Tahoma" w:hAnsi="Tahoma" w:cs="Tahoma"/>
          <w:sz w:val="24"/>
          <w:szCs w:val="24"/>
        </w:rPr>
        <w:t>‘</w:t>
      </w:r>
      <w:r w:rsidR="005C330A" w:rsidRPr="005B37B4">
        <w:rPr>
          <w:rFonts w:ascii="Tahoma" w:hAnsi="Tahoma" w:cs="Tahoma"/>
          <w:sz w:val="24"/>
          <w:szCs w:val="24"/>
        </w:rPr>
        <w:t>anchor institutions</w:t>
      </w:r>
      <w:r w:rsidR="001A67A0" w:rsidRPr="005B37B4">
        <w:rPr>
          <w:rFonts w:ascii="Tahoma" w:hAnsi="Tahoma" w:cs="Tahoma"/>
          <w:sz w:val="24"/>
          <w:szCs w:val="24"/>
        </w:rPr>
        <w:t>’</w:t>
      </w:r>
      <w:r w:rsidR="005C330A" w:rsidRPr="005B37B4">
        <w:rPr>
          <w:rFonts w:ascii="Tahoma" w:hAnsi="Tahoma" w:cs="Tahoma"/>
          <w:sz w:val="24"/>
          <w:szCs w:val="24"/>
        </w:rPr>
        <w:t xml:space="preserve">, </w:t>
      </w:r>
      <w:r w:rsidR="004E663D" w:rsidRPr="005B37B4">
        <w:rPr>
          <w:rFonts w:ascii="Tahoma" w:hAnsi="Tahoma" w:cs="Tahoma"/>
          <w:sz w:val="24"/>
          <w:szCs w:val="24"/>
        </w:rPr>
        <w:t>emphasi</w:t>
      </w:r>
      <w:r w:rsidR="00497EFE" w:rsidRPr="005B37B4">
        <w:rPr>
          <w:rFonts w:ascii="Tahoma" w:hAnsi="Tahoma" w:cs="Tahoma"/>
          <w:sz w:val="24"/>
          <w:szCs w:val="24"/>
        </w:rPr>
        <w:t>s</w:t>
      </w:r>
      <w:r w:rsidR="004E663D" w:rsidRPr="005B37B4">
        <w:rPr>
          <w:rFonts w:ascii="Tahoma" w:hAnsi="Tahoma" w:cs="Tahoma"/>
          <w:sz w:val="24"/>
          <w:szCs w:val="24"/>
        </w:rPr>
        <w:t>ing a</w:t>
      </w:r>
      <w:r w:rsidR="001A67A0" w:rsidRPr="005B37B4">
        <w:rPr>
          <w:rFonts w:ascii="Tahoma" w:hAnsi="Tahoma" w:cs="Tahoma"/>
          <w:sz w:val="24"/>
          <w:szCs w:val="24"/>
        </w:rPr>
        <w:t xml:space="preserve"> growing civic responsibility</w:t>
      </w:r>
      <w:r w:rsidR="00887CC7" w:rsidRPr="005B37B4">
        <w:rPr>
          <w:rFonts w:ascii="Tahoma" w:hAnsi="Tahoma" w:cs="Tahoma"/>
          <w:sz w:val="24"/>
          <w:szCs w:val="24"/>
        </w:rPr>
        <w:t>,</w:t>
      </w:r>
      <w:r w:rsidR="001A67A0" w:rsidRPr="005B37B4">
        <w:rPr>
          <w:rFonts w:ascii="Tahoma" w:hAnsi="Tahoma" w:cs="Tahoma"/>
          <w:sz w:val="24"/>
          <w:szCs w:val="24"/>
        </w:rPr>
        <w:t xml:space="preserve"> embrac</w:t>
      </w:r>
      <w:r w:rsidR="00887CC7" w:rsidRPr="005B37B4">
        <w:rPr>
          <w:rFonts w:ascii="Tahoma" w:hAnsi="Tahoma" w:cs="Tahoma"/>
          <w:sz w:val="24"/>
          <w:szCs w:val="24"/>
        </w:rPr>
        <w:t>ing</w:t>
      </w:r>
      <w:r w:rsidR="005C330A" w:rsidRPr="005B37B4">
        <w:rPr>
          <w:rFonts w:ascii="Tahoma" w:hAnsi="Tahoma" w:cs="Tahoma"/>
          <w:sz w:val="24"/>
          <w:szCs w:val="24"/>
        </w:rPr>
        <w:t xml:space="preserve"> </w:t>
      </w:r>
      <w:r w:rsidR="001A67A0" w:rsidRPr="005B37B4">
        <w:rPr>
          <w:rFonts w:ascii="Tahoma" w:hAnsi="Tahoma" w:cs="Tahoma"/>
          <w:sz w:val="24"/>
          <w:szCs w:val="24"/>
        </w:rPr>
        <w:t>a university’s</w:t>
      </w:r>
      <w:r w:rsidR="005C330A" w:rsidRPr="005B37B4">
        <w:rPr>
          <w:rFonts w:ascii="Tahoma" w:hAnsi="Tahoma" w:cs="Tahoma"/>
          <w:sz w:val="24"/>
          <w:szCs w:val="24"/>
        </w:rPr>
        <w:t xml:space="preserve"> </w:t>
      </w:r>
      <w:r w:rsidR="001A67A0" w:rsidRPr="005B37B4">
        <w:rPr>
          <w:rFonts w:ascii="Tahoma" w:hAnsi="Tahoma" w:cs="Tahoma"/>
          <w:sz w:val="24"/>
          <w:szCs w:val="24"/>
        </w:rPr>
        <w:t xml:space="preserve">ability to positively </w:t>
      </w:r>
      <w:r w:rsidR="005E189A" w:rsidRPr="005B37B4">
        <w:rPr>
          <w:rFonts w:ascii="Tahoma" w:hAnsi="Tahoma" w:cs="Tahoma"/>
          <w:sz w:val="24"/>
          <w:szCs w:val="24"/>
        </w:rPr>
        <w:t>change</w:t>
      </w:r>
      <w:r w:rsidR="005C330A" w:rsidRPr="005B37B4">
        <w:rPr>
          <w:rFonts w:ascii="Tahoma" w:hAnsi="Tahoma" w:cs="Tahoma"/>
          <w:sz w:val="24"/>
          <w:szCs w:val="24"/>
        </w:rPr>
        <w:t xml:space="preserve"> the economic, social, cultural and environmental wellbeing of </w:t>
      </w:r>
      <w:r w:rsidR="00E15D10" w:rsidRPr="005B37B4">
        <w:rPr>
          <w:rFonts w:ascii="Tahoma" w:hAnsi="Tahoma" w:cs="Tahoma"/>
          <w:sz w:val="24"/>
          <w:szCs w:val="24"/>
        </w:rPr>
        <w:t>its</w:t>
      </w:r>
      <w:r w:rsidR="005C330A" w:rsidRPr="005B37B4">
        <w:rPr>
          <w:rFonts w:ascii="Tahoma" w:hAnsi="Tahoma" w:cs="Tahoma"/>
          <w:sz w:val="24"/>
          <w:szCs w:val="24"/>
        </w:rPr>
        <w:t xml:space="preserve"> </w:t>
      </w:r>
      <w:r w:rsidR="001A67A0" w:rsidRPr="005B37B4">
        <w:rPr>
          <w:rFonts w:ascii="Tahoma" w:hAnsi="Tahoma" w:cs="Tahoma"/>
          <w:sz w:val="24"/>
          <w:szCs w:val="24"/>
        </w:rPr>
        <w:t>surrounding region</w:t>
      </w:r>
      <w:r w:rsidR="00720FD9" w:rsidRPr="005B37B4">
        <w:rPr>
          <w:rFonts w:ascii="Tahoma" w:hAnsi="Tahoma" w:cs="Tahoma"/>
          <w:sz w:val="24"/>
          <w:szCs w:val="24"/>
        </w:rPr>
        <w:t xml:space="preserve"> </w:t>
      </w:r>
      <w:r w:rsidR="003A5112" w:rsidRPr="005B37B4">
        <w:rPr>
          <w:rFonts w:ascii="Tahoma" w:hAnsi="Tahoma" w:cs="Tahoma"/>
          <w:sz w:val="24"/>
          <w:szCs w:val="24"/>
        </w:rPr>
        <w:fldChar w:fldCharType="begin" w:fldLock="1"/>
      </w:r>
      <w:r w:rsidR="008449C8">
        <w:rPr>
          <w:rFonts w:ascii="Tahoma" w:hAnsi="Tahoma" w:cs="Tahoma"/>
          <w:sz w:val="24"/>
          <w:szCs w:val="24"/>
        </w:rPr>
        <w:instrText>ADDIN CSL_CITATION {"citationItems":[{"id":"ITEM-1","itemData":{"URL":"https://upp-foundation.org/wp-content/uploads/2019/02/Civic-University-Commission-Final-Report.pdf","accessed":{"date-parts":[["2020","1","26"]]},"author":[{"dropping-particle":"","family":"UPP Foundation Civic University Commission","given":"","non-dropping-particle":"","parse-names":false,"suffix":""}],"id":"ITEM-1","issued":{"date-parts":[["2019"]]},"title":"Truly Civic: Strengthening the connection between universities and their places","type":"webpage"},"uris":["http://www.mendeley.com/documents/?uuid=483b17da-8a92-4efd-b970-cc6e683a9811"]}],"mendeley":{"formattedCitation":"(UPP Foundation Civic University Commission, 2019)","plainTextFormattedCitation":"(UPP Foundation Civic University Commission, 2019)","previouslyFormattedCitation":"(UPP Foundation Civic University Commission, 2019)"},"properties":{"noteIndex":0},"schema":"https://github.com/citation-style-language/schema/raw/master/csl-citation.json"}</w:instrText>
      </w:r>
      <w:r w:rsidR="003A5112" w:rsidRPr="005B37B4">
        <w:rPr>
          <w:rFonts w:ascii="Tahoma" w:hAnsi="Tahoma" w:cs="Tahoma"/>
          <w:sz w:val="24"/>
          <w:szCs w:val="24"/>
        </w:rPr>
        <w:fldChar w:fldCharType="separate"/>
      </w:r>
      <w:r w:rsidR="00720FD9" w:rsidRPr="005B37B4">
        <w:rPr>
          <w:rFonts w:ascii="Tahoma" w:hAnsi="Tahoma" w:cs="Tahoma"/>
          <w:noProof/>
          <w:sz w:val="24"/>
          <w:szCs w:val="24"/>
        </w:rPr>
        <w:t>(UPP Foundation Civic University Commission, 2019)</w:t>
      </w:r>
      <w:r w:rsidR="003A5112" w:rsidRPr="005B37B4">
        <w:rPr>
          <w:rFonts w:ascii="Tahoma" w:hAnsi="Tahoma" w:cs="Tahoma"/>
          <w:sz w:val="24"/>
          <w:szCs w:val="24"/>
        </w:rPr>
        <w:fldChar w:fldCharType="end"/>
      </w:r>
      <w:r w:rsidR="001A67A0" w:rsidRPr="005B37B4">
        <w:rPr>
          <w:rFonts w:ascii="Tahoma" w:hAnsi="Tahoma" w:cs="Tahoma"/>
          <w:sz w:val="24"/>
          <w:szCs w:val="24"/>
        </w:rPr>
        <w:t xml:space="preserve">. </w:t>
      </w:r>
      <w:r w:rsidR="0059153B" w:rsidRPr="005B37B4">
        <w:rPr>
          <w:rFonts w:ascii="Tahoma" w:hAnsi="Tahoma" w:cs="Tahoma"/>
          <w:sz w:val="24"/>
          <w:szCs w:val="24"/>
        </w:rPr>
        <w:t xml:space="preserve">Widening participation </w:t>
      </w:r>
      <w:r w:rsidR="00887CC7" w:rsidRPr="005B37B4">
        <w:rPr>
          <w:rFonts w:ascii="Tahoma" w:hAnsi="Tahoma" w:cs="Tahoma"/>
          <w:sz w:val="24"/>
          <w:szCs w:val="24"/>
        </w:rPr>
        <w:t>is</w:t>
      </w:r>
      <w:r w:rsidR="0059153B" w:rsidRPr="005B37B4">
        <w:rPr>
          <w:rFonts w:ascii="Tahoma" w:hAnsi="Tahoma" w:cs="Tahoma"/>
          <w:sz w:val="24"/>
          <w:szCs w:val="24"/>
        </w:rPr>
        <w:t xml:space="preserve"> </w:t>
      </w:r>
      <w:r w:rsidR="000E4159" w:rsidRPr="005B37B4">
        <w:rPr>
          <w:rFonts w:ascii="Tahoma" w:hAnsi="Tahoma" w:cs="Tahoma"/>
          <w:sz w:val="24"/>
          <w:szCs w:val="24"/>
        </w:rPr>
        <w:t>a</w:t>
      </w:r>
      <w:r w:rsidR="0059153B" w:rsidRPr="005B37B4">
        <w:rPr>
          <w:rFonts w:ascii="Tahoma" w:hAnsi="Tahoma" w:cs="Tahoma"/>
          <w:sz w:val="24"/>
          <w:szCs w:val="24"/>
        </w:rPr>
        <w:t xml:space="preserve"> key priorit</w:t>
      </w:r>
      <w:r w:rsidR="000E4159" w:rsidRPr="005B37B4">
        <w:rPr>
          <w:rFonts w:ascii="Tahoma" w:hAnsi="Tahoma" w:cs="Tahoma"/>
          <w:sz w:val="24"/>
          <w:szCs w:val="24"/>
        </w:rPr>
        <w:t>y</w:t>
      </w:r>
      <w:r w:rsidR="0059153B" w:rsidRPr="005B37B4">
        <w:rPr>
          <w:rFonts w:ascii="Tahoma" w:hAnsi="Tahoma" w:cs="Tahoma"/>
          <w:sz w:val="24"/>
          <w:szCs w:val="24"/>
        </w:rPr>
        <w:t xml:space="preserve"> </w:t>
      </w:r>
      <w:r w:rsidR="00356B71" w:rsidRPr="005B37B4">
        <w:rPr>
          <w:rFonts w:ascii="Tahoma" w:hAnsi="Tahoma" w:cs="Tahoma"/>
          <w:sz w:val="24"/>
          <w:szCs w:val="24"/>
        </w:rPr>
        <w:t>for</w:t>
      </w:r>
      <w:r w:rsidR="0059153B" w:rsidRPr="005B37B4">
        <w:rPr>
          <w:rFonts w:ascii="Tahoma" w:hAnsi="Tahoma" w:cs="Tahoma"/>
          <w:sz w:val="24"/>
          <w:szCs w:val="24"/>
        </w:rPr>
        <w:t xml:space="preserve"> the civic university</w:t>
      </w:r>
      <w:r w:rsidR="00E15D10" w:rsidRPr="005B37B4">
        <w:rPr>
          <w:rFonts w:ascii="Tahoma" w:hAnsi="Tahoma" w:cs="Tahoma"/>
          <w:sz w:val="24"/>
          <w:szCs w:val="24"/>
        </w:rPr>
        <w:t xml:space="preserve"> and</w:t>
      </w:r>
      <w:r w:rsidR="00CD5C70" w:rsidRPr="005B37B4">
        <w:rPr>
          <w:rFonts w:ascii="Tahoma" w:hAnsi="Tahoma" w:cs="Tahoma"/>
          <w:sz w:val="24"/>
          <w:szCs w:val="24"/>
        </w:rPr>
        <w:t xml:space="preserve"> can no longer be </w:t>
      </w:r>
      <w:r w:rsidR="00E15D10" w:rsidRPr="005B37B4">
        <w:rPr>
          <w:rFonts w:ascii="Tahoma" w:hAnsi="Tahoma" w:cs="Tahoma"/>
          <w:sz w:val="24"/>
          <w:szCs w:val="24"/>
        </w:rPr>
        <w:t>limit</w:t>
      </w:r>
      <w:r w:rsidR="00CD5C70" w:rsidRPr="005B37B4">
        <w:rPr>
          <w:rFonts w:ascii="Tahoma" w:hAnsi="Tahoma" w:cs="Tahoma"/>
          <w:sz w:val="24"/>
          <w:szCs w:val="24"/>
        </w:rPr>
        <w:t>ed</w:t>
      </w:r>
      <w:r w:rsidR="00E15D10" w:rsidRPr="005B37B4">
        <w:rPr>
          <w:rFonts w:ascii="Tahoma" w:hAnsi="Tahoma" w:cs="Tahoma"/>
          <w:sz w:val="24"/>
          <w:szCs w:val="24"/>
        </w:rPr>
        <w:t xml:space="preserve"> </w:t>
      </w:r>
      <w:r w:rsidR="00CD5C70" w:rsidRPr="005B37B4">
        <w:rPr>
          <w:rFonts w:ascii="Tahoma" w:hAnsi="Tahoma" w:cs="Tahoma"/>
          <w:sz w:val="24"/>
          <w:szCs w:val="24"/>
        </w:rPr>
        <w:t>t</w:t>
      </w:r>
      <w:r w:rsidR="00E15D10" w:rsidRPr="005B37B4">
        <w:rPr>
          <w:rFonts w:ascii="Tahoma" w:hAnsi="Tahoma" w:cs="Tahoma"/>
          <w:sz w:val="24"/>
          <w:szCs w:val="24"/>
        </w:rPr>
        <w:t>o</w:t>
      </w:r>
      <w:r w:rsidR="000D7107" w:rsidRPr="005B37B4">
        <w:rPr>
          <w:rFonts w:ascii="Tahoma" w:hAnsi="Tahoma" w:cs="Tahoma"/>
          <w:sz w:val="24"/>
          <w:szCs w:val="24"/>
        </w:rPr>
        <w:t xml:space="preserve"> </w:t>
      </w:r>
      <w:r w:rsidR="00887CC7" w:rsidRPr="005B37B4">
        <w:rPr>
          <w:rFonts w:ascii="Tahoma" w:hAnsi="Tahoma" w:cs="Tahoma"/>
          <w:sz w:val="24"/>
          <w:szCs w:val="24"/>
        </w:rPr>
        <w:t xml:space="preserve">recruitment </w:t>
      </w:r>
      <w:r w:rsidR="00E15D10" w:rsidRPr="005B37B4">
        <w:rPr>
          <w:rFonts w:ascii="Tahoma" w:hAnsi="Tahoma" w:cs="Tahoma"/>
          <w:sz w:val="24"/>
          <w:szCs w:val="24"/>
        </w:rPr>
        <w:t>activities</w:t>
      </w:r>
      <w:r w:rsidR="00CD5C70" w:rsidRPr="005B37B4">
        <w:rPr>
          <w:rFonts w:ascii="Tahoma" w:hAnsi="Tahoma" w:cs="Tahoma"/>
          <w:sz w:val="24"/>
          <w:szCs w:val="24"/>
        </w:rPr>
        <w:t>.</w:t>
      </w:r>
      <w:r w:rsidR="00E15D10" w:rsidRPr="005B37B4">
        <w:rPr>
          <w:rFonts w:ascii="Tahoma" w:hAnsi="Tahoma" w:cs="Tahoma"/>
          <w:sz w:val="24"/>
          <w:szCs w:val="24"/>
        </w:rPr>
        <w:t xml:space="preserve"> </w:t>
      </w:r>
    </w:p>
    <w:p w:rsidR="00887CC7" w:rsidRPr="005B37B4" w:rsidRDefault="00CD5C70" w:rsidP="00351480">
      <w:pPr>
        <w:spacing w:line="360" w:lineRule="auto"/>
        <w:rPr>
          <w:rFonts w:ascii="Tahoma" w:hAnsi="Tahoma" w:cs="Tahoma"/>
          <w:sz w:val="24"/>
          <w:szCs w:val="24"/>
        </w:rPr>
      </w:pPr>
      <w:r w:rsidRPr="005B37B4">
        <w:rPr>
          <w:rFonts w:ascii="Tahoma" w:hAnsi="Tahoma" w:cs="Tahoma"/>
          <w:sz w:val="24"/>
          <w:szCs w:val="24"/>
        </w:rPr>
        <w:t>The Philip Astley Project</w:t>
      </w:r>
      <w:r w:rsidR="00AC3D2C" w:rsidRPr="005B37B4">
        <w:rPr>
          <w:rFonts w:ascii="Tahoma" w:hAnsi="Tahoma" w:cs="Tahoma"/>
          <w:sz w:val="24"/>
          <w:szCs w:val="24"/>
        </w:rPr>
        <w:t xml:space="preserve"> </w:t>
      </w:r>
      <w:r w:rsidR="00411326" w:rsidRPr="005B37B4">
        <w:rPr>
          <w:rFonts w:ascii="Tahoma" w:hAnsi="Tahoma" w:cs="Tahoma"/>
          <w:sz w:val="24"/>
          <w:szCs w:val="24"/>
        </w:rPr>
        <w:t>offers</w:t>
      </w:r>
      <w:r w:rsidR="00FB2EC1" w:rsidRPr="005B37B4">
        <w:rPr>
          <w:rFonts w:ascii="Tahoma" w:hAnsi="Tahoma" w:cs="Tahoma"/>
          <w:sz w:val="24"/>
          <w:szCs w:val="24"/>
        </w:rPr>
        <w:t xml:space="preserve"> </w:t>
      </w:r>
      <w:r w:rsidR="00C55949" w:rsidRPr="005B37B4">
        <w:rPr>
          <w:rFonts w:ascii="Tahoma" w:hAnsi="Tahoma" w:cs="Tahoma"/>
          <w:sz w:val="24"/>
          <w:szCs w:val="24"/>
        </w:rPr>
        <w:t xml:space="preserve">a potential for </w:t>
      </w:r>
      <w:r w:rsidR="00FF31E0" w:rsidRPr="005B37B4">
        <w:rPr>
          <w:rFonts w:ascii="Tahoma" w:hAnsi="Tahoma" w:cs="Tahoma"/>
          <w:sz w:val="24"/>
          <w:szCs w:val="24"/>
        </w:rPr>
        <w:t xml:space="preserve">institutions </w:t>
      </w:r>
      <w:r w:rsidR="000D5663" w:rsidRPr="005B37B4">
        <w:rPr>
          <w:rFonts w:ascii="Tahoma" w:hAnsi="Tahoma" w:cs="Tahoma"/>
          <w:sz w:val="24"/>
          <w:szCs w:val="24"/>
        </w:rPr>
        <w:t>embrac</w:t>
      </w:r>
      <w:r w:rsidR="00C55949" w:rsidRPr="005B37B4">
        <w:rPr>
          <w:rFonts w:ascii="Tahoma" w:hAnsi="Tahoma" w:cs="Tahoma"/>
          <w:sz w:val="24"/>
          <w:szCs w:val="24"/>
        </w:rPr>
        <w:t>ing</w:t>
      </w:r>
      <w:r w:rsidR="000D5663" w:rsidRPr="005B37B4">
        <w:rPr>
          <w:rFonts w:ascii="Tahoma" w:hAnsi="Tahoma" w:cs="Tahoma"/>
          <w:sz w:val="24"/>
          <w:szCs w:val="24"/>
        </w:rPr>
        <w:t xml:space="preserve"> an </w:t>
      </w:r>
      <w:r w:rsidR="00FF31E0" w:rsidRPr="005B37B4">
        <w:rPr>
          <w:rFonts w:ascii="Tahoma" w:hAnsi="Tahoma" w:cs="Tahoma"/>
          <w:sz w:val="24"/>
          <w:szCs w:val="24"/>
        </w:rPr>
        <w:t>extend</w:t>
      </w:r>
      <w:r w:rsidR="000D5663" w:rsidRPr="005B37B4">
        <w:rPr>
          <w:rFonts w:ascii="Tahoma" w:hAnsi="Tahoma" w:cs="Tahoma"/>
          <w:sz w:val="24"/>
          <w:szCs w:val="24"/>
        </w:rPr>
        <w:t xml:space="preserve">ed </w:t>
      </w:r>
      <w:r w:rsidR="00887CC7" w:rsidRPr="005B37B4">
        <w:rPr>
          <w:rFonts w:ascii="Tahoma" w:hAnsi="Tahoma" w:cs="Tahoma"/>
          <w:sz w:val="24"/>
          <w:szCs w:val="24"/>
        </w:rPr>
        <w:t>vision</w:t>
      </w:r>
      <w:r w:rsidR="000D5663" w:rsidRPr="005B37B4">
        <w:rPr>
          <w:rFonts w:ascii="Tahoma" w:hAnsi="Tahoma" w:cs="Tahoma"/>
          <w:sz w:val="24"/>
          <w:szCs w:val="24"/>
        </w:rPr>
        <w:t xml:space="preserve"> of widening</w:t>
      </w:r>
      <w:r w:rsidR="00FF31E0" w:rsidRPr="005B37B4">
        <w:rPr>
          <w:rFonts w:ascii="Tahoma" w:hAnsi="Tahoma" w:cs="Tahoma"/>
          <w:sz w:val="24"/>
          <w:szCs w:val="24"/>
        </w:rPr>
        <w:t xml:space="preserve"> participation</w:t>
      </w:r>
      <w:r w:rsidR="000D5663" w:rsidRPr="005B37B4">
        <w:rPr>
          <w:rFonts w:ascii="Tahoma" w:hAnsi="Tahoma" w:cs="Tahoma"/>
          <w:sz w:val="24"/>
          <w:szCs w:val="24"/>
        </w:rPr>
        <w:t>.</w:t>
      </w:r>
      <w:bookmarkEnd w:id="1"/>
      <w:bookmarkEnd w:id="2"/>
      <w:r w:rsidR="00584794" w:rsidRPr="000221B9">
        <w:rPr>
          <w:rFonts w:ascii="Tahoma" w:hAnsi="Tahoma" w:cs="Tahoma"/>
          <w:sz w:val="24"/>
          <w:szCs w:val="24"/>
        </w:rPr>
        <w:t xml:space="preserve"> </w:t>
      </w:r>
      <w:r w:rsidR="000221B9" w:rsidRPr="000221B9">
        <w:rPr>
          <w:rFonts w:ascii="Tahoma" w:hAnsi="Tahoma" w:cs="Tahoma"/>
          <w:sz w:val="24"/>
          <w:szCs w:val="24"/>
        </w:rPr>
        <w:t xml:space="preserve">The work </w:t>
      </w:r>
      <w:r w:rsidR="000221B9">
        <w:rPr>
          <w:rFonts w:ascii="Tahoma" w:hAnsi="Tahoma" w:cs="Tahoma"/>
          <w:sz w:val="24"/>
          <w:szCs w:val="24"/>
        </w:rPr>
        <w:t>involved</w:t>
      </w:r>
      <w:r w:rsidR="000221B9" w:rsidRPr="000221B9">
        <w:rPr>
          <w:rFonts w:ascii="Tahoma" w:hAnsi="Tahoma" w:cs="Tahoma"/>
          <w:sz w:val="24"/>
          <w:szCs w:val="24"/>
        </w:rPr>
        <w:t xml:space="preserve"> overlaps in </w:t>
      </w:r>
      <w:r w:rsidR="000221B9" w:rsidRPr="005B37B4">
        <w:rPr>
          <w:rFonts w:ascii="Tahoma" w:hAnsi="Tahoma" w:cs="Tahoma"/>
          <w:sz w:val="24"/>
          <w:szCs w:val="24"/>
        </w:rPr>
        <w:t>teaching, research and engagement</w:t>
      </w:r>
      <w:r w:rsidR="00584794" w:rsidRPr="005B37B4">
        <w:rPr>
          <w:rFonts w:ascii="Tahoma" w:hAnsi="Tahoma" w:cs="Tahoma"/>
          <w:sz w:val="24"/>
          <w:szCs w:val="24"/>
        </w:rPr>
        <w:t xml:space="preserve"> </w:t>
      </w:r>
      <w:r w:rsidR="000221B9">
        <w:rPr>
          <w:rFonts w:ascii="Tahoma" w:hAnsi="Tahoma" w:cs="Tahoma"/>
          <w:sz w:val="24"/>
          <w:szCs w:val="24"/>
        </w:rPr>
        <w:t xml:space="preserve">to </w:t>
      </w:r>
      <w:r w:rsidR="00584794" w:rsidRPr="005B37B4">
        <w:rPr>
          <w:rFonts w:ascii="Tahoma" w:hAnsi="Tahoma" w:cs="Tahoma"/>
          <w:sz w:val="24"/>
          <w:szCs w:val="24"/>
        </w:rPr>
        <w:t xml:space="preserve">deliver social, cultural and economic benefits. Almost 29,000 people </w:t>
      </w:r>
      <w:r w:rsidR="000221B9">
        <w:rPr>
          <w:rFonts w:ascii="Tahoma" w:hAnsi="Tahoma" w:cs="Tahoma"/>
          <w:sz w:val="24"/>
          <w:szCs w:val="24"/>
        </w:rPr>
        <w:t>took part</w:t>
      </w:r>
      <w:r w:rsidR="00584794" w:rsidRPr="005B37B4">
        <w:rPr>
          <w:rFonts w:ascii="Tahoma" w:hAnsi="Tahoma" w:cs="Tahoma"/>
          <w:sz w:val="24"/>
          <w:szCs w:val="24"/>
        </w:rPr>
        <w:t xml:space="preserve"> in 47 activities</w:t>
      </w:r>
      <w:r w:rsidR="000221B9">
        <w:rPr>
          <w:rFonts w:ascii="Tahoma" w:hAnsi="Tahoma" w:cs="Tahoma"/>
          <w:sz w:val="24"/>
          <w:szCs w:val="24"/>
        </w:rPr>
        <w:t>, while</w:t>
      </w:r>
      <w:r w:rsidR="000221B9" w:rsidRPr="000221B9">
        <w:rPr>
          <w:rFonts w:ascii="Tahoma" w:hAnsi="Tahoma" w:cs="Tahoma"/>
          <w:sz w:val="24"/>
          <w:szCs w:val="24"/>
        </w:rPr>
        <w:t xml:space="preserve"> more than 200 staff and students became involved in arts, culture and voluntary activities.</w:t>
      </w:r>
      <w:r w:rsidR="000221B9">
        <w:rPr>
          <w:rFonts w:ascii="Arial" w:hAnsi="Arial" w:cs="Arial"/>
          <w:sz w:val="24"/>
          <w:szCs w:val="24"/>
        </w:rPr>
        <w:t xml:space="preserve"> </w:t>
      </w:r>
    </w:p>
    <w:p w:rsidR="00D651FE" w:rsidRPr="005B37B4" w:rsidRDefault="00D651FE" w:rsidP="00351480">
      <w:pPr>
        <w:spacing w:line="360" w:lineRule="auto"/>
        <w:rPr>
          <w:rFonts w:ascii="Tahoma" w:hAnsi="Tahoma" w:cs="Tahoma"/>
          <w:sz w:val="24"/>
          <w:szCs w:val="24"/>
        </w:rPr>
      </w:pPr>
      <w:r w:rsidRPr="005B37B4">
        <w:rPr>
          <w:rFonts w:ascii="Tahoma" w:hAnsi="Tahoma" w:cs="Tahoma"/>
          <w:b/>
          <w:sz w:val="24"/>
          <w:szCs w:val="24"/>
        </w:rPr>
        <w:t xml:space="preserve">Key words: </w:t>
      </w:r>
      <w:r w:rsidRPr="005B37B4">
        <w:rPr>
          <w:rFonts w:ascii="Tahoma" w:hAnsi="Tahoma" w:cs="Tahoma"/>
          <w:sz w:val="24"/>
          <w:szCs w:val="24"/>
        </w:rPr>
        <w:t>Widening Participation, Civic University, Culture 3.0, Anchor Institution, Cultural Heritage, Knowledge Exchange, Community Engagement</w:t>
      </w:r>
      <w:r w:rsidR="00843C19" w:rsidRPr="005B37B4">
        <w:rPr>
          <w:rFonts w:ascii="Tahoma" w:hAnsi="Tahoma" w:cs="Tahoma"/>
          <w:sz w:val="24"/>
          <w:szCs w:val="24"/>
        </w:rPr>
        <w:t>.</w:t>
      </w:r>
    </w:p>
    <w:p w:rsidR="00215BD3" w:rsidRDefault="00215BD3" w:rsidP="00351480">
      <w:pPr>
        <w:spacing w:line="360" w:lineRule="auto"/>
        <w:rPr>
          <w:rFonts w:ascii="Tahoma" w:hAnsi="Tahoma" w:cs="Tahoma"/>
          <w:b/>
          <w:sz w:val="28"/>
          <w:szCs w:val="28"/>
        </w:rPr>
      </w:pPr>
    </w:p>
    <w:p w:rsidR="00D651FE" w:rsidRPr="005B37B4" w:rsidRDefault="00DC3071" w:rsidP="00351480">
      <w:pPr>
        <w:spacing w:line="360" w:lineRule="auto"/>
        <w:rPr>
          <w:rFonts w:ascii="Tahoma" w:hAnsi="Tahoma" w:cs="Tahoma"/>
          <w:b/>
          <w:sz w:val="28"/>
          <w:szCs w:val="28"/>
        </w:rPr>
      </w:pPr>
      <w:r>
        <w:rPr>
          <w:rFonts w:ascii="Tahoma" w:hAnsi="Tahoma" w:cs="Tahoma"/>
          <w:b/>
          <w:sz w:val="28"/>
          <w:szCs w:val="28"/>
        </w:rPr>
        <w:t>Introduction</w:t>
      </w:r>
    </w:p>
    <w:p w:rsidR="008835F7" w:rsidRPr="005B37B4" w:rsidRDefault="008835F7" w:rsidP="00351480">
      <w:pPr>
        <w:spacing w:line="360" w:lineRule="auto"/>
        <w:rPr>
          <w:rFonts w:ascii="Tahoma" w:hAnsi="Tahoma" w:cs="Tahoma"/>
          <w:sz w:val="24"/>
          <w:szCs w:val="24"/>
        </w:rPr>
      </w:pPr>
      <w:bookmarkStart w:id="4" w:name="_Hlk27334670"/>
      <w:r w:rsidRPr="005B37B4">
        <w:rPr>
          <w:rFonts w:ascii="Tahoma" w:hAnsi="Tahoma" w:cs="Tahoma"/>
          <w:sz w:val="24"/>
          <w:szCs w:val="24"/>
        </w:rPr>
        <w:t>This paper ex</w:t>
      </w:r>
      <w:r w:rsidR="001F3DA5" w:rsidRPr="005B37B4">
        <w:rPr>
          <w:rFonts w:ascii="Tahoma" w:hAnsi="Tahoma" w:cs="Tahoma"/>
          <w:sz w:val="24"/>
          <w:szCs w:val="24"/>
        </w:rPr>
        <w:t>plore</w:t>
      </w:r>
      <w:r w:rsidRPr="005B37B4">
        <w:rPr>
          <w:rFonts w:ascii="Tahoma" w:hAnsi="Tahoma" w:cs="Tahoma"/>
          <w:sz w:val="24"/>
          <w:szCs w:val="24"/>
        </w:rPr>
        <w:t>s how co-ownership and co-production research processes, as described in the Culture 3.0 conceptualisation, c</w:t>
      </w:r>
      <w:r w:rsidR="001F3DA5" w:rsidRPr="005B37B4">
        <w:rPr>
          <w:rFonts w:ascii="Tahoma" w:hAnsi="Tahoma" w:cs="Tahoma"/>
          <w:sz w:val="24"/>
          <w:szCs w:val="24"/>
        </w:rPr>
        <w:t>ould</w:t>
      </w:r>
      <w:r w:rsidRPr="005B37B4">
        <w:rPr>
          <w:rFonts w:ascii="Tahoma" w:hAnsi="Tahoma" w:cs="Tahoma"/>
          <w:sz w:val="24"/>
          <w:szCs w:val="24"/>
        </w:rPr>
        <w:t xml:space="preserve"> </w:t>
      </w:r>
      <w:r w:rsidR="00515A7B" w:rsidRPr="005B37B4">
        <w:rPr>
          <w:rFonts w:ascii="Tahoma" w:hAnsi="Tahoma" w:cs="Tahoma"/>
          <w:sz w:val="24"/>
          <w:szCs w:val="24"/>
        </w:rPr>
        <w:t xml:space="preserve">be employed in arts </w:t>
      </w:r>
      <w:r w:rsidR="00515A7B" w:rsidRPr="005B37B4">
        <w:rPr>
          <w:rFonts w:ascii="Tahoma" w:hAnsi="Tahoma" w:cs="Tahoma"/>
          <w:sz w:val="24"/>
          <w:szCs w:val="24"/>
        </w:rPr>
        <w:lastRenderedPageBreak/>
        <w:t xml:space="preserve">and cultural initiatives to </w:t>
      </w:r>
      <w:r w:rsidRPr="005B37B4">
        <w:rPr>
          <w:rFonts w:ascii="Tahoma" w:hAnsi="Tahoma" w:cs="Tahoma"/>
          <w:sz w:val="24"/>
          <w:szCs w:val="24"/>
        </w:rPr>
        <w:t xml:space="preserve">progress the </w:t>
      </w:r>
      <w:r w:rsidR="00D66154" w:rsidRPr="005B37B4">
        <w:rPr>
          <w:rFonts w:ascii="Tahoma" w:hAnsi="Tahoma" w:cs="Tahoma"/>
          <w:sz w:val="24"/>
          <w:szCs w:val="24"/>
        </w:rPr>
        <w:t>broad</w:t>
      </w:r>
      <w:r w:rsidRPr="005B37B4">
        <w:rPr>
          <w:rFonts w:ascii="Tahoma" w:hAnsi="Tahoma" w:cs="Tahoma"/>
          <w:sz w:val="24"/>
          <w:szCs w:val="24"/>
        </w:rPr>
        <w:t xml:space="preserve">er </w:t>
      </w:r>
      <w:r w:rsidR="003C6632">
        <w:rPr>
          <w:rFonts w:ascii="Tahoma" w:hAnsi="Tahoma" w:cs="Tahoma"/>
          <w:sz w:val="24"/>
          <w:szCs w:val="24"/>
        </w:rPr>
        <w:t>h</w:t>
      </w:r>
      <w:r w:rsidR="00515A7B" w:rsidRPr="005B37B4">
        <w:rPr>
          <w:rFonts w:ascii="Tahoma" w:hAnsi="Tahoma" w:cs="Tahoma"/>
          <w:sz w:val="24"/>
          <w:szCs w:val="24"/>
        </w:rPr>
        <w:t xml:space="preserve">igher </w:t>
      </w:r>
      <w:r w:rsidR="003C6632">
        <w:rPr>
          <w:rFonts w:ascii="Tahoma" w:hAnsi="Tahoma" w:cs="Tahoma"/>
          <w:sz w:val="24"/>
          <w:szCs w:val="24"/>
        </w:rPr>
        <w:t>e</w:t>
      </w:r>
      <w:r w:rsidR="00515A7B" w:rsidRPr="005B37B4">
        <w:rPr>
          <w:rFonts w:ascii="Tahoma" w:hAnsi="Tahoma" w:cs="Tahoma"/>
          <w:sz w:val="24"/>
          <w:szCs w:val="24"/>
        </w:rPr>
        <w:t xml:space="preserve">ducation </w:t>
      </w:r>
      <w:r w:rsidRPr="005B37B4">
        <w:rPr>
          <w:rFonts w:ascii="Tahoma" w:hAnsi="Tahoma" w:cs="Tahoma"/>
          <w:sz w:val="24"/>
          <w:szCs w:val="24"/>
        </w:rPr>
        <w:t>agendas of widening participation and civic involvement.</w:t>
      </w:r>
    </w:p>
    <w:p w:rsidR="00D72581" w:rsidRPr="005B37B4" w:rsidRDefault="00D72581" w:rsidP="00351480">
      <w:pPr>
        <w:spacing w:line="360" w:lineRule="auto"/>
        <w:rPr>
          <w:rFonts w:ascii="Tahoma" w:hAnsi="Tahoma" w:cs="Tahoma"/>
          <w:sz w:val="24"/>
          <w:szCs w:val="24"/>
        </w:rPr>
      </w:pPr>
      <w:r w:rsidRPr="005B37B4">
        <w:rPr>
          <w:rFonts w:ascii="Tahoma" w:hAnsi="Tahoma" w:cs="Tahoma"/>
          <w:sz w:val="24"/>
          <w:szCs w:val="24"/>
        </w:rPr>
        <w:t xml:space="preserve">The UPP Foundation’s report ‘Truly Civic: Strengthening the connection between universities and their places’ </w:t>
      </w:r>
      <w:r w:rsidR="00040498" w:rsidRPr="005B37B4">
        <w:rPr>
          <w:rFonts w:ascii="Tahoma" w:hAnsi="Tahoma" w:cs="Tahoma"/>
          <w:sz w:val="24"/>
          <w:szCs w:val="24"/>
        </w:rPr>
        <w:t xml:space="preserve">spurned a wider and deeper debate within </w:t>
      </w:r>
      <w:r w:rsidR="003C6632">
        <w:rPr>
          <w:rFonts w:ascii="Tahoma" w:hAnsi="Tahoma" w:cs="Tahoma"/>
          <w:sz w:val="24"/>
          <w:szCs w:val="24"/>
        </w:rPr>
        <w:t>h</w:t>
      </w:r>
      <w:r w:rsidR="00040498" w:rsidRPr="005B37B4">
        <w:rPr>
          <w:rFonts w:ascii="Tahoma" w:hAnsi="Tahoma" w:cs="Tahoma"/>
          <w:sz w:val="24"/>
          <w:szCs w:val="24"/>
        </w:rPr>
        <w:t xml:space="preserve">igher </w:t>
      </w:r>
      <w:r w:rsidR="003C6632">
        <w:rPr>
          <w:rFonts w:ascii="Tahoma" w:hAnsi="Tahoma" w:cs="Tahoma"/>
          <w:sz w:val="24"/>
          <w:szCs w:val="24"/>
        </w:rPr>
        <w:t>e</w:t>
      </w:r>
      <w:r w:rsidR="00040498" w:rsidRPr="005B37B4">
        <w:rPr>
          <w:rFonts w:ascii="Tahoma" w:hAnsi="Tahoma" w:cs="Tahoma"/>
          <w:sz w:val="24"/>
          <w:szCs w:val="24"/>
        </w:rPr>
        <w:t xml:space="preserve">ducation about the </w:t>
      </w:r>
      <w:r w:rsidRPr="005B37B4">
        <w:rPr>
          <w:rFonts w:ascii="Tahoma" w:hAnsi="Tahoma" w:cs="Tahoma"/>
          <w:sz w:val="24"/>
          <w:szCs w:val="24"/>
        </w:rPr>
        <w:t>relationship between universities and the communities in which they are located</w:t>
      </w:r>
      <w:r w:rsidR="00EC664D" w:rsidRPr="005B37B4">
        <w:rPr>
          <w:rFonts w:ascii="Tahoma" w:hAnsi="Tahoma" w:cs="Tahoma"/>
          <w:sz w:val="24"/>
          <w:szCs w:val="24"/>
        </w:rPr>
        <w:t>. It broadened the debate around the purpose of universities away from centres of knowledge, education and skill-based training</w:t>
      </w:r>
      <w:r w:rsidR="006D49A7" w:rsidRPr="005B37B4">
        <w:rPr>
          <w:rFonts w:ascii="Tahoma" w:hAnsi="Tahoma" w:cs="Tahoma"/>
          <w:sz w:val="24"/>
          <w:szCs w:val="24"/>
        </w:rPr>
        <w:t>,</w:t>
      </w:r>
      <w:r w:rsidR="00EC664D" w:rsidRPr="005B37B4">
        <w:rPr>
          <w:rFonts w:ascii="Tahoma" w:hAnsi="Tahoma" w:cs="Tahoma"/>
          <w:sz w:val="24"/>
          <w:szCs w:val="24"/>
        </w:rPr>
        <w:t xml:space="preserve"> towards a vision of universities as </w:t>
      </w:r>
      <w:r w:rsidRPr="005B37B4">
        <w:rPr>
          <w:rFonts w:ascii="Tahoma" w:hAnsi="Tahoma" w:cs="Tahoma"/>
          <w:sz w:val="24"/>
          <w:szCs w:val="24"/>
        </w:rPr>
        <w:t>‘anchors’ for social and economic regeneration in their localities</w:t>
      </w:r>
      <w:r w:rsidR="00EC664D" w:rsidRPr="005B37B4">
        <w:rPr>
          <w:rFonts w:ascii="Tahoma" w:hAnsi="Tahoma" w:cs="Tahoma"/>
          <w:sz w:val="24"/>
          <w:szCs w:val="24"/>
        </w:rPr>
        <w:t xml:space="preserve"> </w:t>
      </w:r>
      <w:r w:rsidR="003A5112" w:rsidRPr="005B37B4">
        <w:rPr>
          <w:rFonts w:ascii="Tahoma" w:hAnsi="Tahoma" w:cs="Tahoma"/>
          <w:sz w:val="24"/>
          <w:szCs w:val="24"/>
        </w:rPr>
        <w:fldChar w:fldCharType="begin" w:fldLock="1"/>
      </w:r>
      <w:r w:rsidR="008449C8">
        <w:rPr>
          <w:rFonts w:ascii="Tahoma" w:hAnsi="Tahoma" w:cs="Tahoma"/>
          <w:sz w:val="24"/>
          <w:szCs w:val="24"/>
        </w:rPr>
        <w:instrText>ADDIN CSL_CITATION {"citationItems":[{"id":"ITEM-1","itemData":{"URL":"https://upp-foundation.org/wp-content/uploads/2019/02/Civic-University-Commission-Final-Report.pdf","accessed":{"date-parts":[["2020","1","26"]]},"author":[{"dropping-particle":"","family":"UPP Foundation Civic University Commission","given":"","non-dropping-particle":"","parse-names":false,"suffix":""}],"id":"ITEM-1","issued":{"date-parts":[["2019"]]},"title":"Truly Civic: Strengthening the connection between universities and their places","type":"webpage"},"uris":["http://www.mendeley.com/documents/?uuid=483b17da-8a92-4efd-b970-cc6e683a9811"]}],"mendeley":{"formattedCitation":"(UPP Foundation Civic University Commission, 2019)","plainTextFormattedCitation":"(UPP Foundation Civic University Commission, 2019)","previouslyFormattedCitation":"(UPP Foundation Civic University Commission, 2019)"},"properties":{"noteIndex":0},"schema":"https://github.com/citation-style-language/schema/raw/master/csl-citation.json"}</w:instrText>
      </w:r>
      <w:r w:rsidR="003A5112" w:rsidRPr="005B37B4">
        <w:rPr>
          <w:rFonts w:ascii="Tahoma" w:hAnsi="Tahoma" w:cs="Tahoma"/>
          <w:sz w:val="24"/>
          <w:szCs w:val="24"/>
        </w:rPr>
        <w:fldChar w:fldCharType="separate"/>
      </w:r>
      <w:r w:rsidR="00EC664D" w:rsidRPr="005B37B4">
        <w:rPr>
          <w:rFonts w:ascii="Tahoma" w:hAnsi="Tahoma" w:cs="Tahoma"/>
          <w:noProof/>
          <w:sz w:val="24"/>
          <w:szCs w:val="24"/>
        </w:rPr>
        <w:t>(UPP Foundation Civic University Commission, 2019)</w:t>
      </w:r>
      <w:r w:rsidR="003A5112" w:rsidRPr="005B37B4">
        <w:rPr>
          <w:rFonts w:ascii="Tahoma" w:hAnsi="Tahoma" w:cs="Tahoma"/>
          <w:sz w:val="24"/>
          <w:szCs w:val="24"/>
        </w:rPr>
        <w:fldChar w:fldCharType="end"/>
      </w:r>
      <w:r w:rsidRPr="005B37B4">
        <w:rPr>
          <w:rFonts w:ascii="Tahoma" w:hAnsi="Tahoma" w:cs="Tahoma"/>
          <w:sz w:val="24"/>
          <w:szCs w:val="24"/>
        </w:rPr>
        <w:t>.</w:t>
      </w:r>
    </w:p>
    <w:p w:rsidR="001C53B9" w:rsidRPr="005B37B4" w:rsidRDefault="001C53B9" w:rsidP="00351480">
      <w:pPr>
        <w:spacing w:line="360" w:lineRule="auto"/>
        <w:rPr>
          <w:rFonts w:ascii="Tahoma" w:hAnsi="Tahoma" w:cs="Tahoma"/>
          <w:sz w:val="24"/>
          <w:szCs w:val="24"/>
        </w:rPr>
      </w:pPr>
      <w:r w:rsidRPr="005B37B4">
        <w:rPr>
          <w:rFonts w:ascii="Tahoma" w:hAnsi="Tahoma" w:cs="Tahoma"/>
          <w:sz w:val="24"/>
          <w:szCs w:val="24"/>
        </w:rPr>
        <w:t xml:space="preserve">In ‘The Civic University’ Goddard </w:t>
      </w:r>
      <w:bookmarkStart w:id="5" w:name="_Hlk30260440"/>
      <w:r w:rsidR="007C24C2" w:rsidRPr="005B37B4">
        <w:rPr>
          <w:rFonts w:ascii="Tahoma" w:hAnsi="Tahoma" w:cs="Tahoma"/>
          <w:sz w:val="24"/>
          <w:szCs w:val="24"/>
        </w:rPr>
        <w:t xml:space="preserve">argues for strengthening external </w:t>
      </w:r>
      <w:r w:rsidRPr="005B37B4">
        <w:rPr>
          <w:rFonts w:ascii="Tahoma" w:hAnsi="Tahoma" w:cs="Tahoma"/>
          <w:sz w:val="24"/>
          <w:szCs w:val="24"/>
        </w:rPr>
        <w:t xml:space="preserve">partnerships </w:t>
      </w:r>
      <w:r w:rsidR="007C24C2" w:rsidRPr="005B37B4">
        <w:rPr>
          <w:rFonts w:ascii="Tahoma" w:hAnsi="Tahoma" w:cs="Tahoma"/>
          <w:sz w:val="24"/>
          <w:szCs w:val="24"/>
        </w:rPr>
        <w:t>through</w:t>
      </w:r>
      <w:r w:rsidRPr="005B37B4">
        <w:rPr>
          <w:rFonts w:ascii="Tahoma" w:hAnsi="Tahoma" w:cs="Tahoma"/>
          <w:sz w:val="24"/>
          <w:szCs w:val="24"/>
        </w:rPr>
        <w:t xml:space="preserve"> collaborative projects in which </w:t>
      </w:r>
      <w:r w:rsidR="003C6632">
        <w:rPr>
          <w:rFonts w:ascii="Tahoma" w:hAnsi="Tahoma" w:cs="Tahoma"/>
          <w:sz w:val="24"/>
          <w:szCs w:val="24"/>
        </w:rPr>
        <w:t>all involved</w:t>
      </w:r>
      <w:r w:rsidRPr="005B37B4">
        <w:rPr>
          <w:rFonts w:ascii="Tahoma" w:hAnsi="Tahoma" w:cs="Tahoma"/>
          <w:sz w:val="24"/>
          <w:szCs w:val="24"/>
        </w:rPr>
        <w:t xml:space="preserve"> ha</w:t>
      </w:r>
      <w:r w:rsidR="003C6632">
        <w:rPr>
          <w:rFonts w:ascii="Tahoma" w:hAnsi="Tahoma" w:cs="Tahoma"/>
          <w:sz w:val="24"/>
          <w:szCs w:val="24"/>
        </w:rPr>
        <w:t>ve</w:t>
      </w:r>
      <w:r w:rsidRPr="005B37B4">
        <w:rPr>
          <w:rFonts w:ascii="Tahoma" w:hAnsi="Tahoma" w:cs="Tahoma"/>
          <w:sz w:val="24"/>
          <w:szCs w:val="24"/>
        </w:rPr>
        <w:t xml:space="preserve"> a vested interest</w:t>
      </w:r>
      <w:r w:rsidR="003B5E7D" w:rsidRPr="005B37B4">
        <w:rPr>
          <w:rFonts w:ascii="Tahoma" w:hAnsi="Tahoma" w:cs="Tahoma"/>
          <w:sz w:val="24"/>
          <w:szCs w:val="24"/>
        </w:rPr>
        <w:t>, thus</w:t>
      </w:r>
      <w:r w:rsidRPr="005B37B4">
        <w:rPr>
          <w:rFonts w:ascii="Tahoma" w:hAnsi="Tahoma" w:cs="Tahoma"/>
          <w:sz w:val="24"/>
          <w:szCs w:val="24"/>
        </w:rPr>
        <w:t xml:space="preserve"> creat</w:t>
      </w:r>
      <w:r w:rsidR="003B5E7D" w:rsidRPr="005B37B4">
        <w:rPr>
          <w:rFonts w:ascii="Tahoma" w:hAnsi="Tahoma" w:cs="Tahoma"/>
          <w:sz w:val="24"/>
          <w:szCs w:val="24"/>
        </w:rPr>
        <w:t>ing</w:t>
      </w:r>
      <w:r w:rsidRPr="005B37B4">
        <w:rPr>
          <w:rFonts w:ascii="Tahoma" w:hAnsi="Tahoma" w:cs="Tahoma"/>
          <w:sz w:val="24"/>
          <w:szCs w:val="24"/>
        </w:rPr>
        <w:t xml:space="preserve"> a ‘win-win’ situation </w:t>
      </w:r>
      <w:r w:rsidR="003B5E7D" w:rsidRPr="005B37B4">
        <w:rPr>
          <w:rFonts w:ascii="Tahoma" w:hAnsi="Tahoma" w:cs="Tahoma"/>
          <w:sz w:val="24"/>
          <w:szCs w:val="24"/>
        </w:rPr>
        <w:t>making both initial engagement and</w:t>
      </w:r>
      <w:r w:rsidRPr="005B37B4">
        <w:rPr>
          <w:rFonts w:ascii="Tahoma" w:hAnsi="Tahoma" w:cs="Tahoma"/>
          <w:sz w:val="24"/>
          <w:szCs w:val="24"/>
        </w:rPr>
        <w:t xml:space="preserve"> long-term sustainability</w:t>
      </w:r>
      <w:r w:rsidR="003B5E7D" w:rsidRPr="005B37B4">
        <w:rPr>
          <w:rFonts w:ascii="Tahoma" w:hAnsi="Tahoma" w:cs="Tahoma"/>
          <w:sz w:val="24"/>
          <w:szCs w:val="24"/>
        </w:rPr>
        <w:t xml:space="preserve"> more likely</w:t>
      </w:r>
      <w:r w:rsidRPr="005B37B4">
        <w:rPr>
          <w:rFonts w:ascii="Tahoma" w:hAnsi="Tahoma" w:cs="Tahoma"/>
          <w:sz w:val="24"/>
          <w:szCs w:val="24"/>
        </w:rPr>
        <w:t xml:space="preserve"> </w:t>
      </w:r>
      <w:r w:rsidR="003A5112" w:rsidRPr="005B37B4">
        <w:rPr>
          <w:rFonts w:ascii="Tahoma" w:hAnsi="Tahoma" w:cs="Tahoma"/>
          <w:sz w:val="24"/>
          <w:szCs w:val="24"/>
        </w:rPr>
        <w:fldChar w:fldCharType="begin" w:fldLock="1"/>
      </w:r>
      <w:r w:rsidR="00B60449">
        <w:rPr>
          <w:rFonts w:ascii="Tahoma" w:hAnsi="Tahoma" w:cs="Tahoma"/>
          <w:sz w:val="24"/>
          <w:szCs w:val="24"/>
        </w:rPr>
        <w:instrText>ADDIN CSL_CITATION {"citationItems":[{"id":"ITEM-1","itemData":{"DOI":"10.4337/9781784717728.00008","ISBN":"9781784717711","author":[{"dropping-particle":"","family":"Goddard","given":"John","non-dropping-particle":"","parse-names":false,"suffix":""},{"dropping-particle":"","family":"Hazelkorn","given":"Ellen","non-dropping-particle":"","parse-names":false,"suffix":""},{"dropping-particle":"","family":"Kempton","given":"Louise","non-dropping-particle":"","parse-names":false,"suffix":""},{"dropping-particle":"","family":"Vallance","given":"Paul","non-dropping-particle":"","parse-names":false,"suffix":""}],"container-title":"The Civic University","id":"ITEM-1","issue":"November","issued":{"date-parts":[["2016"]]},"page":"3-15","title":"Introduction: why the civic university?","type":"article-journal"},"uris":["http://www.mendeley.com/documents/?uuid=27796b6d-ecbb-461c-a1ca-5964cae21076"]}],"mendeley":{"formattedCitation":"(Goddard et al., 2016)","plainTextFormattedCitation":"(Goddard et al., 2016)","previouslyFormattedCitation":"(Goddard et al., 2016)"},"properties":{"noteIndex":0},"schema":"https://github.com/citation-style-language/schema/raw/master/csl-citation.json"}</w:instrText>
      </w:r>
      <w:r w:rsidR="003A5112" w:rsidRPr="005B37B4">
        <w:rPr>
          <w:rFonts w:ascii="Tahoma" w:hAnsi="Tahoma" w:cs="Tahoma"/>
          <w:sz w:val="24"/>
          <w:szCs w:val="24"/>
        </w:rPr>
        <w:fldChar w:fldCharType="separate"/>
      </w:r>
      <w:r w:rsidRPr="003D1903">
        <w:rPr>
          <w:rFonts w:ascii="Tahoma" w:hAnsi="Tahoma" w:cs="Tahoma"/>
          <w:noProof/>
          <w:sz w:val="24"/>
          <w:szCs w:val="24"/>
        </w:rPr>
        <w:t>(Goddard et al., 2016)</w:t>
      </w:r>
      <w:r w:rsidR="003A5112" w:rsidRPr="005B37B4">
        <w:rPr>
          <w:rFonts w:ascii="Tahoma" w:hAnsi="Tahoma" w:cs="Tahoma"/>
          <w:sz w:val="24"/>
          <w:szCs w:val="24"/>
        </w:rPr>
        <w:fldChar w:fldCharType="end"/>
      </w:r>
      <w:bookmarkEnd w:id="5"/>
      <w:r w:rsidRPr="005B37B4">
        <w:rPr>
          <w:rFonts w:ascii="Tahoma" w:hAnsi="Tahoma" w:cs="Tahoma"/>
          <w:sz w:val="24"/>
          <w:szCs w:val="24"/>
        </w:rPr>
        <w:t>.</w:t>
      </w:r>
      <w:r w:rsidR="00A21EA5" w:rsidRPr="005B37B4">
        <w:rPr>
          <w:rFonts w:ascii="Tahoma" w:hAnsi="Tahoma" w:cs="Tahoma"/>
          <w:sz w:val="24"/>
          <w:szCs w:val="24"/>
        </w:rPr>
        <w:t xml:space="preserve"> In addition to  science parks, knowledge transfer hubs, and health initiatives</w:t>
      </w:r>
      <w:r w:rsidR="001F3DA5" w:rsidRPr="005B37B4">
        <w:rPr>
          <w:rFonts w:ascii="Tahoma" w:hAnsi="Tahoma" w:cs="Tahoma"/>
          <w:sz w:val="24"/>
          <w:szCs w:val="24"/>
        </w:rPr>
        <w:t>,</w:t>
      </w:r>
      <w:r w:rsidR="00A21EA5" w:rsidRPr="005B37B4">
        <w:rPr>
          <w:rFonts w:ascii="Tahoma" w:hAnsi="Tahoma" w:cs="Tahoma"/>
          <w:sz w:val="24"/>
          <w:szCs w:val="24"/>
        </w:rPr>
        <w:t xml:space="preserve"> Dunne and Lowe (2018) argue for recognition of </w:t>
      </w:r>
      <w:r w:rsidR="001960C5" w:rsidRPr="005B37B4">
        <w:rPr>
          <w:rFonts w:ascii="Tahoma" w:hAnsi="Tahoma" w:cs="Tahoma"/>
          <w:sz w:val="24"/>
          <w:szCs w:val="24"/>
        </w:rPr>
        <w:t xml:space="preserve">the importance of arts and cultural initiatives in creating </w:t>
      </w:r>
      <w:r w:rsidR="00A21EA5" w:rsidRPr="005B37B4">
        <w:rPr>
          <w:rFonts w:ascii="Tahoma" w:hAnsi="Tahoma" w:cs="Tahoma"/>
          <w:sz w:val="24"/>
          <w:szCs w:val="24"/>
        </w:rPr>
        <w:t xml:space="preserve">community </w:t>
      </w:r>
      <w:r w:rsidR="001960C5" w:rsidRPr="005B37B4">
        <w:rPr>
          <w:rFonts w:ascii="Tahoma" w:hAnsi="Tahoma" w:cs="Tahoma"/>
          <w:sz w:val="24"/>
          <w:szCs w:val="24"/>
        </w:rPr>
        <w:t xml:space="preserve">links </w:t>
      </w:r>
      <w:r w:rsidR="003A5112" w:rsidRPr="005B37B4">
        <w:rPr>
          <w:rFonts w:ascii="Tahoma" w:hAnsi="Tahoma" w:cs="Tahoma"/>
          <w:sz w:val="24"/>
          <w:szCs w:val="24"/>
        </w:rPr>
        <w:fldChar w:fldCharType="begin" w:fldLock="1"/>
      </w:r>
      <w:r w:rsidR="005D1D8D" w:rsidRPr="005B37B4">
        <w:rPr>
          <w:rFonts w:ascii="Tahoma" w:hAnsi="Tahoma" w:cs="Tahoma"/>
          <w:sz w:val="24"/>
          <w:szCs w:val="24"/>
        </w:rPr>
        <w:instrText>ADDIN CSL_CITATION {"citationItems":[{"id":"ITEM-1","itemData":{"DOI":"10.5456/wpll.20.2.51","ISSN":"1466-6529","abstract":"The paper will explore the concept of universities as a force for change and public good in their locality, and how this can be achieved through deeper and more transformational relationships with schools. Within the context of research and literature around the role of universities as anchors for regional economic and social regeneration, including the work of Goddard et al. (2013) and Calhoun (2006), it will explore how this work can contribute to the wider lifelong learning agenda. More recently UK policy changes (DfE, 2016), including a continuing drive towards the academisation of schools, have signaled a push for greater involvement of universities in schools and recent suggestions that this will be a requirement for future access agreements and fee increases. The paper will look in particular at how the University of Wolverhampton has pursued this agenda, in a region where school attainment is low, aspiration and HE participation are low, unemployment is high and skills levels are low (HM Treasury, 2015), and how this work can act as a catalyst for change. Having traditionally had a significant programme of activity around schools outreach and widening participation, alongside a strong track record in teacher education, the University of Wolverhampton moved into a set of formal relationships with schools, seeing this as a game changer for itself and for the local educational landscape. Over the last four years the university has sponsored 17 primary and secondary schools including university technical colleges (UTCs), pursuing transformational, rather than transactional, relationships and linking this work tightly to its wider mission and strategy around social mobility and opportunity. The paper will explore the potential benefits of this work for the different stakeholder groups, as well as some of the issues arising from these types of relationships, and will introduce a new model for school--university collaboration. [ABSTRACT FROM AUTHOR]","author":[{"dropping-particle":"","family":"Dunne","given":"Jackie","non-dropping-particle":"","parse-names":false,"suffix":""},{"dropping-particle":"","family":"Lowe","given":"Michelle","non-dropping-particle":"","parse-names":false,"suffix":""}],"container-title":"Widening Participation and Lifelong Learning","id":"ITEM-1","issue":"2","issued":{"date-parts":[["2018"]]},"page":"51-68","title":"The university as an 'anchor' for economic and social regeneration: beyond schools engagement","type":"article-journal","volume":"20"},"uris":["http://www.mendeley.com/documents/?uuid=d26645b9-78c5-46a2-8515-26ee5381c881"]}],"mendeley":{"formattedCitation":"(Dunne and Lowe, 2018)","plainTextFormattedCitation":"(Dunne and Lowe, 2018)","previouslyFormattedCitation":"(Dunne and Lowe, 2018)"},"properties":{"noteIndex":0},"schema":"https://github.com/citation-style-language/schema/raw/master/csl-citation.json"}</w:instrText>
      </w:r>
      <w:r w:rsidR="003A5112" w:rsidRPr="005B37B4">
        <w:rPr>
          <w:rFonts w:ascii="Tahoma" w:hAnsi="Tahoma" w:cs="Tahoma"/>
          <w:sz w:val="24"/>
          <w:szCs w:val="24"/>
        </w:rPr>
        <w:fldChar w:fldCharType="separate"/>
      </w:r>
      <w:r w:rsidR="001960C5" w:rsidRPr="005B37B4">
        <w:rPr>
          <w:rFonts w:ascii="Tahoma" w:hAnsi="Tahoma" w:cs="Tahoma"/>
          <w:noProof/>
          <w:sz w:val="24"/>
          <w:szCs w:val="24"/>
        </w:rPr>
        <w:t>(Dunne and Lowe, 2018)</w:t>
      </w:r>
      <w:r w:rsidR="003A5112" w:rsidRPr="005B37B4">
        <w:rPr>
          <w:rFonts w:ascii="Tahoma" w:hAnsi="Tahoma" w:cs="Tahoma"/>
          <w:sz w:val="24"/>
          <w:szCs w:val="24"/>
        </w:rPr>
        <w:fldChar w:fldCharType="end"/>
      </w:r>
      <w:r w:rsidR="001960C5" w:rsidRPr="005B37B4">
        <w:rPr>
          <w:rFonts w:ascii="Tahoma" w:hAnsi="Tahoma" w:cs="Tahoma"/>
          <w:sz w:val="24"/>
          <w:szCs w:val="24"/>
        </w:rPr>
        <w:t>.</w:t>
      </w:r>
      <w:r w:rsidR="00B7688D" w:rsidRPr="005B37B4">
        <w:rPr>
          <w:rFonts w:ascii="Tahoma" w:hAnsi="Tahoma" w:cs="Tahoma"/>
          <w:sz w:val="24"/>
          <w:szCs w:val="24"/>
        </w:rPr>
        <w:t xml:space="preserve"> </w:t>
      </w:r>
    </w:p>
    <w:p w:rsidR="00515A7B" w:rsidRPr="005B37B4" w:rsidRDefault="00515A7B" w:rsidP="00351480">
      <w:pPr>
        <w:spacing w:line="360" w:lineRule="auto"/>
        <w:rPr>
          <w:rFonts w:ascii="Tahoma" w:hAnsi="Tahoma" w:cs="Tahoma"/>
          <w:sz w:val="24"/>
          <w:szCs w:val="24"/>
        </w:rPr>
      </w:pPr>
      <w:r w:rsidRPr="00DC3071">
        <w:rPr>
          <w:rFonts w:ascii="Tahoma" w:hAnsi="Tahoma" w:cs="Tahoma"/>
          <w:sz w:val="24"/>
          <w:szCs w:val="24"/>
        </w:rPr>
        <w:t xml:space="preserve">The Philip Astley Project is an example of a multi-partner </w:t>
      </w:r>
      <w:r w:rsidR="001960C5" w:rsidRPr="00DC3071">
        <w:rPr>
          <w:rFonts w:ascii="Tahoma" w:hAnsi="Tahoma" w:cs="Tahoma"/>
          <w:sz w:val="24"/>
          <w:szCs w:val="24"/>
        </w:rPr>
        <w:t xml:space="preserve">arts and heritage </w:t>
      </w:r>
      <w:r w:rsidR="004D2417" w:rsidRPr="00DC3071">
        <w:rPr>
          <w:rFonts w:ascii="Tahoma" w:hAnsi="Tahoma" w:cs="Tahoma"/>
          <w:sz w:val="24"/>
          <w:szCs w:val="24"/>
        </w:rPr>
        <w:t>initiative</w:t>
      </w:r>
      <w:r w:rsidR="003B5E7D" w:rsidRPr="00DC3071">
        <w:rPr>
          <w:rFonts w:ascii="Tahoma" w:hAnsi="Tahoma" w:cs="Tahoma"/>
          <w:sz w:val="24"/>
          <w:szCs w:val="24"/>
        </w:rPr>
        <w:t>, co-ordinated by Staffordshire University</w:t>
      </w:r>
      <w:r w:rsidR="000F2579" w:rsidRPr="00DC3071">
        <w:rPr>
          <w:rFonts w:ascii="Tahoma" w:hAnsi="Tahoma" w:cs="Tahoma"/>
          <w:sz w:val="24"/>
          <w:szCs w:val="24"/>
        </w:rPr>
        <w:t xml:space="preserve"> for a</w:t>
      </w:r>
      <w:r w:rsidR="003B5E7D" w:rsidRPr="00DC3071">
        <w:rPr>
          <w:rFonts w:ascii="Tahoma" w:hAnsi="Tahoma" w:cs="Tahoma"/>
          <w:sz w:val="24"/>
          <w:szCs w:val="24"/>
        </w:rPr>
        <w:t xml:space="preserve"> </w:t>
      </w:r>
      <w:r w:rsidR="000F2579" w:rsidRPr="00DC3071">
        <w:rPr>
          <w:rFonts w:ascii="Tahoma" w:hAnsi="Tahoma" w:cs="Tahoma"/>
          <w:sz w:val="24"/>
          <w:szCs w:val="24"/>
        </w:rPr>
        <w:t>steering group of arts, heritage, statutory and educational organisations in the region. Research,</w:t>
      </w:r>
      <w:r w:rsidR="000F2579">
        <w:rPr>
          <w:rFonts w:ascii="Tahoma" w:hAnsi="Tahoma" w:cs="Tahoma"/>
          <w:sz w:val="24"/>
          <w:szCs w:val="24"/>
        </w:rPr>
        <w:t xml:space="preserve"> undertaken by the University for the project,</w:t>
      </w:r>
      <w:r w:rsidRPr="005B37B4">
        <w:rPr>
          <w:rFonts w:ascii="Tahoma" w:hAnsi="Tahoma" w:cs="Tahoma"/>
          <w:sz w:val="24"/>
          <w:szCs w:val="24"/>
        </w:rPr>
        <w:t xml:space="preserve"> made use of Culture 3.0 methods </w:t>
      </w:r>
      <w:r w:rsidR="003A5112" w:rsidRPr="005B37B4">
        <w:rPr>
          <w:rFonts w:ascii="Tahoma" w:hAnsi="Tahoma" w:cs="Tahoma"/>
          <w:sz w:val="24"/>
          <w:szCs w:val="24"/>
        </w:rPr>
        <w:fldChar w:fldCharType="begin" w:fldLock="1"/>
      </w:r>
      <w:r w:rsidR="00262D84" w:rsidRPr="005B37B4">
        <w:rPr>
          <w:rFonts w:ascii="Tahoma" w:hAnsi="Tahoma" w:cs="Tahoma"/>
          <w:sz w:val="24"/>
          <w:szCs w:val="24"/>
        </w:rPr>
        <w:instrText>ADDIN CSL_CITATION {"citationItems":[{"id":"ITEM-1","itemData":{"ISSN":"2175-8131","author":[{"dropping-particle":"","family":"Boehm","given":"Carola","non-dropping-particle":"","parse-names":false,"suffix":""}],"container-title":"REPERTÓRIO: Teatro &amp; Dança","id":"ITEM-1","issue":"27","issued":{"date-parts":[["2016"]]},"page":"37-48","title":"Academia in Culture 3.0: a Crime story of Death and Rebirth (but also of Curation, Innovation and Sector Mash-ups)","type":"article-journal","volume":"19"},"uris":["http://www.mendeley.com/documents/?uuid=0ffc4e48-c383-4b66-85db-cc2515de67c1"]}],"mendeley":{"formattedCitation":"(Boehm, 2016)","plainTextFormattedCitation":"(Boehm, 2016)","previouslyFormattedCitation":"(Boehm, 2016)"},"properties":{"noteIndex":0},"schema":"https://github.com/citation-style-language/schema/raw/master/csl-citation.json"}</w:instrText>
      </w:r>
      <w:r w:rsidR="003A5112" w:rsidRPr="005B37B4">
        <w:rPr>
          <w:rFonts w:ascii="Tahoma" w:hAnsi="Tahoma" w:cs="Tahoma"/>
          <w:sz w:val="24"/>
          <w:szCs w:val="24"/>
        </w:rPr>
        <w:fldChar w:fldCharType="separate"/>
      </w:r>
      <w:r w:rsidR="003B5E7D" w:rsidRPr="005B37B4">
        <w:rPr>
          <w:rFonts w:ascii="Tahoma" w:hAnsi="Tahoma" w:cs="Tahoma"/>
          <w:noProof/>
          <w:sz w:val="24"/>
          <w:szCs w:val="24"/>
        </w:rPr>
        <w:t>(Boehm, 2016)</w:t>
      </w:r>
      <w:r w:rsidR="003A5112" w:rsidRPr="005B37B4">
        <w:rPr>
          <w:rFonts w:ascii="Tahoma" w:hAnsi="Tahoma" w:cs="Tahoma"/>
          <w:sz w:val="24"/>
          <w:szCs w:val="24"/>
        </w:rPr>
        <w:fldChar w:fldCharType="end"/>
      </w:r>
      <w:r w:rsidRPr="005B37B4">
        <w:rPr>
          <w:rFonts w:ascii="Tahoma" w:hAnsi="Tahoma" w:cs="Tahoma"/>
          <w:sz w:val="24"/>
          <w:szCs w:val="24"/>
        </w:rPr>
        <w:t xml:space="preserve">, including the intentional use of co-creation, </w:t>
      </w:r>
      <w:r w:rsidR="003B5E7D" w:rsidRPr="005B37B4">
        <w:rPr>
          <w:rFonts w:ascii="Tahoma" w:hAnsi="Tahoma" w:cs="Tahoma"/>
          <w:sz w:val="24"/>
          <w:szCs w:val="24"/>
        </w:rPr>
        <w:t>non-linear research process</w:t>
      </w:r>
      <w:r w:rsidR="00000BD5" w:rsidRPr="005B37B4">
        <w:rPr>
          <w:rFonts w:ascii="Tahoma" w:hAnsi="Tahoma" w:cs="Tahoma"/>
          <w:sz w:val="24"/>
          <w:szCs w:val="24"/>
        </w:rPr>
        <w:t>es</w:t>
      </w:r>
      <w:r w:rsidR="00CE0D78" w:rsidRPr="005B37B4">
        <w:rPr>
          <w:rFonts w:ascii="Tahoma" w:hAnsi="Tahoma" w:cs="Tahoma"/>
          <w:sz w:val="24"/>
          <w:szCs w:val="24"/>
        </w:rPr>
        <w:t>,</w:t>
      </w:r>
      <w:r w:rsidR="00000BD5" w:rsidRPr="005B37B4">
        <w:rPr>
          <w:rFonts w:ascii="Tahoma" w:hAnsi="Tahoma" w:cs="Tahoma"/>
          <w:sz w:val="24"/>
          <w:szCs w:val="24"/>
        </w:rPr>
        <w:t xml:space="preserve"> to </w:t>
      </w:r>
      <w:r w:rsidR="000F2579">
        <w:rPr>
          <w:rFonts w:ascii="Tahoma" w:hAnsi="Tahoma" w:cs="Tahoma"/>
          <w:sz w:val="24"/>
          <w:szCs w:val="24"/>
        </w:rPr>
        <w:t>increase knowledge</w:t>
      </w:r>
      <w:r w:rsidR="00000BD5" w:rsidRPr="005B37B4">
        <w:rPr>
          <w:rFonts w:ascii="Tahoma" w:hAnsi="Tahoma" w:cs="Tahoma"/>
          <w:sz w:val="24"/>
          <w:szCs w:val="24"/>
        </w:rPr>
        <w:t xml:space="preserve"> and raise awareness of Newcastle-under-Lyme’s historical links </w:t>
      </w:r>
      <w:r w:rsidR="00986E10" w:rsidRPr="005B37B4">
        <w:rPr>
          <w:rFonts w:ascii="Tahoma" w:hAnsi="Tahoma" w:cs="Tahoma"/>
          <w:sz w:val="24"/>
          <w:szCs w:val="24"/>
        </w:rPr>
        <w:t>to circus.</w:t>
      </w:r>
      <w:r w:rsidR="00D637F0" w:rsidRPr="005B37B4">
        <w:rPr>
          <w:rFonts w:ascii="Tahoma" w:hAnsi="Tahoma" w:cs="Tahoma"/>
          <w:sz w:val="24"/>
          <w:szCs w:val="24"/>
        </w:rPr>
        <w:t xml:space="preserve"> </w:t>
      </w:r>
      <w:r w:rsidR="00B7688D" w:rsidRPr="005B37B4">
        <w:rPr>
          <w:rFonts w:ascii="Tahoma" w:hAnsi="Tahoma" w:cs="Tahoma"/>
          <w:sz w:val="24"/>
          <w:szCs w:val="24"/>
        </w:rPr>
        <w:t>Culture 3.0 frameworks call for a shift towards bi-directional knowledge exchange rather than unidirectional knowledge transfer, with increased emphasis on co-production, impact and benefit.</w:t>
      </w:r>
    </w:p>
    <w:p w:rsidR="00CA1126" w:rsidRPr="005B37B4" w:rsidRDefault="00CA1126" w:rsidP="00351480">
      <w:pPr>
        <w:spacing w:line="360" w:lineRule="auto"/>
        <w:rPr>
          <w:rFonts w:ascii="Tahoma" w:hAnsi="Tahoma" w:cs="Tahoma"/>
          <w:sz w:val="24"/>
          <w:szCs w:val="24"/>
        </w:rPr>
      </w:pPr>
      <w:r w:rsidRPr="005B37B4">
        <w:rPr>
          <w:rFonts w:ascii="Tahoma" w:hAnsi="Tahoma" w:cs="Tahoma"/>
          <w:sz w:val="24"/>
          <w:szCs w:val="24"/>
        </w:rPr>
        <w:t xml:space="preserve">This paper </w:t>
      </w:r>
      <w:r w:rsidR="0076087D" w:rsidRPr="005B37B4">
        <w:rPr>
          <w:rFonts w:ascii="Tahoma" w:hAnsi="Tahoma" w:cs="Tahoma"/>
          <w:sz w:val="24"/>
          <w:szCs w:val="24"/>
        </w:rPr>
        <w:t>gives an overview of</w:t>
      </w:r>
      <w:r w:rsidRPr="005B37B4">
        <w:rPr>
          <w:rFonts w:ascii="Tahoma" w:hAnsi="Tahoma" w:cs="Tahoma"/>
          <w:sz w:val="24"/>
          <w:szCs w:val="24"/>
        </w:rPr>
        <w:t xml:space="preserve"> </w:t>
      </w:r>
      <w:r w:rsidR="006D49A7" w:rsidRPr="005B37B4">
        <w:rPr>
          <w:rFonts w:ascii="Tahoma" w:hAnsi="Tahoma" w:cs="Tahoma"/>
          <w:sz w:val="24"/>
          <w:szCs w:val="24"/>
        </w:rPr>
        <w:t>how the project used</w:t>
      </w:r>
      <w:r w:rsidRPr="005B37B4">
        <w:rPr>
          <w:rFonts w:ascii="Tahoma" w:hAnsi="Tahoma" w:cs="Tahoma"/>
          <w:sz w:val="24"/>
          <w:szCs w:val="24"/>
        </w:rPr>
        <w:t xml:space="preserve"> </w:t>
      </w:r>
      <w:r w:rsidR="0076087D" w:rsidRPr="005B37B4">
        <w:rPr>
          <w:rFonts w:ascii="Tahoma" w:hAnsi="Tahoma" w:cs="Tahoma"/>
          <w:sz w:val="24"/>
          <w:szCs w:val="24"/>
        </w:rPr>
        <w:t>collaboration</w:t>
      </w:r>
      <w:r w:rsidR="003C6632">
        <w:rPr>
          <w:rFonts w:ascii="Tahoma" w:hAnsi="Tahoma" w:cs="Tahoma"/>
          <w:sz w:val="24"/>
          <w:szCs w:val="24"/>
        </w:rPr>
        <w:t>,</w:t>
      </w:r>
      <w:r w:rsidR="0076087D" w:rsidRPr="005B37B4">
        <w:rPr>
          <w:rFonts w:ascii="Tahoma" w:hAnsi="Tahoma" w:cs="Tahoma"/>
          <w:sz w:val="24"/>
          <w:szCs w:val="24"/>
        </w:rPr>
        <w:t xml:space="preserve"> </w:t>
      </w:r>
      <w:r w:rsidRPr="005B37B4">
        <w:rPr>
          <w:rFonts w:ascii="Tahoma" w:hAnsi="Tahoma" w:cs="Tahoma"/>
          <w:sz w:val="24"/>
          <w:szCs w:val="24"/>
        </w:rPr>
        <w:t xml:space="preserve">co-creation </w:t>
      </w:r>
      <w:r w:rsidR="0076087D" w:rsidRPr="005B37B4">
        <w:rPr>
          <w:rFonts w:ascii="Tahoma" w:hAnsi="Tahoma" w:cs="Tahoma"/>
          <w:sz w:val="24"/>
          <w:szCs w:val="24"/>
        </w:rPr>
        <w:t xml:space="preserve">research </w:t>
      </w:r>
      <w:r w:rsidRPr="005B37B4">
        <w:rPr>
          <w:rFonts w:ascii="Tahoma" w:hAnsi="Tahoma" w:cs="Tahoma"/>
          <w:sz w:val="24"/>
          <w:szCs w:val="24"/>
        </w:rPr>
        <w:t>processes</w:t>
      </w:r>
      <w:r w:rsidR="003C6632">
        <w:rPr>
          <w:rFonts w:ascii="Tahoma" w:hAnsi="Tahoma" w:cs="Tahoma"/>
          <w:sz w:val="24"/>
          <w:szCs w:val="24"/>
        </w:rPr>
        <w:t xml:space="preserve"> and student involvement</w:t>
      </w:r>
      <w:r w:rsidRPr="005B37B4">
        <w:rPr>
          <w:rFonts w:ascii="Tahoma" w:hAnsi="Tahoma" w:cs="Tahoma"/>
          <w:sz w:val="24"/>
          <w:szCs w:val="24"/>
        </w:rPr>
        <w:t xml:space="preserve"> </w:t>
      </w:r>
      <w:r w:rsidR="00BC2921" w:rsidRPr="005B37B4">
        <w:rPr>
          <w:rFonts w:ascii="Tahoma" w:hAnsi="Tahoma" w:cs="Tahoma"/>
          <w:sz w:val="24"/>
          <w:szCs w:val="24"/>
        </w:rPr>
        <w:t xml:space="preserve">within an arts and heritage context </w:t>
      </w:r>
      <w:r w:rsidRPr="005B37B4">
        <w:rPr>
          <w:rFonts w:ascii="Tahoma" w:hAnsi="Tahoma" w:cs="Tahoma"/>
          <w:sz w:val="24"/>
          <w:szCs w:val="24"/>
        </w:rPr>
        <w:t>to e</w:t>
      </w:r>
      <w:r w:rsidR="00BC2921" w:rsidRPr="005B37B4">
        <w:rPr>
          <w:rFonts w:ascii="Tahoma" w:hAnsi="Tahoma" w:cs="Tahoma"/>
          <w:sz w:val="24"/>
          <w:szCs w:val="24"/>
        </w:rPr>
        <w:t>stablish</w:t>
      </w:r>
      <w:r w:rsidRPr="005B37B4">
        <w:rPr>
          <w:rFonts w:ascii="Tahoma" w:hAnsi="Tahoma" w:cs="Tahoma"/>
          <w:sz w:val="24"/>
          <w:szCs w:val="24"/>
        </w:rPr>
        <w:t xml:space="preserve"> </w:t>
      </w:r>
      <w:r w:rsidR="00BC2921" w:rsidRPr="005B37B4">
        <w:rPr>
          <w:rFonts w:ascii="Tahoma" w:hAnsi="Tahoma" w:cs="Tahoma"/>
          <w:sz w:val="24"/>
          <w:szCs w:val="24"/>
        </w:rPr>
        <w:t>strong engagement</w:t>
      </w:r>
      <w:r w:rsidRPr="005B37B4">
        <w:rPr>
          <w:rFonts w:ascii="Tahoma" w:hAnsi="Tahoma" w:cs="Tahoma"/>
          <w:sz w:val="24"/>
          <w:szCs w:val="24"/>
        </w:rPr>
        <w:t xml:space="preserve"> </w:t>
      </w:r>
      <w:r w:rsidR="00B22129" w:rsidRPr="005B37B4">
        <w:rPr>
          <w:rFonts w:ascii="Tahoma" w:hAnsi="Tahoma" w:cs="Tahoma"/>
          <w:sz w:val="24"/>
          <w:szCs w:val="24"/>
        </w:rPr>
        <w:t>with</w:t>
      </w:r>
      <w:r w:rsidR="00BC2921" w:rsidRPr="005B37B4">
        <w:rPr>
          <w:rFonts w:ascii="Tahoma" w:hAnsi="Tahoma" w:cs="Tahoma"/>
          <w:sz w:val="24"/>
          <w:szCs w:val="24"/>
        </w:rPr>
        <w:t xml:space="preserve"> </w:t>
      </w:r>
      <w:r w:rsidRPr="005B37B4">
        <w:rPr>
          <w:rFonts w:ascii="Tahoma" w:hAnsi="Tahoma" w:cs="Tahoma"/>
          <w:sz w:val="24"/>
          <w:szCs w:val="24"/>
        </w:rPr>
        <w:t xml:space="preserve">a diverse group of </w:t>
      </w:r>
      <w:r w:rsidRPr="005B37B4">
        <w:rPr>
          <w:rFonts w:ascii="Tahoma" w:hAnsi="Tahoma" w:cs="Tahoma"/>
          <w:sz w:val="24"/>
          <w:szCs w:val="24"/>
        </w:rPr>
        <w:lastRenderedPageBreak/>
        <w:t>stakeholders</w:t>
      </w:r>
      <w:r w:rsidR="00BC2921" w:rsidRPr="005B37B4">
        <w:rPr>
          <w:rFonts w:ascii="Tahoma" w:hAnsi="Tahoma" w:cs="Tahoma"/>
          <w:sz w:val="24"/>
          <w:szCs w:val="24"/>
        </w:rPr>
        <w:t xml:space="preserve"> </w:t>
      </w:r>
      <w:r w:rsidR="00B40978" w:rsidRPr="005B37B4">
        <w:rPr>
          <w:rFonts w:ascii="Tahoma" w:hAnsi="Tahoma" w:cs="Tahoma"/>
          <w:sz w:val="24"/>
          <w:szCs w:val="24"/>
        </w:rPr>
        <w:t>as a way of driving</w:t>
      </w:r>
      <w:r w:rsidR="00BC2921" w:rsidRPr="005B37B4">
        <w:rPr>
          <w:rFonts w:ascii="Tahoma" w:hAnsi="Tahoma" w:cs="Tahoma"/>
          <w:sz w:val="24"/>
          <w:szCs w:val="24"/>
        </w:rPr>
        <w:t xml:space="preserve"> social, cultural and economic benefits</w:t>
      </w:r>
      <w:r w:rsidR="00B22129" w:rsidRPr="005B37B4">
        <w:rPr>
          <w:rFonts w:ascii="Tahoma" w:hAnsi="Tahoma" w:cs="Tahoma"/>
          <w:sz w:val="24"/>
          <w:szCs w:val="24"/>
        </w:rPr>
        <w:t xml:space="preserve"> in the region</w:t>
      </w:r>
      <w:r w:rsidRPr="005B37B4">
        <w:rPr>
          <w:rFonts w:ascii="Tahoma" w:hAnsi="Tahoma" w:cs="Tahoma"/>
          <w:sz w:val="24"/>
          <w:szCs w:val="24"/>
        </w:rPr>
        <w:t>.</w:t>
      </w:r>
      <w:r w:rsidR="00BD24F9" w:rsidRPr="005B37B4">
        <w:rPr>
          <w:rFonts w:ascii="Tahoma" w:hAnsi="Tahoma" w:cs="Tahoma"/>
          <w:sz w:val="24"/>
          <w:szCs w:val="24"/>
        </w:rPr>
        <w:t xml:space="preserve"> </w:t>
      </w:r>
      <w:r w:rsidR="00CC3A0A" w:rsidRPr="005B37B4">
        <w:rPr>
          <w:rFonts w:ascii="Tahoma" w:hAnsi="Tahoma" w:cs="Tahoma"/>
          <w:sz w:val="24"/>
          <w:szCs w:val="24"/>
        </w:rPr>
        <w:t xml:space="preserve">It raises the potential for similar projects to support a university-wide strategy for community engagement </w:t>
      </w:r>
      <w:r w:rsidR="00EB621F" w:rsidRPr="005B37B4">
        <w:rPr>
          <w:rFonts w:ascii="Tahoma" w:hAnsi="Tahoma" w:cs="Tahoma"/>
          <w:sz w:val="24"/>
          <w:szCs w:val="24"/>
        </w:rPr>
        <w:t xml:space="preserve">by encouraging </w:t>
      </w:r>
      <w:r w:rsidR="00CC3A0A" w:rsidRPr="005B37B4">
        <w:rPr>
          <w:rFonts w:ascii="Tahoma" w:hAnsi="Tahoma" w:cs="Tahoma"/>
          <w:sz w:val="24"/>
          <w:szCs w:val="24"/>
        </w:rPr>
        <w:t xml:space="preserve">overlap </w:t>
      </w:r>
      <w:r w:rsidR="00EB621F" w:rsidRPr="005B37B4">
        <w:rPr>
          <w:rFonts w:ascii="Tahoma" w:hAnsi="Tahoma" w:cs="Tahoma"/>
          <w:sz w:val="24"/>
          <w:szCs w:val="24"/>
        </w:rPr>
        <w:t>across</w:t>
      </w:r>
      <w:r w:rsidR="00CC3A0A" w:rsidRPr="005B37B4">
        <w:rPr>
          <w:rFonts w:ascii="Tahoma" w:hAnsi="Tahoma" w:cs="Tahoma"/>
          <w:sz w:val="24"/>
          <w:szCs w:val="24"/>
        </w:rPr>
        <w:t xml:space="preserve"> core policy areas of teaching, research and engagement</w:t>
      </w:r>
      <w:r w:rsidR="00EB621F" w:rsidRPr="005B37B4">
        <w:rPr>
          <w:rFonts w:ascii="Tahoma" w:hAnsi="Tahoma" w:cs="Tahoma"/>
          <w:sz w:val="24"/>
          <w:szCs w:val="24"/>
        </w:rPr>
        <w:t>.</w:t>
      </w:r>
    </w:p>
    <w:bookmarkEnd w:id="4"/>
    <w:p w:rsidR="00215BD3" w:rsidRDefault="00215BD3" w:rsidP="00351480">
      <w:pPr>
        <w:spacing w:line="360" w:lineRule="auto"/>
        <w:rPr>
          <w:rFonts w:ascii="Tahoma" w:hAnsi="Tahoma" w:cs="Tahoma"/>
          <w:b/>
          <w:sz w:val="28"/>
          <w:szCs w:val="28"/>
        </w:rPr>
      </w:pPr>
    </w:p>
    <w:p w:rsidR="00F4491B" w:rsidRPr="005B37B4" w:rsidRDefault="00841A57" w:rsidP="00351480">
      <w:pPr>
        <w:spacing w:line="360" w:lineRule="auto"/>
        <w:rPr>
          <w:rFonts w:ascii="Tahoma" w:hAnsi="Tahoma" w:cs="Tahoma"/>
          <w:b/>
          <w:sz w:val="28"/>
          <w:szCs w:val="28"/>
        </w:rPr>
      </w:pPr>
      <w:r w:rsidRPr="005B37B4">
        <w:rPr>
          <w:rFonts w:ascii="Tahoma" w:hAnsi="Tahoma" w:cs="Tahoma"/>
          <w:b/>
          <w:sz w:val="28"/>
          <w:szCs w:val="28"/>
        </w:rPr>
        <w:t>Civic connection</w:t>
      </w:r>
      <w:r w:rsidR="00853F37" w:rsidRPr="005B37B4">
        <w:rPr>
          <w:rFonts w:ascii="Tahoma" w:hAnsi="Tahoma" w:cs="Tahoma"/>
          <w:b/>
          <w:sz w:val="28"/>
          <w:szCs w:val="28"/>
        </w:rPr>
        <w:t xml:space="preserve"> and</w:t>
      </w:r>
      <w:r w:rsidRPr="005B37B4">
        <w:rPr>
          <w:rFonts w:ascii="Tahoma" w:hAnsi="Tahoma" w:cs="Tahoma"/>
          <w:b/>
          <w:sz w:val="28"/>
          <w:szCs w:val="28"/>
        </w:rPr>
        <w:t xml:space="preserve"> widening participation</w:t>
      </w:r>
    </w:p>
    <w:p w:rsidR="00E36B67" w:rsidRPr="005B37B4" w:rsidRDefault="000C7540" w:rsidP="00351480">
      <w:pPr>
        <w:spacing w:line="360" w:lineRule="auto"/>
        <w:rPr>
          <w:rFonts w:ascii="Tahoma" w:hAnsi="Tahoma" w:cs="Tahoma"/>
          <w:sz w:val="24"/>
          <w:szCs w:val="24"/>
        </w:rPr>
      </w:pPr>
      <w:r w:rsidRPr="005B37B4">
        <w:rPr>
          <w:rFonts w:ascii="Tahoma" w:hAnsi="Tahoma" w:cs="Tahoma"/>
          <w:sz w:val="24"/>
          <w:szCs w:val="24"/>
        </w:rPr>
        <w:t xml:space="preserve">The </w:t>
      </w:r>
      <w:r w:rsidR="00E32ADF" w:rsidRPr="005B37B4">
        <w:rPr>
          <w:rFonts w:ascii="Tahoma" w:hAnsi="Tahoma" w:cs="Tahoma"/>
          <w:sz w:val="24"/>
          <w:szCs w:val="24"/>
        </w:rPr>
        <w:t xml:space="preserve">purpose and place of both universities and higher education in a </w:t>
      </w:r>
      <w:r w:rsidR="00635F62" w:rsidRPr="005B37B4">
        <w:rPr>
          <w:rFonts w:ascii="Tahoma" w:hAnsi="Tahoma" w:cs="Tahoma"/>
          <w:sz w:val="24"/>
          <w:szCs w:val="24"/>
        </w:rPr>
        <w:t>broad</w:t>
      </w:r>
      <w:r w:rsidR="00E32ADF" w:rsidRPr="005B37B4">
        <w:rPr>
          <w:rFonts w:ascii="Tahoma" w:hAnsi="Tahoma" w:cs="Tahoma"/>
          <w:sz w:val="24"/>
          <w:szCs w:val="24"/>
        </w:rPr>
        <w:t xml:space="preserve"> socio-economic context is</w:t>
      </w:r>
      <w:r w:rsidR="00CC2D72" w:rsidRPr="005B37B4">
        <w:rPr>
          <w:rFonts w:ascii="Tahoma" w:hAnsi="Tahoma" w:cs="Tahoma"/>
          <w:sz w:val="24"/>
          <w:szCs w:val="24"/>
        </w:rPr>
        <w:t xml:space="preserve"> changing</w:t>
      </w:r>
      <w:r w:rsidR="00635F62" w:rsidRPr="005B37B4">
        <w:rPr>
          <w:rFonts w:ascii="Tahoma" w:hAnsi="Tahoma" w:cs="Tahoma"/>
          <w:sz w:val="24"/>
          <w:szCs w:val="24"/>
        </w:rPr>
        <w:t xml:space="preserve">. </w:t>
      </w:r>
      <w:r w:rsidR="00EA40C9" w:rsidRPr="005B37B4">
        <w:rPr>
          <w:rFonts w:ascii="Tahoma" w:hAnsi="Tahoma" w:cs="Tahoma"/>
          <w:sz w:val="24"/>
          <w:szCs w:val="24"/>
        </w:rPr>
        <w:t xml:space="preserve">Goddard </w:t>
      </w:r>
      <w:r w:rsidR="00433D41" w:rsidRPr="005B37B4">
        <w:rPr>
          <w:rFonts w:ascii="Tahoma" w:hAnsi="Tahoma" w:cs="Tahoma"/>
          <w:sz w:val="24"/>
          <w:szCs w:val="24"/>
        </w:rPr>
        <w:t xml:space="preserve">addresses the challenge of articulating this change in his concept of a civic university </w:t>
      </w:r>
      <w:r w:rsidR="00E36B67" w:rsidRPr="005B37B4">
        <w:rPr>
          <w:rFonts w:ascii="Tahoma" w:hAnsi="Tahoma" w:cs="Tahoma"/>
          <w:sz w:val="24"/>
          <w:szCs w:val="24"/>
        </w:rPr>
        <w:t>which</w:t>
      </w:r>
      <w:r w:rsidR="00433D41" w:rsidRPr="005B37B4">
        <w:rPr>
          <w:rFonts w:ascii="Tahoma" w:hAnsi="Tahoma" w:cs="Tahoma"/>
          <w:sz w:val="24"/>
          <w:szCs w:val="24"/>
        </w:rPr>
        <w:t xml:space="preserve"> connects the local with the global, maintaining international academic excellence while creating opportunities for relevant engagement at a local level</w:t>
      </w:r>
      <w:r w:rsidR="00E36B67" w:rsidRPr="005B37B4">
        <w:rPr>
          <w:rFonts w:ascii="Tahoma" w:hAnsi="Tahoma" w:cs="Tahoma"/>
          <w:sz w:val="24"/>
          <w:szCs w:val="24"/>
        </w:rPr>
        <w:t xml:space="preserve"> with measurable positive impacts both socially and economically</w:t>
      </w:r>
      <w:r w:rsidR="00FF47BC" w:rsidRPr="005B37B4">
        <w:rPr>
          <w:rFonts w:ascii="Tahoma" w:hAnsi="Tahoma" w:cs="Tahoma"/>
          <w:sz w:val="24"/>
          <w:szCs w:val="24"/>
        </w:rPr>
        <w:t xml:space="preserve"> </w:t>
      </w:r>
      <w:r w:rsidR="003A5112" w:rsidRPr="005B37B4" w:rsidDel="009B3639">
        <w:rPr>
          <w:rFonts w:ascii="Tahoma" w:hAnsi="Tahoma" w:cs="Tahoma"/>
          <w:sz w:val="24"/>
          <w:szCs w:val="24"/>
        </w:rPr>
        <w:fldChar w:fldCharType="begin" w:fldLock="1"/>
      </w:r>
      <w:r w:rsidR="00FF47BC" w:rsidRPr="005B37B4" w:rsidDel="009B3639">
        <w:rPr>
          <w:rFonts w:ascii="Tahoma" w:hAnsi="Tahoma" w:cs="Tahoma"/>
          <w:sz w:val="24"/>
          <w:szCs w:val="24"/>
        </w:rPr>
        <w:instrText>ADDIN CSL_CITATION {"citationItems":[{"id":"ITEM-1","itemData":{"DOI":"10.4324/9780203097144","ISBN":"9780203097144","abstract":"The contemporary meaning of being ‘an urban university rather than just a university built in a city’ (Goodall, 1970: 48) is ambiguous. Is the university in the city or part of the city? This is a question often asked by policy makers. In this chapter we make the case for the civic university working with others in the leadership of the city in order to ensure that its universities are both globally competitive and locally engaged.","author":[{"dropping-particle":"","family":"Goddard","given":"John","non-dropping-particle":"","parse-names":false,"suffix":""},{"dropping-particle":"","family":"Vallance","given":"Paul","non-dropping-particle":"","parse-names":false,"suffix":""}],"container-title":"Universities, Cities and Regions: Loci for Knowledge and Innovation Creation","id":"ITEM-1","issue":"January 2013","issued":{"date-parts":[["2012"]]},"page":"43-63","title":"The civic university: Connecting the global and the local","type":"article-journal"},"uris":["http://www.mendeley.com/documents/?uuid=50588cb7-8b5d-4f81-974e-df412d6e2f34"]}],"mendeley":{"formattedCitation":"(Goddard and Vallance, 2012)","plainTextFormattedCitation":"(Goddard and Vallance, 2012)","previouslyFormattedCitation":"(Goddard and Vallance, 2012)"},"properties":{"noteIndex":0},"schema":"https://github.com/citation-style-language/schema/raw/master/csl-citation.json"}</w:instrText>
      </w:r>
      <w:r w:rsidR="003A5112" w:rsidRPr="005B37B4" w:rsidDel="009B3639">
        <w:rPr>
          <w:rFonts w:ascii="Tahoma" w:hAnsi="Tahoma" w:cs="Tahoma"/>
          <w:sz w:val="24"/>
          <w:szCs w:val="24"/>
        </w:rPr>
        <w:fldChar w:fldCharType="separate"/>
      </w:r>
      <w:r w:rsidR="00FF47BC" w:rsidRPr="005B37B4" w:rsidDel="009B3639">
        <w:rPr>
          <w:rFonts w:ascii="Tahoma" w:hAnsi="Tahoma" w:cs="Tahoma"/>
          <w:noProof/>
          <w:sz w:val="24"/>
          <w:szCs w:val="24"/>
        </w:rPr>
        <w:t>(Goddard and Vallance, 2012)</w:t>
      </w:r>
      <w:r w:rsidR="003A5112" w:rsidRPr="005B37B4" w:rsidDel="009B3639">
        <w:rPr>
          <w:rFonts w:ascii="Tahoma" w:hAnsi="Tahoma" w:cs="Tahoma"/>
          <w:sz w:val="24"/>
          <w:szCs w:val="24"/>
        </w:rPr>
        <w:fldChar w:fldCharType="end"/>
      </w:r>
      <w:r w:rsidR="00E36B67" w:rsidRPr="005B37B4">
        <w:rPr>
          <w:rFonts w:ascii="Tahoma" w:hAnsi="Tahoma" w:cs="Tahoma"/>
          <w:sz w:val="24"/>
          <w:szCs w:val="24"/>
        </w:rPr>
        <w:t>.</w:t>
      </w:r>
    </w:p>
    <w:p w:rsidR="001D31BE" w:rsidRPr="005B37B4" w:rsidRDefault="001D31BE" w:rsidP="00351480">
      <w:pPr>
        <w:spacing w:line="360" w:lineRule="auto"/>
        <w:rPr>
          <w:rFonts w:ascii="Tahoma" w:hAnsi="Tahoma" w:cs="Tahoma"/>
          <w:sz w:val="24"/>
          <w:szCs w:val="24"/>
        </w:rPr>
      </w:pPr>
      <w:r w:rsidRPr="005B37B4">
        <w:rPr>
          <w:rFonts w:ascii="Tahoma" w:hAnsi="Tahoma" w:cs="Tahoma"/>
          <w:sz w:val="24"/>
          <w:szCs w:val="24"/>
        </w:rPr>
        <w:t>The concept of western universities providing both a public and academic service is not new. Governments did, and still do,</w:t>
      </w:r>
      <w:r w:rsidRPr="005B37B4" w:rsidDel="009B3639">
        <w:rPr>
          <w:rFonts w:ascii="Tahoma" w:hAnsi="Tahoma" w:cs="Tahoma"/>
          <w:sz w:val="24"/>
          <w:szCs w:val="24"/>
        </w:rPr>
        <w:t xml:space="preserve"> fund and build universities because of the potential impact on employment, productivity and economic and social transformation</w:t>
      </w:r>
      <w:r w:rsidRPr="005B37B4">
        <w:rPr>
          <w:rFonts w:ascii="Tahoma" w:hAnsi="Tahoma" w:cs="Tahoma"/>
          <w:sz w:val="24"/>
          <w:szCs w:val="24"/>
        </w:rPr>
        <w:t xml:space="preserve">. However, as </w:t>
      </w:r>
      <w:r w:rsidR="00E36B67" w:rsidRPr="005B37B4">
        <w:rPr>
          <w:rFonts w:ascii="Tahoma" w:hAnsi="Tahoma" w:cs="Tahoma"/>
          <w:sz w:val="24"/>
          <w:szCs w:val="24"/>
        </w:rPr>
        <w:t xml:space="preserve">Goddard </w:t>
      </w:r>
      <w:r w:rsidRPr="005B37B4">
        <w:rPr>
          <w:rFonts w:ascii="Tahoma" w:hAnsi="Tahoma" w:cs="Tahoma"/>
          <w:sz w:val="24"/>
          <w:szCs w:val="24"/>
        </w:rPr>
        <w:t>highlights,</w:t>
      </w:r>
      <w:r w:rsidR="00EA40C9" w:rsidRPr="005B37B4">
        <w:rPr>
          <w:rFonts w:ascii="Tahoma" w:hAnsi="Tahoma" w:cs="Tahoma"/>
          <w:sz w:val="24"/>
          <w:szCs w:val="24"/>
        </w:rPr>
        <w:t xml:space="preserve"> what worked for the needs of growing manufacturing economies of </w:t>
      </w:r>
      <w:r w:rsidR="003C6632">
        <w:rPr>
          <w:rFonts w:ascii="Tahoma" w:hAnsi="Tahoma" w:cs="Tahoma"/>
          <w:sz w:val="24"/>
          <w:szCs w:val="24"/>
        </w:rPr>
        <w:t xml:space="preserve">the </w:t>
      </w:r>
      <w:r w:rsidR="00EA40C9" w:rsidRPr="005B37B4">
        <w:rPr>
          <w:rFonts w:ascii="Tahoma" w:hAnsi="Tahoma" w:cs="Tahoma"/>
          <w:sz w:val="24"/>
          <w:szCs w:val="24"/>
        </w:rPr>
        <w:t>19</w:t>
      </w:r>
      <w:r w:rsidR="00EA40C9" w:rsidRPr="005B37B4">
        <w:rPr>
          <w:rFonts w:ascii="Tahoma" w:hAnsi="Tahoma" w:cs="Tahoma"/>
          <w:sz w:val="24"/>
          <w:szCs w:val="24"/>
          <w:vertAlign w:val="superscript"/>
        </w:rPr>
        <w:t>th</w:t>
      </w:r>
      <w:r w:rsidR="00EA40C9" w:rsidRPr="005B37B4">
        <w:rPr>
          <w:rFonts w:ascii="Tahoma" w:hAnsi="Tahoma" w:cs="Tahoma"/>
          <w:sz w:val="24"/>
          <w:szCs w:val="24"/>
        </w:rPr>
        <w:t xml:space="preserve"> century, when many of the great UK and US universities were founded, </w:t>
      </w:r>
      <w:r w:rsidR="009B3639" w:rsidRPr="005B37B4">
        <w:rPr>
          <w:rFonts w:ascii="Tahoma" w:hAnsi="Tahoma" w:cs="Tahoma"/>
          <w:sz w:val="24"/>
          <w:szCs w:val="24"/>
        </w:rPr>
        <w:t>require</w:t>
      </w:r>
      <w:r w:rsidR="00EA40C9" w:rsidRPr="005B37B4">
        <w:rPr>
          <w:rFonts w:ascii="Tahoma" w:hAnsi="Tahoma" w:cs="Tahoma"/>
          <w:sz w:val="24"/>
          <w:szCs w:val="24"/>
        </w:rPr>
        <w:t xml:space="preserve">s a radical rethink for </w:t>
      </w:r>
      <w:r w:rsidR="009B3639" w:rsidRPr="005B37B4">
        <w:rPr>
          <w:rFonts w:ascii="Tahoma" w:hAnsi="Tahoma" w:cs="Tahoma"/>
          <w:sz w:val="24"/>
          <w:szCs w:val="24"/>
        </w:rPr>
        <w:t>a 21</w:t>
      </w:r>
      <w:r w:rsidR="009B3639" w:rsidRPr="005B37B4">
        <w:rPr>
          <w:rFonts w:ascii="Tahoma" w:hAnsi="Tahoma" w:cs="Tahoma"/>
          <w:sz w:val="24"/>
          <w:szCs w:val="24"/>
          <w:vertAlign w:val="superscript"/>
        </w:rPr>
        <w:t>st</w:t>
      </w:r>
      <w:r w:rsidR="009B3639" w:rsidRPr="005B37B4">
        <w:rPr>
          <w:rFonts w:ascii="Tahoma" w:hAnsi="Tahoma" w:cs="Tahoma"/>
          <w:sz w:val="24"/>
          <w:szCs w:val="24"/>
        </w:rPr>
        <w:t xml:space="preserve"> century, globalised digital society</w:t>
      </w:r>
      <w:r w:rsidR="00215BD3">
        <w:rPr>
          <w:rFonts w:ascii="Tahoma" w:hAnsi="Tahoma" w:cs="Tahoma"/>
          <w:sz w:val="24"/>
          <w:szCs w:val="24"/>
        </w:rPr>
        <w:t xml:space="preserve"> (Goddard et al</w:t>
      </w:r>
      <w:r w:rsidRPr="005B37B4">
        <w:rPr>
          <w:rFonts w:ascii="Tahoma" w:hAnsi="Tahoma" w:cs="Tahoma"/>
          <w:sz w:val="24"/>
          <w:szCs w:val="24"/>
        </w:rPr>
        <w:t>.</w:t>
      </w:r>
      <w:r w:rsidR="00215BD3">
        <w:rPr>
          <w:rFonts w:ascii="Tahoma" w:hAnsi="Tahoma" w:cs="Tahoma"/>
          <w:sz w:val="24"/>
          <w:szCs w:val="24"/>
        </w:rPr>
        <w:t>, 2016).</w:t>
      </w:r>
    </w:p>
    <w:p w:rsidR="00325518" w:rsidRPr="005B37B4" w:rsidRDefault="00F4491B" w:rsidP="00351480">
      <w:pPr>
        <w:spacing w:line="360" w:lineRule="auto"/>
        <w:rPr>
          <w:rFonts w:ascii="Tahoma" w:hAnsi="Tahoma" w:cs="Tahoma"/>
          <w:sz w:val="24"/>
          <w:szCs w:val="24"/>
        </w:rPr>
      </w:pPr>
      <w:r w:rsidRPr="005B37B4">
        <w:rPr>
          <w:rFonts w:ascii="Tahoma" w:hAnsi="Tahoma" w:cs="Tahoma"/>
          <w:sz w:val="24"/>
          <w:szCs w:val="24"/>
        </w:rPr>
        <w:t>T</w:t>
      </w:r>
      <w:r w:rsidR="009B3639" w:rsidRPr="005B37B4">
        <w:rPr>
          <w:rFonts w:ascii="Tahoma" w:hAnsi="Tahoma" w:cs="Tahoma"/>
          <w:sz w:val="24"/>
          <w:szCs w:val="24"/>
        </w:rPr>
        <w:t xml:space="preserve">he civic university debate has </w:t>
      </w:r>
      <w:r w:rsidRPr="005B37B4">
        <w:rPr>
          <w:rFonts w:ascii="Tahoma" w:hAnsi="Tahoma" w:cs="Tahoma"/>
          <w:sz w:val="24"/>
          <w:szCs w:val="24"/>
        </w:rPr>
        <w:t xml:space="preserve">re-emphasised the importance of being accountable to the public purse that </w:t>
      </w:r>
      <w:r w:rsidR="003C6632">
        <w:rPr>
          <w:rFonts w:ascii="Tahoma" w:hAnsi="Tahoma" w:cs="Tahoma"/>
          <w:sz w:val="24"/>
          <w:szCs w:val="24"/>
        </w:rPr>
        <w:t xml:space="preserve">largely </w:t>
      </w:r>
      <w:r w:rsidRPr="005B37B4">
        <w:rPr>
          <w:rFonts w:ascii="Tahoma" w:hAnsi="Tahoma" w:cs="Tahoma"/>
          <w:sz w:val="24"/>
          <w:szCs w:val="24"/>
        </w:rPr>
        <w:t>funds the s</w:t>
      </w:r>
      <w:r w:rsidR="0046620D" w:rsidRPr="005B37B4">
        <w:rPr>
          <w:rFonts w:ascii="Tahoma" w:hAnsi="Tahoma" w:cs="Tahoma"/>
          <w:sz w:val="24"/>
          <w:szCs w:val="24"/>
        </w:rPr>
        <w:t>ector</w:t>
      </w:r>
      <w:r w:rsidRPr="005B37B4">
        <w:rPr>
          <w:rFonts w:ascii="Tahoma" w:hAnsi="Tahoma" w:cs="Tahoma"/>
          <w:sz w:val="24"/>
          <w:szCs w:val="24"/>
        </w:rPr>
        <w:t xml:space="preserve">, and in doing so has </w:t>
      </w:r>
      <w:r w:rsidR="009B3639" w:rsidRPr="005B37B4">
        <w:rPr>
          <w:rFonts w:ascii="Tahoma" w:hAnsi="Tahoma" w:cs="Tahoma"/>
          <w:sz w:val="24"/>
          <w:szCs w:val="24"/>
        </w:rPr>
        <w:t xml:space="preserve">opened possibilities for </w:t>
      </w:r>
      <w:r w:rsidR="00E36B67" w:rsidRPr="005B37B4">
        <w:rPr>
          <w:rFonts w:ascii="Tahoma" w:hAnsi="Tahoma" w:cs="Tahoma"/>
          <w:sz w:val="24"/>
          <w:szCs w:val="24"/>
        </w:rPr>
        <w:t xml:space="preserve">universities to rethink how they approach </w:t>
      </w:r>
      <w:r w:rsidR="009B3639" w:rsidRPr="005B37B4">
        <w:rPr>
          <w:rFonts w:ascii="Tahoma" w:hAnsi="Tahoma" w:cs="Tahoma"/>
          <w:sz w:val="24"/>
          <w:szCs w:val="24"/>
        </w:rPr>
        <w:t xml:space="preserve">traditional areas of </w:t>
      </w:r>
      <w:r w:rsidR="00E9078F">
        <w:rPr>
          <w:rFonts w:ascii="Tahoma" w:hAnsi="Tahoma" w:cs="Tahoma"/>
          <w:sz w:val="24"/>
          <w:szCs w:val="24"/>
        </w:rPr>
        <w:t xml:space="preserve">their </w:t>
      </w:r>
      <w:r w:rsidR="009B3639" w:rsidRPr="005B37B4">
        <w:rPr>
          <w:rFonts w:ascii="Tahoma" w:hAnsi="Tahoma" w:cs="Tahoma"/>
          <w:sz w:val="24"/>
          <w:szCs w:val="24"/>
        </w:rPr>
        <w:t xml:space="preserve">work </w:t>
      </w:r>
      <w:r w:rsidR="00E36B67" w:rsidRPr="005B37B4">
        <w:rPr>
          <w:rFonts w:ascii="Tahoma" w:hAnsi="Tahoma" w:cs="Tahoma"/>
          <w:sz w:val="24"/>
          <w:szCs w:val="24"/>
        </w:rPr>
        <w:t>i.e.</w:t>
      </w:r>
      <w:r w:rsidR="009B3639" w:rsidRPr="005B37B4">
        <w:rPr>
          <w:rFonts w:ascii="Tahoma" w:hAnsi="Tahoma" w:cs="Tahoma"/>
          <w:sz w:val="24"/>
          <w:szCs w:val="24"/>
        </w:rPr>
        <w:t xml:space="preserve"> teaching, research and engagement</w:t>
      </w:r>
      <w:r w:rsidR="003C6632">
        <w:rPr>
          <w:rFonts w:ascii="Tahoma" w:hAnsi="Tahoma" w:cs="Tahoma"/>
          <w:sz w:val="24"/>
          <w:szCs w:val="24"/>
        </w:rPr>
        <w:t>,</w:t>
      </w:r>
      <w:r w:rsidR="00646E56" w:rsidRPr="005B37B4">
        <w:rPr>
          <w:rFonts w:ascii="Tahoma" w:hAnsi="Tahoma" w:cs="Tahoma"/>
          <w:sz w:val="24"/>
          <w:szCs w:val="24"/>
        </w:rPr>
        <w:t xml:space="preserve"> to </w:t>
      </w:r>
      <w:r w:rsidR="001D31BE" w:rsidRPr="005B37B4">
        <w:rPr>
          <w:rFonts w:ascii="Tahoma" w:hAnsi="Tahoma" w:cs="Tahoma"/>
          <w:sz w:val="24"/>
          <w:szCs w:val="24"/>
        </w:rPr>
        <w:t xml:space="preserve">better reflect </w:t>
      </w:r>
      <w:r w:rsidR="00646E56" w:rsidRPr="005B37B4">
        <w:rPr>
          <w:rFonts w:ascii="Tahoma" w:hAnsi="Tahoma" w:cs="Tahoma"/>
          <w:sz w:val="24"/>
          <w:szCs w:val="24"/>
        </w:rPr>
        <w:t xml:space="preserve">the </w:t>
      </w:r>
      <w:r w:rsidR="001D31BE" w:rsidRPr="005B37B4">
        <w:rPr>
          <w:rFonts w:ascii="Tahoma" w:hAnsi="Tahoma" w:cs="Tahoma"/>
          <w:sz w:val="24"/>
          <w:szCs w:val="24"/>
        </w:rPr>
        <w:t xml:space="preserve">socio-economic </w:t>
      </w:r>
      <w:r w:rsidR="00646E56" w:rsidRPr="005B37B4">
        <w:rPr>
          <w:rFonts w:ascii="Tahoma" w:hAnsi="Tahoma" w:cs="Tahoma"/>
          <w:sz w:val="24"/>
          <w:szCs w:val="24"/>
        </w:rPr>
        <w:t xml:space="preserve">circumstances </w:t>
      </w:r>
      <w:r w:rsidR="001D31BE" w:rsidRPr="005B37B4">
        <w:rPr>
          <w:rFonts w:ascii="Tahoma" w:hAnsi="Tahoma" w:cs="Tahoma"/>
          <w:sz w:val="24"/>
          <w:szCs w:val="24"/>
        </w:rPr>
        <w:t xml:space="preserve">in which </w:t>
      </w:r>
      <w:r w:rsidR="0046620D" w:rsidRPr="005B37B4">
        <w:rPr>
          <w:rFonts w:ascii="Tahoma" w:hAnsi="Tahoma" w:cs="Tahoma"/>
          <w:sz w:val="24"/>
          <w:szCs w:val="24"/>
        </w:rPr>
        <w:t>they</w:t>
      </w:r>
      <w:r w:rsidR="001D31BE" w:rsidRPr="005B37B4">
        <w:rPr>
          <w:rFonts w:ascii="Tahoma" w:hAnsi="Tahoma" w:cs="Tahoma"/>
          <w:sz w:val="24"/>
          <w:szCs w:val="24"/>
        </w:rPr>
        <w:t xml:space="preserve"> operate</w:t>
      </w:r>
      <w:r w:rsidR="00000D70" w:rsidRPr="005B37B4">
        <w:rPr>
          <w:rFonts w:ascii="Tahoma" w:hAnsi="Tahoma" w:cs="Tahoma"/>
          <w:sz w:val="24"/>
          <w:szCs w:val="24"/>
        </w:rPr>
        <w:t xml:space="preserve"> </w:t>
      </w:r>
      <w:r w:rsidR="003A5112" w:rsidRPr="005B37B4">
        <w:rPr>
          <w:rFonts w:ascii="Tahoma" w:hAnsi="Tahoma" w:cs="Tahoma"/>
          <w:sz w:val="24"/>
          <w:szCs w:val="24"/>
        </w:rPr>
        <w:fldChar w:fldCharType="begin" w:fldLock="1"/>
      </w:r>
      <w:r w:rsidR="00B60449">
        <w:rPr>
          <w:rFonts w:ascii="Tahoma" w:hAnsi="Tahoma" w:cs="Tahoma"/>
          <w:sz w:val="24"/>
          <w:szCs w:val="24"/>
        </w:rPr>
        <w:instrText>ADDIN CSL_CITATION {"citationItems":[{"id":"ITEM-1","itemData":{"DOI":"10.4337/9781784717728.00008","ISBN":"9781784717711","author":[{"dropping-particle":"","family":"Goddard","given":"John","non-dropping-particle":"","parse-names":false,"suffix":""},{"dropping-particle":"","family":"Hazelkorn","given":"Ellen","non-dropping-particle":"","parse-names":false,"suffix":""},{"dropping-particle":"","family":"Kempton","given":"Louise","non-dropping-particle":"","parse-names":false,"suffix":""},{"dropping-particle":"","family":"Vallance","given":"Paul","non-dropping-particle":"","parse-names":false,"suffix":""}],"container-title":"The Civic University","id":"ITEM-1","issue":"November","issued":{"date-parts":[["2016"]]},"page":"3-15","title":"Introduction: why the civic university?","type":"article-journal"},"uris":["http://www.mendeley.com/documents/?uuid=27796b6d-ecbb-461c-a1ca-5964cae21076"]}],"mendeley":{"formattedCitation":"(Goddard et al., 2016)","plainTextFormattedCitation":"(Goddard et al., 2016)","previouslyFormattedCitation":"(Goddard et al., 2016)"},"properties":{"noteIndex":0},"schema":"https://github.com/citation-style-language/schema/raw/master/csl-citation.json"}</w:instrText>
      </w:r>
      <w:r w:rsidR="003A5112" w:rsidRPr="005B37B4">
        <w:rPr>
          <w:rFonts w:ascii="Tahoma" w:hAnsi="Tahoma" w:cs="Tahoma"/>
          <w:sz w:val="24"/>
          <w:szCs w:val="24"/>
        </w:rPr>
        <w:fldChar w:fldCharType="separate"/>
      </w:r>
      <w:r w:rsidR="00000D70" w:rsidRPr="003D1903">
        <w:rPr>
          <w:rFonts w:ascii="Tahoma" w:hAnsi="Tahoma" w:cs="Tahoma"/>
          <w:noProof/>
          <w:sz w:val="24"/>
          <w:szCs w:val="24"/>
        </w:rPr>
        <w:t>(Goddard et al., 2016)</w:t>
      </w:r>
      <w:r w:rsidR="003A5112" w:rsidRPr="005B37B4">
        <w:rPr>
          <w:rFonts w:ascii="Tahoma" w:hAnsi="Tahoma" w:cs="Tahoma"/>
          <w:sz w:val="24"/>
          <w:szCs w:val="24"/>
        </w:rPr>
        <w:fldChar w:fldCharType="end"/>
      </w:r>
      <w:r w:rsidR="00E36B67" w:rsidRPr="005B37B4">
        <w:rPr>
          <w:rFonts w:ascii="Tahoma" w:hAnsi="Tahoma" w:cs="Tahoma"/>
          <w:sz w:val="24"/>
          <w:szCs w:val="24"/>
        </w:rPr>
        <w:t xml:space="preserve">. </w:t>
      </w:r>
      <w:r w:rsidR="00646E56" w:rsidRPr="005B37B4">
        <w:rPr>
          <w:rFonts w:ascii="Tahoma" w:hAnsi="Tahoma" w:cs="Tahoma"/>
          <w:sz w:val="24"/>
          <w:szCs w:val="24"/>
        </w:rPr>
        <w:t>In turn, this has expanded the perception of widening participation, which can no longer be viewed through a narrow lens of direct recruitment to higher education programmes. Instead</w:t>
      </w:r>
      <w:r w:rsidRPr="005B37B4">
        <w:rPr>
          <w:rFonts w:ascii="Tahoma" w:hAnsi="Tahoma" w:cs="Tahoma"/>
          <w:sz w:val="24"/>
          <w:szCs w:val="24"/>
        </w:rPr>
        <w:t>,</w:t>
      </w:r>
      <w:r w:rsidR="00646E56" w:rsidRPr="005B37B4">
        <w:rPr>
          <w:rFonts w:ascii="Tahoma" w:hAnsi="Tahoma" w:cs="Tahoma"/>
          <w:sz w:val="24"/>
          <w:szCs w:val="24"/>
        </w:rPr>
        <w:t xml:space="preserve"> a wider vision of connected communities is needed, which may in the long-term positively impact degree programme recruitment</w:t>
      </w:r>
      <w:r w:rsidRPr="005B37B4">
        <w:rPr>
          <w:rFonts w:ascii="Tahoma" w:hAnsi="Tahoma" w:cs="Tahoma"/>
          <w:sz w:val="24"/>
          <w:szCs w:val="24"/>
        </w:rPr>
        <w:t xml:space="preserve"> </w:t>
      </w:r>
      <w:r w:rsidR="00646E56" w:rsidRPr="005B37B4">
        <w:rPr>
          <w:rFonts w:ascii="Tahoma" w:hAnsi="Tahoma" w:cs="Tahoma"/>
          <w:sz w:val="24"/>
          <w:szCs w:val="24"/>
        </w:rPr>
        <w:t xml:space="preserve">but </w:t>
      </w:r>
      <w:r w:rsidRPr="005B37B4">
        <w:rPr>
          <w:rFonts w:ascii="Tahoma" w:hAnsi="Tahoma" w:cs="Tahoma"/>
          <w:sz w:val="24"/>
          <w:szCs w:val="24"/>
        </w:rPr>
        <w:t>doesn’t see this as its</w:t>
      </w:r>
      <w:r w:rsidR="00325518" w:rsidRPr="005B37B4">
        <w:rPr>
          <w:rFonts w:ascii="Tahoma" w:hAnsi="Tahoma" w:cs="Tahoma"/>
          <w:sz w:val="24"/>
          <w:szCs w:val="24"/>
        </w:rPr>
        <w:t xml:space="preserve"> sole aim</w:t>
      </w:r>
      <w:r w:rsidRPr="005B37B4">
        <w:rPr>
          <w:rFonts w:ascii="Tahoma" w:hAnsi="Tahoma" w:cs="Tahoma"/>
          <w:sz w:val="24"/>
          <w:szCs w:val="24"/>
        </w:rPr>
        <w:t xml:space="preserve">. </w:t>
      </w:r>
      <w:r w:rsidR="00325518" w:rsidRPr="005B37B4">
        <w:rPr>
          <w:rFonts w:ascii="Tahoma" w:hAnsi="Tahoma" w:cs="Tahoma"/>
          <w:sz w:val="24"/>
          <w:szCs w:val="24"/>
        </w:rPr>
        <w:lastRenderedPageBreak/>
        <w:t xml:space="preserve">Instead this vision </w:t>
      </w:r>
      <w:r w:rsidR="00FF47BC" w:rsidRPr="005B37B4">
        <w:rPr>
          <w:rFonts w:ascii="Tahoma" w:hAnsi="Tahoma" w:cs="Tahoma"/>
          <w:sz w:val="24"/>
          <w:szCs w:val="24"/>
        </w:rPr>
        <w:t>expands the traditional definition of widening participation by embracing overlaps between research and engagement</w:t>
      </w:r>
      <w:r w:rsidR="0046620D" w:rsidRPr="005B37B4">
        <w:rPr>
          <w:rFonts w:ascii="Tahoma" w:hAnsi="Tahoma" w:cs="Tahoma"/>
          <w:sz w:val="24"/>
          <w:szCs w:val="24"/>
        </w:rPr>
        <w:t>,</w:t>
      </w:r>
      <w:r w:rsidR="00FF47BC" w:rsidRPr="005B37B4">
        <w:rPr>
          <w:rFonts w:ascii="Tahoma" w:hAnsi="Tahoma" w:cs="Tahoma"/>
          <w:sz w:val="24"/>
          <w:szCs w:val="24"/>
        </w:rPr>
        <w:t xml:space="preserve"> as well as </w:t>
      </w:r>
      <w:r w:rsidR="003C6632">
        <w:rPr>
          <w:rFonts w:ascii="Tahoma" w:hAnsi="Tahoma" w:cs="Tahoma"/>
          <w:sz w:val="24"/>
          <w:szCs w:val="24"/>
        </w:rPr>
        <w:t xml:space="preserve">between </w:t>
      </w:r>
      <w:r w:rsidR="00FF47BC" w:rsidRPr="005B37B4">
        <w:rPr>
          <w:rFonts w:ascii="Tahoma" w:hAnsi="Tahoma" w:cs="Tahoma"/>
          <w:sz w:val="24"/>
          <w:szCs w:val="24"/>
        </w:rPr>
        <w:t>teaching and engagement</w:t>
      </w:r>
      <w:r w:rsidR="003C6632">
        <w:rPr>
          <w:rFonts w:ascii="Tahoma" w:hAnsi="Tahoma" w:cs="Tahoma"/>
          <w:sz w:val="24"/>
          <w:szCs w:val="24"/>
        </w:rPr>
        <w:t xml:space="preserve">. </w:t>
      </w:r>
      <w:r w:rsidR="00E9078F">
        <w:rPr>
          <w:rFonts w:ascii="Tahoma" w:hAnsi="Tahoma" w:cs="Tahoma"/>
          <w:sz w:val="24"/>
          <w:szCs w:val="24"/>
        </w:rPr>
        <w:t xml:space="preserve">Developing </w:t>
      </w:r>
      <w:r w:rsidR="002E5AA2">
        <w:rPr>
          <w:rFonts w:ascii="Tahoma" w:hAnsi="Tahoma" w:cs="Tahoma"/>
          <w:sz w:val="24"/>
          <w:szCs w:val="24"/>
        </w:rPr>
        <w:t xml:space="preserve">support </w:t>
      </w:r>
      <w:r w:rsidR="00E9078F">
        <w:rPr>
          <w:rFonts w:ascii="Tahoma" w:hAnsi="Tahoma" w:cs="Tahoma"/>
          <w:sz w:val="24"/>
          <w:szCs w:val="24"/>
        </w:rPr>
        <w:t xml:space="preserve">structures </w:t>
      </w:r>
      <w:r w:rsidR="002E5AA2">
        <w:rPr>
          <w:rFonts w:ascii="Tahoma" w:hAnsi="Tahoma" w:cs="Tahoma"/>
          <w:sz w:val="24"/>
          <w:szCs w:val="24"/>
        </w:rPr>
        <w:t>for</w:t>
      </w:r>
      <w:r w:rsidR="00E9078F">
        <w:rPr>
          <w:rFonts w:ascii="Tahoma" w:hAnsi="Tahoma" w:cs="Tahoma"/>
          <w:sz w:val="24"/>
          <w:szCs w:val="24"/>
        </w:rPr>
        <w:t xml:space="preserve"> such cross-boundary as well as interdisciplinary working,</w:t>
      </w:r>
      <w:r w:rsidR="003C6632">
        <w:rPr>
          <w:rFonts w:ascii="Tahoma" w:hAnsi="Tahoma" w:cs="Tahoma"/>
          <w:sz w:val="24"/>
          <w:szCs w:val="24"/>
        </w:rPr>
        <w:t xml:space="preserve"> could encourage</w:t>
      </w:r>
      <w:r w:rsidR="00000D70" w:rsidRPr="005B37B4">
        <w:rPr>
          <w:rFonts w:ascii="Tahoma" w:hAnsi="Tahoma" w:cs="Tahoma"/>
          <w:sz w:val="24"/>
          <w:szCs w:val="24"/>
        </w:rPr>
        <w:t xml:space="preserve"> more </w:t>
      </w:r>
      <w:r w:rsidR="00325518" w:rsidRPr="005B37B4">
        <w:rPr>
          <w:rFonts w:ascii="Tahoma" w:hAnsi="Tahoma" w:cs="Tahoma"/>
          <w:sz w:val="24"/>
          <w:szCs w:val="24"/>
        </w:rPr>
        <w:t xml:space="preserve">collaborative projects with business, local government and voluntary sector </w:t>
      </w:r>
      <w:r w:rsidR="00000D70" w:rsidRPr="005B37B4">
        <w:rPr>
          <w:rFonts w:ascii="Tahoma" w:hAnsi="Tahoma" w:cs="Tahoma"/>
          <w:sz w:val="24"/>
          <w:szCs w:val="24"/>
        </w:rPr>
        <w:t xml:space="preserve">partners </w:t>
      </w:r>
      <w:r w:rsidR="00325518" w:rsidRPr="005B37B4">
        <w:rPr>
          <w:rFonts w:ascii="Tahoma" w:hAnsi="Tahoma" w:cs="Tahoma"/>
          <w:sz w:val="24"/>
          <w:szCs w:val="24"/>
        </w:rPr>
        <w:t xml:space="preserve">to influence positive change in the </w:t>
      </w:r>
      <w:r w:rsidR="00000D70" w:rsidRPr="005B37B4">
        <w:rPr>
          <w:rFonts w:ascii="Tahoma" w:hAnsi="Tahoma" w:cs="Tahoma"/>
          <w:sz w:val="24"/>
          <w:szCs w:val="24"/>
        </w:rPr>
        <w:t xml:space="preserve">surrounding </w:t>
      </w:r>
      <w:r w:rsidR="00325518" w:rsidRPr="005B37B4">
        <w:rPr>
          <w:rFonts w:ascii="Tahoma" w:hAnsi="Tahoma" w:cs="Tahoma"/>
          <w:sz w:val="24"/>
          <w:szCs w:val="24"/>
        </w:rPr>
        <w:t xml:space="preserve">region. </w:t>
      </w:r>
    </w:p>
    <w:p w:rsidR="00325518" w:rsidRPr="005B37B4" w:rsidRDefault="00325518" w:rsidP="00351480">
      <w:pPr>
        <w:spacing w:line="360" w:lineRule="auto"/>
        <w:rPr>
          <w:rFonts w:ascii="Tahoma" w:hAnsi="Tahoma" w:cs="Tahoma"/>
          <w:sz w:val="24"/>
          <w:szCs w:val="24"/>
        </w:rPr>
      </w:pPr>
    </w:p>
    <w:p w:rsidR="00841A57" w:rsidRPr="005B37B4" w:rsidRDefault="00E44277" w:rsidP="00351480">
      <w:pPr>
        <w:spacing w:line="360" w:lineRule="auto"/>
        <w:rPr>
          <w:rFonts w:ascii="Tahoma" w:hAnsi="Tahoma" w:cs="Tahoma"/>
          <w:b/>
          <w:sz w:val="28"/>
          <w:szCs w:val="28"/>
        </w:rPr>
      </w:pPr>
      <w:r w:rsidRPr="005B37B4">
        <w:rPr>
          <w:rFonts w:ascii="Tahoma" w:hAnsi="Tahoma" w:cs="Tahoma"/>
          <w:b/>
          <w:sz w:val="28"/>
          <w:szCs w:val="28"/>
        </w:rPr>
        <w:t>A</w:t>
      </w:r>
      <w:r w:rsidR="00841A57" w:rsidRPr="005B37B4">
        <w:rPr>
          <w:rFonts w:ascii="Tahoma" w:hAnsi="Tahoma" w:cs="Tahoma"/>
          <w:b/>
          <w:sz w:val="28"/>
          <w:szCs w:val="28"/>
        </w:rPr>
        <w:t xml:space="preserve"> sense of place</w:t>
      </w:r>
      <w:r w:rsidRPr="005B37B4">
        <w:rPr>
          <w:rFonts w:ascii="Tahoma" w:hAnsi="Tahoma" w:cs="Tahoma"/>
          <w:b/>
          <w:sz w:val="28"/>
          <w:szCs w:val="28"/>
        </w:rPr>
        <w:t xml:space="preserve"> </w:t>
      </w:r>
    </w:p>
    <w:p w:rsidR="001B1ECE" w:rsidRPr="005B37B4" w:rsidRDefault="00F036F6" w:rsidP="00351480">
      <w:pPr>
        <w:spacing w:line="360" w:lineRule="auto"/>
        <w:rPr>
          <w:rFonts w:ascii="Tahoma" w:hAnsi="Tahoma" w:cs="Tahoma"/>
          <w:sz w:val="24"/>
          <w:szCs w:val="24"/>
        </w:rPr>
      </w:pPr>
      <w:r w:rsidRPr="005B37B4">
        <w:rPr>
          <w:rFonts w:ascii="Tahoma" w:hAnsi="Tahoma" w:cs="Tahoma"/>
          <w:sz w:val="24"/>
          <w:szCs w:val="24"/>
        </w:rPr>
        <w:t xml:space="preserve">Staffordshire University operates in a region of </w:t>
      </w:r>
      <w:r w:rsidR="00C308DD" w:rsidRPr="005B37B4">
        <w:rPr>
          <w:rFonts w:ascii="Tahoma" w:hAnsi="Tahoma" w:cs="Tahoma"/>
          <w:sz w:val="24"/>
          <w:szCs w:val="24"/>
        </w:rPr>
        <w:t xml:space="preserve">widespread </w:t>
      </w:r>
      <w:r w:rsidRPr="005B37B4">
        <w:rPr>
          <w:rFonts w:ascii="Tahoma" w:hAnsi="Tahoma" w:cs="Tahoma"/>
          <w:sz w:val="24"/>
          <w:szCs w:val="24"/>
        </w:rPr>
        <w:t>deprivation</w:t>
      </w:r>
      <w:r w:rsidR="00F64679" w:rsidRPr="005B37B4">
        <w:rPr>
          <w:rFonts w:ascii="Tahoma" w:hAnsi="Tahoma" w:cs="Tahoma"/>
          <w:sz w:val="24"/>
          <w:szCs w:val="24"/>
        </w:rPr>
        <w:t>, where 30.2% of neighbourhoods are classed as being in the most deprived 10% of neighbourhoods nationally</w:t>
      </w:r>
      <w:r w:rsidR="00913B4F" w:rsidRPr="005B37B4">
        <w:rPr>
          <w:rFonts w:ascii="Tahoma" w:hAnsi="Tahoma" w:cs="Tahoma"/>
          <w:sz w:val="24"/>
          <w:szCs w:val="24"/>
        </w:rPr>
        <w:t xml:space="preserve">. </w:t>
      </w:r>
      <w:r w:rsidR="00C308DD" w:rsidRPr="005B37B4">
        <w:rPr>
          <w:rFonts w:ascii="Tahoma" w:hAnsi="Tahoma" w:cs="Tahoma"/>
          <w:sz w:val="24"/>
          <w:szCs w:val="24"/>
        </w:rPr>
        <w:t>Overall the city was ranked</w:t>
      </w:r>
      <w:r w:rsidR="00913B4F" w:rsidRPr="005B37B4">
        <w:rPr>
          <w:rFonts w:ascii="Tahoma" w:hAnsi="Tahoma" w:cs="Tahoma"/>
          <w:sz w:val="24"/>
          <w:szCs w:val="24"/>
        </w:rPr>
        <w:t xml:space="preserve"> the</w:t>
      </w:r>
      <w:r w:rsidR="00F64679" w:rsidRPr="005B37B4">
        <w:rPr>
          <w:rFonts w:ascii="Tahoma" w:hAnsi="Tahoma" w:cs="Tahoma"/>
          <w:sz w:val="24"/>
          <w:szCs w:val="24"/>
        </w:rPr>
        <w:t xml:space="preserve"> </w:t>
      </w:r>
      <w:r w:rsidR="00F06D67" w:rsidRPr="005B37B4">
        <w:rPr>
          <w:rFonts w:ascii="Tahoma" w:hAnsi="Tahoma" w:cs="Tahoma"/>
          <w:sz w:val="24"/>
          <w:szCs w:val="24"/>
        </w:rPr>
        <w:t xml:space="preserve">15th </w:t>
      </w:r>
      <w:r w:rsidR="00913B4F" w:rsidRPr="005B37B4">
        <w:rPr>
          <w:rFonts w:ascii="Tahoma" w:hAnsi="Tahoma" w:cs="Tahoma"/>
          <w:sz w:val="24"/>
          <w:szCs w:val="24"/>
        </w:rPr>
        <w:t xml:space="preserve">most deprived local authority area in England out of </w:t>
      </w:r>
      <w:r w:rsidR="002341A5" w:rsidRPr="005B37B4">
        <w:rPr>
          <w:rFonts w:ascii="Tahoma" w:hAnsi="Tahoma" w:cs="Tahoma"/>
          <w:sz w:val="24"/>
          <w:szCs w:val="24"/>
        </w:rPr>
        <w:t xml:space="preserve">317 </w:t>
      </w:r>
      <w:r w:rsidR="00913B4F" w:rsidRPr="005B37B4">
        <w:rPr>
          <w:rFonts w:ascii="Tahoma" w:hAnsi="Tahoma" w:cs="Tahoma"/>
          <w:sz w:val="24"/>
          <w:szCs w:val="24"/>
        </w:rPr>
        <w:t xml:space="preserve">districts </w:t>
      </w:r>
      <w:r w:rsidR="00F64679" w:rsidRPr="005B37B4">
        <w:rPr>
          <w:rFonts w:ascii="Tahoma" w:hAnsi="Tahoma" w:cs="Tahoma"/>
          <w:sz w:val="24"/>
          <w:szCs w:val="24"/>
        </w:rPr>
        <w:t>in the index of Multiple Deprivatio</w:t>
      </w:r>
      <w:r w:rsidR="00781AAE" w:rsidRPr="005B37B4">
        <w:rPr>
          <w:rFonts w:ascii="Tahoma" w:hAnsi="Tahoma" w:cs="Tahoma"/>
          <w:sz w:val="24"/>
          <w:szCs w:val="24"/>
        </w:rPr>
        <w:t xml:space="preserve">n </w:t>
      </w:r>
      <w:r w:rsidR="003A5112" w:rsidRPr="005B37B4">
        <w:rPr>
          <w:rFonts w:ascii="Tahoma" w:hAnsi="Tahoma" w:cs="Tahoma"/>
          <w:sz w:val="24"/>
          <w:szCs w:val="24"/>
        </w:rPr>
        <w:fldChar w:fldCharType="begin" w:fldLock="1"/>
      </w:r>
      <w:r w:rsidR="008449C8">
        <w:rPr>
          <w:rFonts w:ascii="Tahoma" w:hAnsi="Tahoma" w:cs="Tahoma"/>
          <w:sz w:val="24"/>
          <w:szCs w:val="24"/>
        </w:rPr>
        <w:instrText>ADDIN CSL_CITATION {"citationItems":[{"id":"ITEM-1","itemData":{"URL":"https://www.gov.uk/government/statistics/english-indices-of-deprivation-2019","accessed":{"date-parts":[["2020","1","26"]]},"author":[{"dropping-particle":"","family":"MHCLG","given":"","non-dropping-particle":"","parse-names":false,"suffix":""}],"container-title":"Ministry of Housing, Communities &amp; Local Government","id":"ITEM-1","issued":{"date-parts":[["2019"]]},"title":"National Statistics English indices of deprivation 2019","type":"webpage","volume":"2019"},"uris":["http://www.mendeley.com/documents/?uuid=a7992be9-f0d8-4e1e-9ae6-ebecd8b0eeca"]}],"mendeley":{"formattedCitation":"(MHCLG, 2019)","plainTextFormattedCitation":"(MHCLG, 2019)","previouslyFormattedCitation":"(MHCLG, 2019)"},"properties":{"noteIndex":0},"schema":"https://github.com/citation-style-language/schema/raw/master/csl-citation.json"}</w:instrText>
      </w:r>
      <w:r w:rsidR="003A5112" w:rsidRPr="005B37B4">
        <w:rPr>
          <w:rFonts w:ascii="Tahoma" w:hAnsi="Tahoma" w:cs="Tahoma"/>
          <w:sz w:val="24"/>
          <w:szCs w:val="24"/>
        </w:rPr>
        <w:fldChar w:fldCharType="separate"/>
      </w:r>
      <w:r w:rsidR="00781AAE" w:rsidRPr="005B37B4">
        <w:rPr>
          <w:rFonts w:ascii="Tahoma" w:hAnsi="Tahoma" w:cs="Tahoma"/>
          <w:noProof/>
          <w:sz w:val="24"/>
          <w:szCs w:val="24"/>
        </w:rPr>
        <w:t>(MHCLG, 2019)</w:t>
      </w:r>
      <w:r w:rsidR="003A5112" w:rsidRPr="005B37B4">
        <w:rPr>
          <w:rFonts w:ascii="Tahoma" w:hAnsi="Tahoma" w:cs="Tahoma"/>
          <w:sz w:val="24"/>
          <w:szCs w:val="24"/>
        </w:rPr>
        <w:fldChar w:fldCharType="end"/>
      </w:r>
      <w:r w:rsidRPr="005B37B4">
        <w:rPr>
          <w:rFonts w:ascii="Tahoma" w:hAnsi="Tahoma" w:cs="Tahoma"/>
          <w:sz w:val="24"/>
          <w:szCs w:val="24"/>
        </w:rPr>
        <w:t>.</w:t>
      </w:r>
      <w:r w:rsidR="00C308DD" w:rsidRPr="005B37B4">
        <w:rPr>
          <w:rFonts w:ascii="Tahoma" w:hAnsi="Tahoma" w:cs="Tahoma"/>
          <w:sz w:val="24"/>
          <w:szCs w:val="24"/>
        </w:rPr>
        <w:t xml:space="preserve"> </w:t>
      </w:r>
      <w:r w:rsidR="002341A5" w:rsidRPr="005B37B4">
        <w:rPr>
          <w:rFonts w:ascii="Tahoma" w:hAnsi="Tahoma" w:cs="Tahoma"/>
          <w:sz w:val="24"/>
          <w:szCs w:val="24"/>
        </w:rPr>
        <w:t xml:space="preserve">It is one of eight </w:t>
      </w:r>
      <w:r w:rsidR="003C6632">
        <w:rPr>
          <w:rFonts w:ascii="Tahoma" w:hAnsi="Tahoma" w:cs="Tahoma"/>
          <w:sz w:val="24"/>
          <w:szCs w:val="24"/>
        </w:rPr>
        <w:t>l</w:t>
      </w:r>
      <w:r w:rsidR="002341A5" w:rsidRPr="005B37B4">
        <w:rPr>
          <w:rFonts w:ascii="Tahoma" w:hAnsi="Tahoma" w:cs="Tahoma"/>
          <w:sz w:val="24"/>
          <w:szCs w:val="24"/>
        </w:rPr>
        <w:t xml:space="preserve">ocal </w:t>
      </w:r>
      <w:r w:rsidR="003C6632">
        <w:rPr>
          <w:rFonts w:ascii="Tahoma" w:hAnsi="Tahoma" w:cs="Tahoma"/>
          <w:sz w:val="24"/>
          <w:szCs w:val="24"/>
        </w:rPr>
        <w:t>a</w:t>
      </w:r>
      <w:r w:rsidR="002341A5" w:rsidRPr="005B37B4">
        <w:rPr>
          <w:rFonts w:ascii="Tahoma" w:hAnsi="Tahoma" w:cs="Tahoma"/>
          <w:sz w:val="24"/>
          <w:szCs w:val="24"/>
        </w:rPr>
        <w:t>uthorities to have ranked as progressively more deprived, in relative terms, with each update since the 2004 Index.</w:t>
      </w:r>
    </w:p>
    <w:p w:rsidR="005B7E33" w:rsidRPr="005B37B4" w:rsidRDefault="002E5AA2" w:rsidP="00351480">
      <w:pPr>
        <w:spacing w:line="360" w:lineRule="auto"/>
        <w:rPr>
          <w:rFonts w:ascii="Tahoma" w:hAnsi="Tahoma" w:cs="Tahoma"/>
          <w:sz w:val="24"/>
          <w:szCs w:val="24"/>
        </w:rPr>
      </w:pPr>
      <w:r>
        <w:rPr>
          <w:rFonts w:ascii="Tahoma" w:hAnsi="Tahoma" w:cs="Tahoma"/>
          <w:sz w:val="24"/>
          <w:szCs w:val="24"/>
        </w:rPr>
        <w:t>Of all</w:t>
      </w:r>
      <w:r w:rsidR="00342E93" w:rsidRPr="005B37B4">
        <w:rPr>
          <w:rFonts w:ascii="Tahoma" w:hAnsi="Tahoma" w:cs="Tahoma"/>
          <w:sz w:val="24"/>
          <w:szCs w:val="24"/>
        </w:rPr>
        <w:t xml:space="preserve"> Staffordshire University students</w:t>
      </w:r>
      <w:r>
        <w:rPr>
          <w:rFonts w:ascii="Tahoma" w:hAnsi="Tahoma" w:cs="Tahoma"/>
          <w:sz w:val="24"/>
          <w:szCs w:val="24"/>
        </w:rPr>
        <w:t xml:space="preserve"> 28%</w:t>
      </w:r>
      <w:r w:rsidR="00342E93" w:rsidRPr="005B37B4">
        <w:rPr>
          <w:rFonts w:ascii="Tahoma" w:hAnsi="Tahoma" w:cs="Tahoma"/>
          <w:sz w:val="24"/>
          <w:szCs w:val="24"/>
        </w:rPr>
        <w:t xml:space="preserve"> are recruited from the immediate Stoke-on-Trent area, while more than half full-time students (5</w:t>
      </w:r>
      <w:r>
        <w:rPr>
          <w:rFonts w:ascii="Tahoma" w:hAnsi="Tahoma" w:cs="Tahoma"/>
          <w:sz w:val="24"/>
          <w:szCs w:val="24"/>
        </w:rPr>
        <w:t>9.1</w:t>
      </w:r>
      <w:r w:rsidR="00342E93" w:rsidRPr="005B37B4">
        <w:rPr>
          <w:rFonts w:ascii="Tahoma" w:hAnsi="Tahoma" w:cs="Tahoma"/>
          <w:sz w:val="24"/>
          <w:szCs w:val="24"/>
        </w:rPr>
        <w:t>%) are commuter students</w:t>
      </w:r>
      <w:r w:rsidR="00920DDE">
        <w:rPr>
          <w:rFonts w:ascii="Tahoma" w:hAnsi="Tahoma" w:cs="Tahoma"/>
          <w:sz w:val="24"/>
          <w:szCs w:val="24"/>
        </w:rPr>
        <w:t xml:space="preserve"> </w:t>
      </w:r>
      <w:r w:rsidR="003A5112">
        <w:rPr>
          <w:rFonts w:ascii="Tahoma" w:hAnsi="Tahoma" w:cs="Tahoma"/>
          <w:sz w:val="24"/>
          <w:szCs w:val="24"/>
        </w:rPr>
        <w:fldChar w:fldCharType="begin" w:fldLock="1"/>
      </w:r>
      <w:r w:rsidR="00920DDE">
        <w:rPr>
          <w:rFonts w:ascii="Tahoma" w:hAnsi="Tahoma" w:cs="Tahoma"/>
          <w:sz w:val="24"/>
          <w:szCs w:val="24"/>
        </w:rPr>
        <w:instrText>ADDIN CSL_CITATION {"citationItems":[{"id":"ITEM-1","itemData":{"URL":"https://www.staffs.ac.uk/about/pdf/access-and-participation-plans/staffordshireuniversity-app-2020-21-v1-10006299.pdf","accessed":{"date-parts":[["2020","1","26"]]},"author":[{"dropping-particle":"","family":"Staffordshire University","given":"","non-dropping-particle":"","parse-names":false,"suffix":""}],"id":"ITEM-1","issued":{"date-parts":[["2020"]]},"title":"Access and Participation Plan, 2020-21 to 2024-25","type":"webpage"},"uris":["http://www.mendeley.com/documents/?uuid=85b88e31-3fac-4b28-ab44-b4726e12f8d3"]}],"mendeley":{"formattedCitation":"(Staffordshire University, 2020)","plainTextFormattedCitation":"(Staffordshire University, 2020)","previouslyFormattedCitation":"(Staffordshire University, 2020)"},"properties":{"noteIndex":0},"schema":"https://github.com/citation-style-language/schema/raw/master/csl-citation.json"}</w:instrText>
      </w:r>
      <w:r w:rsidR="003A5112">
        <w:rPr>
          <w:rFonts w:ascii="Tahoma" w:hAnsi="Tahoma" w:cs="Tahoma"/>
          <w:sz w:val="24"/>
          <w:szCs w:val="24"/>
        </w:rPr>
        <w:fldChar w:fldCharType="separate"/>
      </w:r>
      <w:r w:rsidR="00920DDE" w:rsidRPr="00920DDE">
        <w:rPr>
          <w:rFonts w:ascii="Tahoma" w:hAnsi="Tahoma" w:cs="Tahoma"/>
          <w:noProof/>
          <w:sz w:val="24"/>
          <w:szCs w:val="24"/>
        </w:rPr>
        <w:t>(Staffordshire University, 2020)</w:t>
      </w:r>
      <w:r w:rsidR="003A5112">
        <w:rPr>
          <w:rFonts w:ascii="Tahoma" w:hAnsi="Tahoma" w:cs="Tahoma"/>
          <w:sz w:val="24"/>
          <w:szCs w:val="24"/>
        </w:rPr>
        <w:fldChar w:fldCharType="end"/>
      </w:r>
      <w:r w:rsidR="00342E93" w:rsidRPr="005B37B4">
        <w:rPr>
          <w:rFonts w:ascii="Tahoma" w:hAnsi="Tahoma" w:cs="Tahoma"/>
          <w:sz w:val="24"/>
          <w:szCs w:val="24"/>
        </w:rPr>
        <w:t>.</w:t>
      </w:r>
      <w:r w:rsidR="004F33F5" w:rsidRPr="005B37B4">
        <w:rPr>
          <w:rFonts w:ascii="Tahoma" w:hAnsi="Tahoma" w:cs="Tahoma"/>
          <w:sz w:val="24"/>
          <w:szCs w:val="24"/>
        </w:rPr>
        <w:t xml:space="preserve"> </w:t>
      </w:r>
      <w:r w:rsidR="00920DDE">
        <w:rPr>
          <w:rFonts w:ascii="Tahoma" w:hAnsi="Tahoma" w:cs="Tahoma"/>
          <w:sz w:val="24"/>
          <w:szCs w:val="24"/>
        </w:rPr>
        <w:t xml:space="preserve">Staffordshire University has </w:t>
      </w:r>
      <w:r w:rsidR="00920DDE" w:rsidRPr="005B37B4">
        <w:rPr>
          <w:rFonts w:ascii="Tahoma" w:hAnsi="Tahoma" w:cs="Tahoma"/>
          <w:sz w:val="24"/>
          <w:szCs w:val="24"/>
        </w:rPr>
        <w:t xml:space="preserve">the highest percentage of students from deprived backgrounds of any UK University </w:t>
      </w:r>
      <w:r w:rsidR="003A5112" w:rsidRPr="005B37B4">
        <w:rPr>
          <w:rFonts w:ascii="Tahoma" w:hAnsi="Tahoma" w:cs="Tahoma"/>
          <w:sz w:val="24"/>
          <w:szCs w:val="24"/>
        </w:rPr>
        <w:fldChar w:fldCharType="begin" w:fldLock="1"/>
      </w:r>
      <w:r w:rsidR="00920DDE">
        <w:rPr>
          <w:rFonts w:ascii="Tahoma" w:hAnsi="Tahoma" w:cs="Tahoma"/>
          <w:sz w:val="24"/>
          <w:szCs w:val="24"/>
        </w:rPr>
        <w:instrText>ADDIN CSL_CITATION {"citationItems":[{"id":"ITEM-1","itemData":{"URL":"https://www.thetimes.co.uk/article/good-university-guide-in-full-tp6dzs7wn","accessed":{"date-parts":[["2020","1","26"]]},"author":[{"dropping-particle":"","family":"Sunday Times","given":"","non-dropping-particle":"","parse-names":false,"suffix":""}],"container-title":"London","id":"ITEM-1","issued":{"date-parts":[["2019"]]},"title":"Good University Guide 2020","type":"webpage"},"uris":["http://www.mendeley.com/documents/?uuid=df6f83d7-84b9-4fa3-a644-3c3dec930cd2"]}],"mendeley":{"formattedCitation":"(Sunday Times, 2019)","plainTextFormattedCitation":"(Sunday Times, 2019)","previouslyFormattedCitation":"(Sunday Times, 2019)"},"properties":{"noteIndex":0},"schema":"https://github.com/citation-style-language/schema/raw/master/csl-citation.json"}</w:instrText>
      </w:r>
      <w:r w:rsidR="003A5112" w:rsidRPr="005B37B4">
        <w:rPr>
          <w:rFonts w:ascii="Tahoma" w:hAnsi="Tahoma" w:cs="Tahoma"/>
          <w:sz w:val="24"/>
          <w:szCs w:val="24"/>
        </w:rPr>
        <w:fldChar w:fldCharType="separate"/>
      </w:r>
      <w:r w:rsidR="00920DDE" w:rsidRPr="008A0958">
        <w:rPr>
          <w:rFonts w:ascii="Tahoma" w:hAnsi="Tahoma" w:cs="Tahoma"/>
          <w:noProof/>
          <w:sz w:val="24"/>
          <w:szCs w:val="24"/>
        </w:rPr>
        <w:t>(Sunday Times, 2019)</w:t>
      </w:r>
      <w:r w:rsidR="003A5112" w:rsidRPr="005B37B4">
        <w:rPr>
          <w:rFonts w:ascii="Tahoma" w:hAnsi="Tahoma" w:cs="Tahoma"/>
          <w:sz w:val="24"/>
          <w:szCs w:val="24"/>
        </w:rPr>
        <w:fldChar w:fldCharType="end"/>
      </w:r>
      <w:r w:rsidR="00920DDE">
        <w:rPr>
          <w:rFonts w:ascii="Tahoma" w:hAnsi="Tahoma" w:cs="Tahoma"/>
          <w:sz w:val="24"/>
          <w:szCs w:val="24"/>
        </w:rPr>
        <w:t>;</w:t>
      </w:r>
      <w:r w:rsidR="00920DDE" w:rsidRPr="005B37B4">
        <w:rPr>
          <w:rFonts w:ascii="Tahoma" w:hAnsi="Tahoma" w:cs="Tahoma"/>
          <w:sz w:val="24"/>
          <w:szCs w:val="24"/>
        </w:rPr>
        <w:t xml:space="preserve"> </w:t>
      </w:r>
      <w:r w:rsidR="004F33F5" w:rsidRPr="005B37B4">
        <w:rPr>
          <w:rFonts w:ascii="Tahoma" w:hAnsi="Tahoma" w:cs="Tahoma"/>
          <w:sz w:val="24"/>
          <w:szCs w:val="24"/>
        </w:rPr>
        <w:t xml:space="preserve"> </w:t>
      </w:r>
      <w:r w:rsidRPr="002E5AA2">
        <w:rPr>
          <w:rFonts w:ascii="Tahoma" w:hAnsi="Tahoma" w:cs="Tahoma"/>
          <w:sz w:val="24"/>
          <w:szCs w:val="24"/>
        </w:rPr>
        <w:t xml:space="preserve">49.30% of full-time and 33.54% of part-time students fall within </w:t>
      </w:r>
      <w:r w:rsidRPr="00920DDE">
        <w:rPr>
          <w:rFonts w:ascii="Tahoma" w:hAnsi="Tahoma" w:cs="Tahoma"/>
          <w:sz w:val="24"/>
          <w:szCs w:val="24"/>
        </w:rPr>
        <w:t>POLAR4 quintiles 1 and 2</w:t>
      </w:r>
      <w:r w:rsidR="00920DDE">
        <w:rPr>
          <w:rFonts w:ascii="Tahoma" w:hAnsi="Tahoma" w:cs="Tahoma"/>
          <w:sz w:val="24"/>
          <w:szCs w:val="24"/>
        </w:rPr>
        <w:t>,</w:t>
      </w:r>
      <w:r w:rsidR="00920DDE" w:rsidRPr="00920DDE">
        <w:rPr>
          <w:rFonts w:ascii="Tahoma" w:hAnsi="Tahoma" w:cs="Tahoma"/>
          <w:sz w:val="24"/>
          <w:szCs w:val="24"/>
        </w:rPr>
        <w:t xml:space="preserve"> i.e. the two groups of young people least likely to progress to higher education</w:t>
      </w:r>
      <w:r w:rsidR="0091126C">
        <w:rPr>
          <w:rFonts w:ascii="Tahoma" w:hAnsi="Tahoma" w:cs="Tahoma"/>
          <w:sz w:val="24"/>
          <w:szCs w:val="24"/>
        </w:rPr>
        <w:t xml:space="preserve"> </w:t>
      </w:r>
      <w:r w:rsidR="003A5112">
        <w:rPr>
          <w:rFonts w:ascii="Tahoma" w:hAnsi="Tahoma" w:cs="Tahoma"/>
          <w:sz w:val="24"/>
          <w:szCs w:val="24"/>
        </w:rPr>
        <w:fldChar w:fldCharType="begin" w:fldLock="1"/>
      </w:r>
      <w:r w:rsidR="00F567B2">
        <w:rPr>
          <w:rFonts w:ascii="Tahoma" w:hAnsi="Tahoma" w:cs="Tahoma"/>
          <w:sz w:val="24"/>
          <w:szCs w:val="24"/>
        </w:rPr>
        <w:instrText>ADDIN CSL_CITATION {"citationItems":[{"id":"ITEM-1","itemData":{"URL":"https://www.officeforstudents.org.uk/data-and-analysis/young-participation-by-area/search-by-postcode/","accessed":{"date-parts":[["2020","1","26"]]},"author":[{"dropping-particle":"","family":"Office for Students","given":"","non-dropping-particle":"","parse-names":false,"suffix":""}],"id":"ITEM-1","issued":{"date-parts":[["2020"]]},"title":"Young participation by area","type":"webpage"},"uris":["http://www.mendeley.com/documents/?uuid=03506af8-78c3-41ce-83cd-4ca0d0d27235"]}],"mendeley":{"formattedCitation":"(Office for Students, 2020)","plainTextFormattedCitation":"(Office for Students, 2020)","previouslyFormattedCitation":"(Office for Students, 2020)"},"properties":{"noteIndex":0},"schema":"https://github.com/citation-style-language/schema/raw/master/csl-citation.json"}</w:instrText>
      </w:r>
      <w:r w:rsidR="003A5112">
        <w:rPr>
          <w:rFonts w:ascii="Tahoma" w:hAnsi="Tahoma" w:cs="Tahoma"/>
          <w:sz w:val="24"/>
          <w:szCs w:val="24"/>
        </w:rPr>
        <w:fldChar w:fldCharType="separate"/>
      </w:r>
      <w:r w:rsidR="00920DDE" w:rsidRPr="00920DDE">
        <w:rPr>
          <w:rFonts w:ascii="Tahoma" w:hAnsi="Tahoma" w:cs="Tahoma"/>
          <w:noProof/>
          <w:sz w:val="24"/>
          <w:szCs w:val="24"/>
        </w:rPr>
        <w:t>(Office for Students, 2020)</w:t>
      </w:r>
      <w:r w:rsidR="003A5112">
        <w:rPr>
          <w:rFonts w:ascii="Tahoma" w:hAnsi="Tahoma" w:cs="Tahoma"/>
          <w:sz w:val="24"/>
          <w:szCs w:val="24"/>
        </w:rPr>
        <w:fldChar w:fldCharType="end"/>
      </w:r>
      <w:r w:rsidR="00920DDE">
        <w:rPr>
          <w:rFonts w:ascii="Tahoma" w:hAnsi="Tahoma" w:cs="Tahoma"/>
          <w:sz w:val="24"/>
          <w:szCs w:val="24"/>
        </w:rPr>
        <w:t>.</w:t>
      </w:r>
    </w:p>
    <w:p w:rsidR="00245FFA" w:rsidRDefault="00422779" w:rsidP="00351480">
      <w:pPr>
        <w:spacing w:line="360" w:lineRule="auto"/>
        <w:rPr>
          <w:rFonts w:ascii="Tahoma" w:hAnsi="Tahoma" w:cs="Tahoma"/>
          <w:sz w:val="24"/>
          <w:szCs w:val="24"/>
        </w:rPr>
      </w:pPr>
      <w:r>
        <w:rPr>
          <w:rFonts w:ascii="Tahoma" w:hAnsi="Tahoma" w:cs="Tahoma"/>
          <w:sz w:val="24"/>
          <w:szCs w:val="24"/>
        </w:rPr>
        <w:t>I</w:t>
      </w:r>
      <w:r w:rsidR="0046620D" w:rsidRPr="005B37B4">
        <w:rPr>
          <w:rFonts w:ascii="Tahoma" w:hAnsi="Tahoma" w:cs="Tahoma"/>
          <w:sz w:val="24"/>
          <w:szCs w:val="24"/>
        </w:rPr>
        <w:t>n order to f</w:t>
      </w:r>
      <w:r w:rsidR="00E40BC9">
        <w:rPr>
          <w:rFonts w:ascii="Tahoma" w:hAnsi="Tahoma" w:cs="Tahoma"/>
          <w:sz w:val="24"/>
          <w:szCs w:val="24"/>
        </w:rPr>
        <w:t>ully support Goddard’s theory (</w:t>
      </w:r>
      <w:r w:rsidR="0046620D" w:rsidRPr="005B37B4">
        <w:rPr>
          <w:rFonts w:ascii="Tahoma" w:hAnsi="Tahoma" w:cs="Tahoma"/>
          <w:sz w:val="24"/>
          <w:szCs w:val="24"/>
        </w:rPr>
        <w:t>that governments fund and build universities because of the potential impact on employment, productivity and economic and social transformation</w:t>
      </w:r>
      <w:r w:rsidR="00E40BC9">
        <w:rPr>
          <w:rFonts w:ascii="Tahoma" w:hAnsi="Tahoma" w:cs="Tahoma"/>
          <w:sz w:val="24"/>
          <w:szCs w:val="24"/>
        </w:rPr>
        <w:t>)</w:t>
      </w:r>
      <w:r w:rsidR="0046620D" w:rsidRPr="005B37B4">
        <w:rPr>
          <w:rFonts w:ascii="Tahoma" w:hAnsi="Tahoma" w:cs="Tahoma"/>
          <w:sz w:val="24"/>
          <w:szCs w:val="24"/>
        </w:rPr>
        <w:t xml:space="preserve"> widening participation and visions of connection to communities need to stretch beyond population groups targeted specifically for recruitment to higher education programmes </w:t>
      </w:r>
      <w:r w:rsidR="003A5112" w:rsidRPr="005B37B4">
        <w:rPr>
          <w:rFonts w:ascii="Tahoma" w:hAnsi="Tahoma" w:cs="Tahoma"/>
          <w:sz w:val="24"/>
          <w:szCs w:val="24"/>
        </w:rPr>
        <w:fldChar w:fldCharType="begin" w:fldLock="1"/>
      </w:r>
      <w:r w:rsidR="0046620D" w:rsidRPr="005B37B4">
        <w:rPr>
          <w:rFonts w:ascii="Tahoma" w:hAnsi="Tahoma" w:cs="Tahoma"/>
          <w:sz w:val="24"/>
          <w:szCs w:val="24"/>
        </w:rPr>
        <w:instrText>ADDIN CSL_CITATION {"citationItems":[{"id":"ITEM-1","itemData":{"DOI":"10.4324/9780203097144","ISBN":"9780203097144","abstract":"The contemporary meaning of being ‘an urban university rather than just a university built in a city’ (Goodall, 1970: 48) is ambiguous. Is the university in the city or part of the city? This is a question often asked by policy makers. In this chapter we make the case for the civic university working with others in the leadership of the city in order to ensure that its universities are both globally competitive and locally engaged.","author":[{"dropping-particle":"","family":"Goddard","given":"John","non-dropping-particle":"","parse-names":false,"suffix":""},{"dropping-particle":"","family":"Vallance","given":"Paul","non-dropping-particle":"","parse-names":false,"suffix":""}],"container-title":"Universities, Cities and Regions: Loci for Knowledge and Innovation Creation","id":"ITEM-1","issue":"January 2013","issued":{"date-parts":[["2012"]]},"page":"43-63","title":"The civic university: Connecting the global and the local","type":"article-journal"},"uris":["http://www.mendeley.com/documents/?uuid=50588cb7-8b5d-4f81-974e-df412d6e2f34"]}],"mendeley":{"formattedCitation":"(Goddard and Vallance, 2012)","plainTextFormattedCitation":"(Goddard and Vallance, 2012)","previouslyFormattedCitation":"(Goddard and Vallance, 2012)"},"properties":{"noteIndex":0},"schema":"https://github.com/citation-style-language/schema/raw/master/csl-citation.json"}</w:instrText>
      </w:r>
      <w:r w:rsidR="003A5112" w:rsidRPr="005B37B4">
        <w:rPr>
          <w:rFonts w:ascii="Tahoma" w:hAnsi="Tahoma" w:cs="Tahoma"/>
          <w:sz w:val="24"/>
          <w:szCs w:val="24"/>
        </w:rPr>
        <w:fldChar w:fldCharType="separate"/>
      </w:r>
      <w:r w:rsidR="0046620D" w:rsidRPr="005B37B4">
        <w:rPr>
          <w:rFonts w:ascii="Tahoma" w:hAnsi="Tahoma" w:cs="Tahoma"/>
          <w:noProof/>
          <w:sz w:val="24"/>
          <w:szCs w:val="24"/>
        </w:rPr>
        <w:t>(Goddard and Vallance, 2012)</w:t>
      </w:r>
      <w:r w:rsidR="003A5112" w:rsidRPr="005B37B4">
        <w:rPr>
          <w:rFonts w:ascii="Tahoma" w:hAnsi="Tahoma" w:cs="Tahoma"/>
          <w:sz w:val="24"/>
          <w:szCs w:val="24"/>
        </w:rPr>
        <w:fldChar w:fldCharType="end"/>
      </w:r>
      <w:r w:rsidR="0046620D" w:rsidRPr="005B37B4">
        <w:rPr>
          <w:rFonts w:ascii="Tahoma" w:hAnsi="Tahoma" w:cs="Tahoma"/>
          <w:sz w:val="24"/>
          <w:szCs w:val="24"/>
        </w:rPr>
        <w:t xml:space="preserve">. </w:t>
      </w:r>
    </w:p>
    <w:p w:rsidR="00422779" w:rsidRPr="005B37B4" w:rsidRDefault="00422779" w:rsidP="00351480">
      <w:pPr>
        <w:spacing w:line="360" w:lineRule="auto"/>
        <w:rPr>
          <w:rFonts w:ascii="Tahoma" w:hAnsi="Tahoma" w:cs="Tahoma"/>
          <w:sz w:val="24"/>
          <w:szCs w:val="24"/>
        </w:rPr>
      </w:pPr>
      <w:r w:rsidRPr="005B37B4">
        <w:rPr>
          <w:rFonts w:ascii="Tahoma" w:hAnsi="Tahoma" w:cs="Tahoma"/>
          <w:sz w:val="24"/>
          <w:szCs w:val="24"/>
        </w:rPr>
        <w:lastRenderedPageBreak/>
        <w:t>Staffordshire University’s ‘Connected University’ strategy reflects this situation by seeking to provide inspirational physical and digital environments with the broad aim of bringing communities together</w:t>
      </w:r>
      <w:r w:rsidR="0091126C">
        <w:rPr>
          <w:rFonts w:ascii="Tahoma" w:hAnsi="Tahoma" w:cs="Tahoma"/>
          <w:sz w:val="24"/>
          <w:szCs w:val="24"/>
        </w:rPr>
        <w:t xml:space="preserve"> and widening access to higher education from under-represented groups</w:t>
      </w:r>
      <w:r w:rsidRPr="005B37B4">
        <w:rPr>
          <w:rFonts w:ascii="Tahoma" w:hAnsi="Tahoma" w:cs="Tahoma"/>
          <w:sz w:val="24"/>
          <w:szCs w:val="24"/>
        </w:rPr>
        <w:t xml:space="preserve"> </w:t>
      </w:r>
      <w:r w:rsidR="003A5112" w:rsidRPr="005B37B4">
        <w:rPr>
          <w:rFonts w:ascii="Tahoma" w:hAnsi="Tahoma" w:cs="Tahoma"/>
          <w:sz w:val="24"/>
          <w:szCs w:val="24"/>
        </w:rPr>
        <w:fldChar w:fldCharType="begin" w:fldLock="1"/>
      </w:r>
      <w:r w:rsidR="00B60449">
        <w:rPr>
          <w:rFonts w:ascii="Tahoma" w:hAnsi="Tahoma" w:cs="Tahoma"/>
          <w:sz w:val="24"/>
          <w:szCs w:val="24"/>
        </w:rPr>
        <w:instrText>ADDIN CSL_CITATION {"citationItems":[{"id":"ITEM-1","itemData":{"URL":"https://www.staffs.ac.uk/about/pdf/connected-university-strategy.pdf","accessed":{"date-parts":[["2020","1","26"]]},"author":[{"dropping-particle":"","family":"Staffordshire University","given":"","non-dropping-particle":"","parse-names":false,"suffix":""}],"id":"ITEM-1","issued":{"date-parts":[["2017"]]},"title":"Connected University Strategy","type":"webpage"},"uris":["http://www.mendeley.com/documents/?uuid=5c921603-a598-4b5e-bd3f-20910a024c24"]}],"mendeley":{"formattedCitation":"(Staffordshire University, 2017)","plainTextFormattedCitation":"(Staffordshire University, 2017)","previouslyFormattedCitation":"(Staffordshire University, 2017)"},"properties":{"noteIndex":0},"schema":"https://github.com/citation-style-language/schema/raw/master/csl-citation.json"}</w:instrText>
      </w:r>
      <w:r w:rsidR="003A5112" w:rsidRPr="005B37B4">
        <w:rPr>
          <w:rFonts w:ascii="Tahoma" w:hAnsi="Tahoma" w:cs="Tahoma"/>
          <w:sz w:val="24"/>
          <w:szCs w:val="24"/>
        </w:rPr>
        <w:fldChar w:fldCharType="separate"/>
      </w:r>
      <w:r w:rsidRPr="005B37B4">
        <w:rPr>
          <w:rFonts w:ascii="Tahoma" w:hAnsi="Tahoma" w:cs="Tahoma"/>
          <w:noProof/>
          <w:sz w:val="24"/>
          <w:szCs w:val="24"/>
        </w:rPr>
        <w:t>(Staffordshire University, 2017)</w:t>
      </w:r>
      <w:r w:rsidR="003A5112" w:rsidRPr="005B37B4">
        <w:rPr>
          <w:rFonts w:ascii="Tahoma" w:hAnsi="Tahoma" w:cs="Tahoma"/>
          <w:sz w:val="24"/>
          <w:szCs w:val="24"/>
        </w:rPr>
        <w:fldChar w:fldCharType="end"/>
      </w:r>
      <w:r w:rsidRPr="005B37B4">
        <w:rPr>
          <w:rFonts w:ascii="Tahoma" w:hAnsi="Tahoma" w:cs="Tahoma"/>
          <w:sz w:val="24"/>
          <w:szCs w:val="24"/>
        </w:rPr>
        <w:t>.</w:t>
      </w:r>
    </w:p>
    <w:p w:rsidR="00E40BC9" w:rsidRDefault="00E40BC9" w:rsidP="00351480">
      <w:pPr>
        <w:spacing w:line="360" w:lineRule="auto"/>
        <w:rPr>
          <w:rFonts w:ascii="Tahoma" w:hAnsi="Tahoma" w:cs="Tahoma"/>
          <w:b/>
          <w:sz w:val="28"/>
          <w:szCs w:val="28"/>
        </w:rPr>
      </w:pPr>
    </w:p>
    <w:p w:rsidR="00D651FE" w:rsidRPr="005B37B4" w:rsidRDefault="00D66154" w:rsidP="00351480">
      <w:pPr>
        <w:spacing w:line="360" w:lineRule="auto"/>
        <w:rPr>
          <w:rFonts w:ascii="Tahoma" w:hAnsi="Tahoma" w:cs="Tahoma"/>
          <w:b/>
          <w:sz w:val="28"/>
          <w:szCs w:val="28"/>
        </w:rPr>
      </w:pPr>
      <w:r w:rsidRPr="005B37B4">
        <w:rPr>
          <w:rFonts w:ascii="Tahoma" w:hAnsi="Tahoma" w:cs="Tahoma"/>
          <w:b/>
          <w:sz w:val="28"/>
          <w:szCs w:val="28"/>
        </w:rPr>
        <w:t>Democratising research</w:t>
      </w:r>
      <w:r w:rsidR="00356B71" w:rsidRPr="005B37B4">
        <w:rPr>
          <w:rFonts w:ascii="Tahoma" w:hAnsi="Tahoma" w:cs="Tahoma"/>
          <w:b/>
          <w:sz w:val="28"/>
          <w:szCs w:val="28"/>
        </w:rPr>
        <w:t xml:space="preserve"> and Culture 3.0</w:t>
      </w:r>
    </w:p>
    <w:p w:rsidR="00245FFA" w:rsidRPr="005B37B4" w:rsidRDefault="0046620D" w:rsidP="00351480">
      <w:pPr>
        <w:spacing w:line="360" w:lineRule="auto"/>
        <w:rPr>
          <w:rFonts w:ascii="Tahoma" w:hAnsi="Tahoma" w:cs="Tahoma"/>
          <w:sz w:val="24"/>
          <w:szCs w:val="24"/>
        </w:rPr>
      </w:pPr>
      <w:r w:rsidRPr="005B37B4">
        <w:rPr>
          <w:rFonts w:ascii="Tahoma" w:hAnsi="Tahoma" w:cs="Tahoma"/>
          <w:sz w:val="24"/>
          <w:szCs w:val="24"/>
        </w:rPr>
        <w:t>Evolution of the World Wide Web</w:t>
      </w:r>
      <w:r w:rsidR="00DD5917" w:rsidRPr="005B37B4">
        <w:rPr>
          <w:rFonts w:ascii="Tahoma" w:hAnsi="Tahoma" w:cs="Tahoma"/>
          <w:sz w:val="24"/>
          <w:szCs w:val="24"/>
        </w:rPr>
        <w:t xml:space="preserve"> </w:t>
      </w:r>
      <w:r w:rsidR="007579A2">
        <w:rPr>
          <w:rFonts w:ascii="Tahoma" w:hAnsi="Tahoma" w:cs="Tahoma"/>
          <w:sz w:val="24"/>
          <w:szCs w:val="24"/>
        </w:rPr>
        <w:t>from</w:t>
      </w:r>
      <w:r w:rsidR="00DD5917" w:rsidRPr="005B37B4">
        <w:rPr>
          <w:rFonts w:ascii="Tahoma" w:hAnsi="Tahoma" w:cs="Tahoma"/>
          <w:sz w:val="24"/>
          <w:szCs w:val="24"/>
        </w:rPr>
        <w:t xml:space="preserve"> Web 1.0 to Web 3.0 ha</w:t>
      </w:r>
      <w:r w:rsidRPr="005B37B4">
        <w:rPr>
          <w:rFonts w:ascii="Tahoma" w:hAnsi="Tahoma" w:cs="Tahoma"/>
          <w:sz w:val="24"/>
          <w:szCs w:val="24"/>
        </w:rPr>
        <w:t>s</w:t>
      </w:r>
      <w:r w:rsidR="00DD5917" w:rsidRPr="005B37B4">
        <w:rPr>
          <w:rFonts w:ascii="Tahoma" w:hAnsi="Tahoma" w:cs="Tahoma"/>
          <w:sz w:val="24"/>
          <w:szCs w:val="24"/>
        </w:rPr>
        <w:t xml:space="preserve"> seen increasing immersion of the user experience</w:t>
      </w:r>
      <w:r w:rsidR="00F62B44" w:rsidRPr="005B37B4">
        <w:rPr>
          <w:rFonts w:ascii="Tahoma" w:hAnsi="Tahoma" w:cs="Tahoma"/>
          <w:sz w:val="24"/>
          <w:szCs w:val="24"/>
        </w:rPr>
        <w:t>,</w:t>
      </w:r>
      <w:r w:rsidR="00DD5917" w:rsidRPr="005B37B4">
        <w:rPr>
          <w:rFonts w:ascii="Tahoma" w:hAnsi="Tahoma" w:cs="Tahoma"/>
          <w:sz w:val="24"/>
          <w:szCs w:val="24"/>
        </w:rPr>
        <w:t xml:space="preserve"> blurring the role of content creat</w:t>
      </w:r>
      <w:r w:rsidR="00074FBF" w:rsidRPr="005B37B4">
        <w:rPr>
          <w:rFonts w:ascii="Tahoma" w:hAnsi="Tahoma" w:cs="Tahoma"/>
          <w:sz w:val="24"/>
          <w:szCs w:val="24"/>
        </w:rPr>
        <w:t>or</w:t>
      </w:r>
      <w:r w:rsidR="00DD5917" w:rsidRPr="005B37B4">
        <w:rPr>
          <w:rFonts w:ascii="Tahoma" w:hAnsi="Tahoma" w:cs="Tahoma"/>
          <w:sz w:val="24"/>
          <w:szCs w:val="24"/>
        </w:rPr>
        <w:t xml:space="preserve"> and user. Sacco </w:t>
      </w:r>
      <w:r w:rsidR="00074FBF" w:rsidRPr="005B37B4">
        <w:rPr>
          <w:rFonts w:ascii="Tahoma" w:hAnsi="Tahoma" w:cs="Tahoma"/>
          <w:sz w:val="24"/>
          <w:szCs w:val="24"/>
        </w:rPr>
        <w:t>applies a similar framework to cultural interactions in the digital age, characterising Culture 3.0 as novel forms of active cultural participation where the distinction between producers and users of cultural and creative contents is increasingly blurred</w:t>
      </w:r>
      <w:r w:rsidR="00DD5917" w:rsidRPr="005B37B4">
        <w:rPr>
          <w:rFonts w:ascii="Tahoma" w:hAnsi="Tahoma" w:cs="Tahoma"/>
          <w:b/>
          <w:sz w:val="24"/>
          <w:szCs w:val="24"/>
        </w:rPr>
        <w:t xml:space="preserve"> </w:t>
      </w:r>
      <w:r w:rsidR="003A5112" w:rsidRPr="005B37B4">
        <w:rPr>
          <w:rFonts w:ascii="Tahoma" w:hAnsi="Tahoma" w:cs="Tahoma"/>
          <w:b/>
          <w:sz w:val="24"/>
          <w:szCs w:val="24"/>
        </w:rPr>
        <w:fldChar w:fldCharType="begin" w:fldLock="1"/>
      </w:r>
      <w:r w:rsidR="00B60449">
        <w:rPr>
          <w:rFonts w:ascii="Tahoma" w:hAnsi="Tahoma" w:cs="Tahoma"/>
          <w:b/>
          <w:sz w:val="24"/>
          <w:szCs w:val="24"/>
        </w:rPr>
        <w:instrText>ADDIN CSL_CITATION {"citationItems":[{"id":"ITEM-1","itemData":{"DOI":"10.3390/su10113923","ISSN":"20711050","abstract":"We develop a new conceptual framework to analyze the evolution of the relationship between cultural production and different forms of economic and social value creation in terms of three alternative socio-technical regimes that have emerged over time. We show how, with the emergence of the Culture 3.0 regime characterized by novel forms of active cultural participation, where the distinction between producers and users of cultural and creative contents is increasingly blurred, new channels of social and economic value creation through cultural participation acquire increasing importance. We characterize them through an eight-tier classification, and argue on this basis why cultural policy is going to acquire a central role in the policy design approaches of the future. Whether Europe will play the role of a strategic leader in this scenario in the context of future cohesion policies is an open question.","author":[{"dropping-particle":"","family":"Sacco","given":"Pier Luigi","non-dropping-particle":"","parse-names":false,"suffix":""},{"dropping-particle":"","family":"Ferilli","given":"Guido","non-dropping-particle":"","parse-names":false,"suffix":""},{"dropping-particle":"","family":"Blessi","given":"Giorgio Tavano","non-dropping-particle":"","parse-names":false,"suffix":""}],"container-title":"Sustainability (Switzerland)","id":"ITEM-1","issue":"11","issued":{"date-parts":[["2018"]]},"page":"0-23","title":"From Culture 1.0 to Culture 3.0: Three socio-technical regimes of social and economic value creation through culture, and their impact on European cohesion policies","type":"article-journal","volume":"10"},"uris":["http://www.mendeley.com/documents/?uuid=a287bde4-9fce-4d75-9c38-b826bf0d4243"]}],"mendeley":{"formattedCitation":"(Sacco et al., 2018)","plainTextFormattedCitation":"(Sacco et al., 2018)","previouslyFormattedCitation":"(Sacco et al., 2018)"},"properties":{"noteIndex":0},"schema":"https://github.com/citation-style-language/schema/raw/master/csl-citation.json"}</w:instrText>
      </w:r>
      <w:r w:rsidR="003A5112" w:rsidRPr="005B37B4">
        <w:rPr>
          <w:rFonts w:ascii="Tahoma" w:hAnsi="Tahoma" w:cs="Tahoma"/>
          <w:b/>
          <w:sz w:val="24"/>
          <w:szCs w:val="24"/>
        </w:rPr>
        <w:fldChar w:fldCharType="separate"/>
      </w:r>
      <w:r w:rsidR="003D1903" w:rsidRPr="003D1903">
        <w:rPr>
          <w:rFonts w:ascii="Tahoma" w:hAnsi="Tahoma" w:cs="Tahoma"/>
          <w:noProof/>
          <w:sz w:val="24"/>
          <w:szCs w:val="24"/>
        </w:rPr>
        <w:t>(Sacco et al., 2018)</w:t>
      </w:r>
      <w:r w:rsidR="003A5112" w:rsidRPr="005B37B4">
        <w:rPr>
          <w:rFonts w:ascii="Tahoma" w:hAnsi="Tahoma" w:cs="Tahoma"/>
          <w:b/>
          <w:sz w:val="24"/>
          <w:szCs w:val="24"/>
        </w:rPr>
        <w:fldChar w:fldCharType="end"/>
      </w:r>
      <w:r w:rsidR="0098534D" w:rsidRPr="005B37B4">
        <w:rPr>
          <w:rFonts w:ascii="Tahoma" w:hAnsi="Tahoma" w:cs="Tahoma"/>
          <w:sz w:val="24"/>
          <w:szCs w:val="24"/>
        </w:rPr>
        <w:t>. Boehm theorised how Culture 3.0 could apply in an academic context, in particular in regard to the curation of new knowledge in the arts</w:t>
      </w:r>
      <w:r w:rsidR="00F62B44" w:rsidRPr="005B37B4">
        <w:rPr>
          <w:rFonts w:ascii="Tahoma" w:hAnsi="Tahoma" w:cs="Tahoma"/>
          <w:sz w:val="24"/>
          <w:szCs w:val="24"/>
        </w:rPr>
        <w:t xml:space="preserve">, </w:t>
      </w:r>
      <w:r w:rsidR="00E40BC9">
        <w:rPr>
          <w:rFonts w:ascii="Tahoma" w:hAnsi="Tahoma" w:cs="Tahoma"/>
          <w:sz w:val="24"/>
          <w:szCs w:val="24"/>
        </w:rPr>
        <w:t xml:space="preserve">by </w:t>
      </w:r>
      <w:r w:rsidR="00F62B44" w:rsidRPr="005B37B4">
        <w:rPr>
          <w:rFonts w:ascii="Tahoma" w:hAnsi="Tahoma" w:cs="Tahoma"/>
          <w:sz w:val="24"/>
          <w:szCs w:val="24"/>
        </w:rPr>
        <w:t>calling for an intellectual shift towards bi-directional knowledge exchange</w:t>
      </w:r>
      <w:r w:rsidR="00E40BC9">
        <w:rPr>
          <w:rFonts w:ascii="Tahoma" w:hAnsi="Tahoma" w:cs="Tahoma"/>
          <w:sz w:val="24"/>
          <w:szCs w:val="24"/>
        </w:rPr>
        <w:t>,</w:t>
      </w:r>
      <w:r w:rsidR="00F62B44" w:rsidRPr="005B37B4">
        <w:rPr>
          <w:rFonts w:ascii="Tahoma" w:hAnsi="Tahoma" w:cs="Tahoma"/>
          <w:sz w:val="24"/>
          <w:szCs w:val="24"/>
        </w:rPr>
        <w:t xml:space="preserve"> rather than unidirectional knowledge transfer</w:t>
      </w:r>
      <w:r w:rsidR="00E40BC9">
        <w:rPr>
          <w:rFonts w:ascii="Tahoma" w:hAnsi="Tahoma" w:cs="Tahoma"/>
          <w:sz w:val="24"/>
          <w:szCs w:val="24"/>
        </w:rPr>
        <w:t xml:space="preserve">, </w:t>
      </w:r>
      <w:r w:rsidR="00F62B44" w:rsidRPr="005B37B4">
        <w:rPr>
          <w:rFonts w:ascii="Tahoma" w:hAnsi="Tahoma" w:cs="Tahoma"/>
          <w:sz w:val="24"/>
          <w:szCs w:val="24"/>
        </w:rPr>
        <w:t>with increased emphasis on co-production, impact and benefit</w:t>
      </w:r>
      <w:r w:rsidR="0098534D" w:rsidRPr="005B37B4">
        <w:rPr>
          <w:rFonts w:ascii="Tahoma" w:hAnsi="Tahoma" w:cs="Tahoma"/>
          <w:sz w:val="24"/>
          <w:szCs w:val="24"/>
        </w:rPr>
        <w:t xml:space="preserve"> </w:t>
      </w:r>
      <w:r w:rsidR="003A5112" w:rsidRPr="005B37B4">
        <w:rPr>
          <w:rFonts w:ascii="Tahoma" w:hAnsi="Tahoma" w:cs="Tahoma"/>
          <w:sz w:val="24"/>
          <w:szCs w:val="24"/>
        </w:rPr>
        <w:fldChar w:fldCharType="begin" w:fldLock="1"/>
      </w:r>
      <w:r w:rsidR="00A43CF7" w:rsidRPr="005B37B4">
        <w:rPr>
          <w:rFonts w:ascii="Tahoma" w:hAnsi="Tahoma" w:cs="Tahoma"/>
          <w:sz w:val="24"/>
          <w:szCs w:val="24"/>
        </w:rPr>
        <w:instrText>ADDIN CSL_CITATION {"citationItems":[{"id":"ITEM-1","itemData":{"ISSN":"2175-8131","author":[{"dropping-particle":"","family":"Boehm","given":"Carola","non-dropping-particle":"","parse-names":false,"suffix":""}],"container-title":"REPERTÓRIO: Teatro &amp; Dança","id":"ITEM-1","issue":"27","issued":{"date-parts":[["2016"]]},"page":"37-48","title":"Academia in Culture 3.0: a Crime story of Death and Rebirth (but also of Curation, Innovation and Sector Mash-ups)","type":"article-journal","volume":"19"},"uris":["http://www.mendeley.com/documents/?uuid=0ffc4e48-c383-4b66-85db-cc2515de67c1"]}],"mendeley":{"formattedCitation":"(Boehm, 2016)","plainTextFormattedCitation":"(Boehm, 2016)","previouslyFormattedCitation":"(Boehm, 2016)"},"properties":{"noteIndex":0},"schema":"https://github.com/citation-style-language/schema/raw/master/csl-citation.json"}</w:instrText>
      </w:r>
      <w:r w:rsidR="003A5112" w:rsidRPr="005B37B4">
        <w:rPr>
          <w:rFonts w:ascii="Tahoma" w:hAnsi="Tahoma" w:cs="Tahoma"/>
          <w:sz w:val="24"/>
          <w:szCs w:val="24"/>
        </w:rPr>
        <w:fldChar w:fldCharType="separate"/>
      </w:r>
      <w:r w:rsidR="0098534D" w:rsidRPr="005B37B4">
        <w:rPr>
          <w:rFonts w:ascii="Tahoma" w:hAnsi="Tahoma" w:cs="Tahoma"/>
          <w:noProof/>
          <w:sz w:val="24"/>
          <w:szCs w:val="24"/>
        </w:rPr>
        <w:t>(Boehm, 2016)</w:t>
      </w:r>
      <w:r w:rsidR="003A5112" w:rsidRPr="005B37B4">
        <w:rPr>
          <w:rFonts w:ascii="Tahoma" w:hAnsi="Tahoma" w:cs="Tahoma"/>
          <w:sz w:val="24"/>
          <w:szCs w:val="24"/>
        </w:rPr>
        <w:fldChar w:fldCharType="end"/>
      </w:r>
      <w:r w:rsidR="0098534D" w:rsidRPr="005B37B4">
        <w:rPr>
          <w:rFonts w:ascii="Tahoma" w:hAnsi="Tahoma" w:cs="Tahoma"/>
          <w:sz w:val="24"/>
          <w:szCs w:val="24"/>
        </w:rPr>
        <w:t>.</w:t>
      </w:r>
    </w:p>
    <w:p w:rsidR="00245FFA" w:rsidRPr="005B37B4" w:rsidRDefault="00245FFA" w:rsidP="00351480">
      <w:pPr>
        <w:spacing w:line="360" w:lineRule="auto"/>
        <w:rPr>
          <w:rFonts w:ascii="Tahoma" w:hAnsi="Tahoma" w:cs="Tahoma"/>
          <w:sz w:val="24"/>
          <w:szCs w:val="24"/>
        </w:rPr>
      </w:pPr>
      <w:bookmarkStart w:id="6" w:name="_Hlk30264891"/>
      <w:r w:rsidRPr="005B37B4">
        <w:rPr>
          <w:rFonts w:ascii="Tahoma" w:hAnsi="Tahoma" w:cs="Tahoma"/>
          <w:sz w:val="24"/>
          <w:szCs w:val="24"/>
        </w:rPr>
        <w:t xml:space="preserve">The Philip Astley Project </w:t>
      </w:r>
      <w:r w:rsidR="009E0A51" w:rsidRPr="005B37B4">
        <w:rPr>
          <w:rFonts w:ascii="Tahoma" w:hAnsi="Tahoma" w:cs="Tahoma"/>
          <w:sz w:val="24"/>
          <w:szCs w:val="24"/>
        </w:rPr>
        <w:t xml:space="preserve">built public interaction and co-creation into </w:t>
      </w:r>
      <w:r w:rsidR="00E40BC9">
        <w:rPr>
          <w:rFonts w:ascii="Tahoma" w:hAnsi="Tahoma" w:cs="Tahoma"/>
          <w:sz w:val="24"/>
          <w:szCs w:val="24"/>
        </w:rPr>
        <w:t>a</w:t>
      </w:r>
      <w:r w:rsidR="009E0A51" w:rsidRPr="005B37B4">
        <w:rPr>
          <w:rFonts w:ascii="Tahoma" w:hAnsi="Tahoma" w:cs="Tahoma"/>
          <w:sz w:val="24"/>
          <w:szCs w:val="24"/>
        </w:rPr>
        <w:t xml:space="preserve"> research process where the researcher acted as curator, enabling and overseeing public research and presenting it in a way that was accessible for a wide audience. This non-linear research process enabled strong engagement </w:t>
      </w:r>
      <w:r w:rsidRPr="005B37B4">
        <w:rPr>
          <w:rFonts w:ascii="Tahoma" w:hAnsi="Tahoma" w:cs="Tahoma"/>
          <w:sz w:val="24"/>
          <w:szCs w:val="24"/>
        </w:rPr>
        <w:t xml:space="preserve">from many diverse groups across the city including public volunteers, </w:t>
      </w:r>
      <w:r w:rsidR="0044196F" w:rsidRPr="005B37B4">
        <w:rPr>
          <w:rFonts w:ascii="Tahoma" w:hAnsi="Tahoma" w:cs="Tahoma"/>
          <w:sz w:val="24"/>
          <w:szCs w:val="24"/>
        </w:rPr>
        <w:t xml:space="preserve">circus professionals, arts organisations, museums, business groups, city councils, and local schools and colleges. </w:t>
      </w:r>
      <w:r w:rsidR="009E0A51" w:rsidRPr="005B37B4">
        <w:rPr>
          <w:rFonts w:ascii="Tahoma" w:hAnsi="Tahoma" w:cs="Tahoma"/>
          <w:sz w:val="24"/>
          <w:szCs w:val="24"/>
        </w:rPr>
        <w:t xml:space="preserve">It allowed people without formal qualifications to </w:t>
      </w:r>
      <w:r w:rsidR="00356B71" w:rsidRPr="005B37B4">
        <w:rPr>
          <w:rFonts w:ascii="Tahoma" w:hAnsi="Tahoma" w:cs="Tahoma"/>
          <w:sz w:val="24"/>
          <w:szCs w:val="24"/>
        </w:rPr>
        <w:t>gain new skills, contribute to</w:t>
      </w:r>
      <w:r w:rsidR="009E0A51" w:rsidRPr="005B37B4">
        <w:rPr>
          <w:rFonts w:ascii="Tahoma" w:hAnsi="Tahoma" w:cs="Tahoma"/>
          <w:sz w:val="24"/>
          <w:szCs w:val="24"/>
        </w:rPr>
        <w:t xml:space="preserve"> academic research, </w:t>
      </w:r>
      <w:r w:rsidR="00356B71" w:rsidRPr="005B37B4">
        <w:rPr>
          <w:rFonts w:ascii="Tahoma" w:hAnsi="Tahoma" w:cs="Tahoma"/>
          <w:sz w:val="24"/>
          <w:szCs w:val="24"/>
        </w:rPr>
        <w:t xml:space="preserve">and </w:t>
      </w:r>
      <w:r w:rsidR="00F55E5D" w:rsidRPr="005B37B4">
        <w:rPr>
          <w:rFonts w:ascii="Tahoma" w:hAnsi="Tahoma" w:cs="Tahoma"/>
          <w:sz w:val="24"/>
          <w:szCs w:val="24"/>
        </w:rPr>
        <w:t>feel a</w:t>
      </w:r>
      <w:r w:rsidR="00356B71" w:rsidRPr="005B37B4">
        <w:rPr>
          <w:rFonts w:ascii="Tahoma" w:hAnsi="Tahoma" w:cs="Tahoma"/>
          <w:sz w:val="24"/>
          <w:szCs w:val="24"/>
        </w:rPr>
        <w:t xml:space="preserve"> </w:t>
      </w:r>
      <w:r w:rsidR="00F55E5D" w:rsidRPr="005B37B4">
        <w:rPr>
          <w:rFonts w:ascii="Tahoma" w:hAnsi="Tahoma" w:cs="Tahoma"/>
          <w:sz w:val="24"/>
          <w:szCs w:val="24"/>
        </w:rPr>
        <w:t xml:space="preserve">positive </w:t>
      </w:r>
      <w:r w:rsidR="0044196F" w:rsidRPr="005B37B4">
        <w:rPr>
          <w:rFonts w:ascii="Tahoma" w:hAnsi="Tahoma" w:cs="Tahoma"/>
          <w:sz w:val="24"/>
          <w:szCs w:val="24"/>
        </w:rPr>
        <w:t>connect</w:t>
      </w:r>
      <w:r w:rsidR="00F55E5D" w:rsidRPr="005B37B4">
        <w:rPr>
          <w:rFonts w:ascii="Tahoma" w:hAnsi="Tahoma" w:cs="Tahoma"/>
          <w:sz w:val="24"/>
          <w:szCs w:val="24"/>
        </w:rPr>
        <w:t>ion</w:t>
      </w:r>
      <w:r w:rsidR="0044196F" w:rsidRPr="005B37B4">
        <w:rPr>
          <w:rFonts w:ascii="Tahoma" w:hAnsi="Tahoma" w:cs="Tahoma"/>
          <w:sz w:val="24"/>
          <w:szCs w:val="24"/>
        </w:rPr>
        <w:t xml:space="preserve"> to</w:t>
      </w:r>
      <w:r w:rsidR="00356B71" w:rsidRPr="005B37B4">
        <w:rPr>
          <w:rFonts w:ascii="Tahoma" w:hAnsi="Tahoma" w:cs="Tahoma"/>
          <w:sz w:val="24"/>
          <w:szCs w:val="24"/>
        </w:rPr>
        <w:t xml:space="preserve"> the </w:t>
      </w:r>
      <w:r w:rsidR="009E0A51" w:rsidRPr="005B37B4">
        <w:rPr>
          <w:rFonts w:ascii="Tahoma" w:hAnsi="Tahoma" w:cs="Tahoma"/>
          <w:sz w:val="24"/>
          <w:szCs w:val="24"/>
        </w:rPr>
        <w:t>University</w:t>
      </w:r>
      <w:r w:rsidR="00F55E5D" w:rsidRPr="005B37B4">
        <w:rPr>
          <w:rFonts w:ascii="Tahoma" w:hAnsi="Tahoma" w:cs="Tahoma"/>
          <w:sz w:val="24"/>
          <w:szCs w:val="24"/>
        </w:rPr>
        <w:t xml:space="preserve"> in the</w:t>
      </w:r>
      <w:r w:rsidR="00F567B2">
        <w:rPr>
          <w:rFonts w:ascii="Tahoma" w:hAnsi="Tahoma" w:cs="Tahoma"/>
          <w:sz w:val="24"/>
          <w:szCs w:val="24"/>
        </w:rPr>
        <w:t>ir</w:t>
      </w:r>
      <w:r w:rsidR="00F55E5D" w:rsidRPr="005B37B4">
        <w:rPr>
          <w:rFonts w:ascii="Tahoma" w:hAnsi="Tahoma" w:cs="Tahoma"/>
          <w:sz w:val="24"/>
          <w:szCs w:val="24"/>
        </w:rPr>
        <w:t xml:space="preserve"> locality</w:t>
      </w:r>
      <w:r w:rsidR="00356B71" w:rsidRPr="005B37B4">
        <w:rPr>
          <w:rFonts w:ascii="Tahoma" w:hAnsi="Tahoma" w:cs="Tahoma"/>
          <w:sz w:val="24"/>
          <w:szCs w:val="24"/>
        </w:rPr>
        <w:t>.</w:t>
      </w:r>
    </w:p>
    <w:bookmarkEnd w:id="6"/>
    <w:p w:rsidR="00356B71" w:rsidRPr="005B37B4" w:rsidRDefault="00356B71" w:rsidP="00351480">
      <w:pPr>
        <w:spacing w:line="360" w:lineRule="auto"/>
        <w:rPr>
          <w:rFonts w:ascii="Tahoma" w:hAnsi="Tahoma" w:cs="Tahoma"/>
          <w:b/>
          <w:sz w:val="24"/>
          <w:szCs w:val="24"/>
        </w:rPr>
      </w:pPr>
    </w:p>
    <w:p w:rsidR="00E40BC9" w:rsidRDefault="00E40BC9" w:rsidP="00351480">
      <w:pPr>
        <w:spacing w:line="360" w:lineRule="auto"/>
        <w:rPr>
          <w:rFonts w:ascii="Tahoma" w:hAnsi="Tahoma" w:cs="Tahoma"/>
          <w:b/>
          <w:sz w:val="28"/>
          <w:szCs w:val="28"/>
        </w:rPr>
      </w:pPr>
    </w:p>
    <w:p w:rsidR="00E40BC9" w:rsidRDefault="00E40BC9" w:rsidP="00351480">
      <w:pPr>
        <w:spacing w:line="360" w:lineRule="auto"/>
        <w:rPr>
          <w:rFonts w:ascii="Tahoma" w:hAnsi="Tahoma" w:cs="Tahoma"/>
          <w:b/>
          <w:sz w:val="28"/>
          <w:szCs w:val="28"/>
        </w:rPr>
      </w:pPr>
    </w:p>
    <w:p w:rsidR="00356B71" w:rsidRPr="005B37B4" w:rsidRDefault="006017C7" w:rsidP="00351480">
      <w:pPr>
        <w:spacing w:line="360" w:lineRule="auto"/>
        <w:rPr>
          <w:rFonts w:ascii="Tahoma" w:hAnsi="Tahoma" w:cs="Tahoma"/>
          <w:b/>
          <w:sz w:val="28"/>
          <w:szCs w:val="28"/>
        </w:rPr>
      </w:pPr>
      <w:r w:rsidRPr="005B37B4">
        <w:rPr>
          <w:rFonts w:ascii="Tahoma" w:hAnsi="Tahoma" w:cs="Tahoma"/>
          <w:b/>
          <w:sz w:val="28"/>
          <w:szCs w:val="28"/>
        </w:rPr>
        <w:lastRenderedPageBreak/>
        <w:t>T</w:t>
      </w:r>
      <w:r w:rsidR="00356B71" w:rsidRPr="005B37B4">
        <w:rPr>
          <w:rFonts w:ascii="Tahoma" w:hAnsi="Tahoma" w:cs="Tahoma"/>
          <w:b/>
          <w:sz w:val="28"/>
          <w:szCs w:val="28"/>
        </w:rPr>
        <w:t xml:space="preserve">he Philip </w:t>
      </w:r>
      <w:proofErr w:type="spellStart"/>
      <w:r w:rsidR="00356B71" w:rsidRPr="005B37B4">
        <w:rPr>
          <w:rFonts w:ascii="Tahoma" w:hAnsi="Tahoma" w:cs="Tahoma"/>
          <w:b/>
          <w:sz w:val="28"/>
          <w:szCs w:val="28"/>
        </w:rPr>
        <w:t>Astley</w:t>
      </w:r>
      <w:proofErr w:type="spellEnd"/>
      <w:r w:rsidR="00356B71" w:rsidRPr="005B37B4">
        <w:rPr>
          <w:rFonts w:ascii="Tahoma" w:hAnsi="Tahoma" w:cs="Tahoma"/>
          <w:b/>
          <w:sz w:val="28"/>
          <w:szCs w:val="28"/>
        </w:rPr>
        <w:t xml:space="preserve"> Project</w:t>
      </w:r>
      <w:r w:rsidRPr="005B37B4">
        <w:rPr>
          <w:rFonts w:ascii="Tahoma" w:hAnsi="Tahoma" w:cs="Tahoma"/>
          <w:b/>
          <w:sz w:val="28"/>
          <w:szCs w:val="28"/>
        </w:rPr>
        <w:t xml:space="preserve"> </w:t>
      </w:r>
    </w:p>
    <w:p w:rsidR="00584794" w:rsidRPr="005B37B4" w:rsidRDefault="00584794" w:rsidP="00351480">
      <w:pPr>
        <w:spacing w:line="360" w:lineRule="auto"/>
        <w:rPr>
          <w:rFonts w:ascii="Tahoma" w:hAnsi="Tahoma" w:cs="Tahoma"/>
          <w:sz w:val="24"/>
          <w:szCs w:val="24"/>
        </w:rPr>
      </w:pPr>
      <w:r w:rsidRPr="005B37B4">
        <w:rPr>
          <w:rFonts w:ascii="Tahoma" w:hAnsi="Tahoma" w:cs="Tahoma"/>
          <w:sz w:val="24"/>
          <w:szCs w:val="24"/>
        </w:rPr>
        <w:t>Born in 1742, Philip Astley spent his early life in Newcastle-under-Lyme and is recognised internationally as the ‘father of the modern-day circus’. Although Astley didn’t invent the many acts we now see performed under the umbrella of circus, he was the first to bring different acts such as clowns, acrobats and jugglers together in one show, and his 13m diameter circus ring is still in use today.</w:t>
      </w:r>
    </w:p>
    <w:p w:rsidR="00B859A2" w:rsidRPr="005B37B4" w:rsidRDefault="006017C7" w:rsidP="00351480">
      <w:pPr>
        <w:spacing w:line="360" w:lineRule="auto"/>
        <w:rPr>
          <w:rFonts w:ascii="Tahoma" w:hAnsi="Tahoma" w:cs="Tahoma"/>
          <w:sz w:val="24"/>
          <w:szCs w:val="24"/>
        </w:rPr>
      </w:pPr>
      <w:r w:rsidRPr="005B37B4">
        <w:rPr>
          <w:rFonts w:ascii="Tahoma" w:hAnsi="Tahoma" w:cs="Tahoma"/>
          <w:sz w:val="24"/>
          <w:szCs w:val="24"/>
        </w:rPr>
        <w:t>The Philip Astley Project</w:t>
      </w:r>
      <w:r w:rsidR="00C22CB4" w:rsidRPr="005B37B4">
        <w:rPr>
          <w:rFonts w:ascii="Tahoma" w:hAnsi="Tahoma" w:cs="Tahoma"/>
          <w:sz w:val="24"/>
          <w:szCs w:val="24"/>
        </w:rPr>
        <w:t>, which</w:t>
      </w:r>
      <w:r w:rsidRPr="005B37B4">
        <w:rPr>
          <w:rFonts w:ascii="Tahoma" w:hAnsi="Tahoma" w:cs="Tahoma"/>
          <w:sz w:val="24"/>
          <w:szCs w:val="24"/>
        </w:rPr>
        <w:t xml:space="preserve"> </w:t>
      </w:r>
      <w:r w:rsidR="008B11BB" w:rsidRPr="005B37B4">
        <w:rPr>
          <w:rFonts w:ascii="Tahoma" w:hAnsi="Tahoma" w:cs="Tahoma"/>
          <w:sz w:val="24"/>
          <w:szCs w:val="24"/>
        </w:rPr>
        <w:t xml:space="preserve">ran for 18 months between </w:t>
      </w:r>
      <w:r w:rsidR="00C22CB4" w:rsidRPr="005B37B4">
        <w:rPr>
          <w:rFonts w:ascii="Tahoma" w:hAnsi="Tahoma" w:cs="Tahoma"/>
          <w:sz w:val="24"/>
          <w:szCs w:val="24"/>
        </w:rPr>
        <w:t xml:space="preserve">May 2017 and December 2018, </w:t>
      </w:r>
      <w:r w:rsidRPr="005B37B4">
        <w:rPr>
          <w:rFonts w:ascii="Tahoma" w:hAnsi="Tahoma" w:cs="Tahoma"/>
          <w:sz w:val="24"/>
          <w:szCs w:val="24"/>
        </w:rPr>
        <w:t>was a multi-partner initiative funded by Heritage Lottery and led by Staffordshire University to research and raise awareness of Newcastle-under-Lyme’s historical link to circus by bringing the past to life in an engaging and accessible way, raising pride in the town’s heritage.</w:t>
      </w:r>
    </w:p>
    <w:p w:rsidR="003D214F" w:rsidRPr="005B37B4" w:rsidRDefault="000D16A9" w:rsidP="00351480">
      <w:pPr>
        <w:spacing w:line="360" w:lineRule="auto"/>
        <w:rPr>
          <w:rFonts w:ascii="Tahoma" w:hAnsi="Tahoma" w:cs="Tahoma"/>
          <w:sz w:val="24"/>
          <w:szCs w:val="24"/>
        </w:rPr>
      </w:pPr>
      <w:r>
        <w:rPr>
          <w:rFonts w:ascii="Tahoma" w:hAnsi="Tahoma" w:cs="Tahoma"/>
          <w:sz w:val="24"/>
          <w:szCs w:val="24"/>
        </w:rPr>
        <w:t>Staffordshire University’s involvement in t</w:t>
      </w:r>
      <w:r w:rsidR="003D214F" w:rsidRPr="005B37B4">
        <w:rPr>
          <w:rFonts w:ascii="Tahoma" w:hAnsi="Tahoma" w:cs="Tahoma"/>
          <w:sz w:val="24"/>
          <w:szCs w:val="24"/>
        </w:rPr>
        <w:t>he project had three strands:</w:t>
      </w:r>
    </w:p>
    <w:p w:rsidR="003D214F" w:rsidRPr="005B37B4" w:rsidRDefault="007579A2" w:rsidP="00351480">
      <w:pPr>
        <w:pStyle w:val="ListParagraph"/>
        <w:numPr>
          <w:ilvl w:val="0"/>
          <w:numId w:val="6"/>
        </w:numPr>
        <w:spacing w:line="360" w:lineRule="auto"/>
        <w:rPr>
          <w:rFonts w:ascii="Tahoma" w:hAnsi="Tahoma" w:cs="Tahoma"/>
          <w:sz w:val="24"/>
          <w:szCs w:val="24"/>
        </w:rPr>
      </w:pPr>
      <w:r>
        <w:rPr>
          <w:rFonts w:ascii="Tahoma" w:hAnsi="Tahoma" w:cs="Tahoma"/>
          <w:sz w:val="24"/>
          <w:szCs w:val="24"/>
        </w:rPr>
        <w:t>Project management</w:t>
      </w:r>
      <w:r w:rsidR="003D214F" w:rsidRPr="005B37B4">
        <w:rPr>
          <w:rFonts w:ascii="Tahoma" w:hAnsi="Tahoma" w:cs="Tahoma"/>
          <w:sz w:val="24"/>
          <w:szCs w:val="24"/>
        </w:rPr>
        <w:t xml:space="preserve">, which involved </w:t>
      </w:r>
      <w:r w:rsidR="0097603A" w:rsidRPr="005B37B4">
        <w:rPr>
          <w:rFonts w:ascii="Tahoma" w:hAnsi="Tahoma" w:cs="Tahoma"/>
          <w:sz w:val="24"/>
          <w:szCs w:val="24"/>
        </w:rPr>
        <w:t xml:space="preserve">co-ordinating </w:t>
      </w:r>
      <w:r w:rsidR="003D214F" w:rsidRPr="005B37B4">
        <w:rPr>
          <w:rFonts w:ascii="Tahoma" w:hAnsi="Tahoma" w:cs="Tahoma"/>
          <w:sz w:val="24"/>
          <w:szCs w:val="24"/>
        </w:rPr>
        <w:t xml:space="preserve">various partners </w:t>
      </w:r>
      <w:r w:rsidR="0097603A" w:rsidRPr="005B37B4">
        <w:rPr>
          <w:rFonts w:ascii="Tahoma" w:hAnsi="Tahoma" w:cs="Tahoma"/>
          <w:sz w:val="24"/>
          <w:szCs w:val="24"/>
        </w:rPr>
        <w:t>to deliver</w:t>
      </w:r>
      <w:r w:rsidR="003D214F" w:rsidRPr="005B37B4">
        <w:rPr>
          <w:rFonts w:ascii="Tahoma" w:hAnsi="Tahoma" w:cs="Tahoma"/>
          <w:sz w:val="24"/>
          <w:szCs w:val="24"/>
        </w:rPr>
        <w:t xml:space="preserve"> a range of heritage circus events and workshop</w:t>
      </w:r>
      <w:r w:rsidR="0097603A" w:rsidRPr="005B37B4">
        <w:rPr>
          <w:rFonts w:ascii="Tahoma" w:hAnsi="Tahoma" w:cs="Tahoma"/>
          <w:sz w:val="24"/>
          <w:szCs w:val="24"/>
        </w:rPr>
        <w:t>s</w:t>
      </w:r>
      <w:r w:rsidR="003D214F" w:rsidRPr="005B37B4">
        <w:rPr>
          <w:rFonts w:ascii="Tahoma" w:hAnsi="Tahoma" w:cs="Tahoma"/>
          <w:sz w:val="24"/>
          <w:szCs w:val="24"/>
        </w:rPr>
        <w:t xml:space="preserve"> on the theme of the 250th anniversary of the circus. </w:t>
      </w:r>
    </w:p>
    <w:p w:rsidR="003D214F" w:rsidRPr="005B37B4" w:rsidRDefault="00E20137" w:rsidP="00351480">
      <w:pPr>
        <w:pStyle w:val="ListParagraph"/>
        <w:numPr>
          <w:ilvl w:val="0"/>
          <w:numId w:val="6"/>
        </w:numPr>
        <w:spacing w:line="360" w:lineRule="auto"/>
        <w:rPr>
          <w:rFonts w:ascii="Tahoma" w:hAnsi="Tahoma" w:cs="Tahoma"/>
          <w:sz w:val="24"/>
          <w:szCs w:val="24"/>
        </w:rPr>
      </w:pPr>
      <w:r w:rsidRPr="005B37B4">
        <w:rPr>
          <w:rFonts w:ascii="Tahoma" w:hAnsi="Tahoma" w:cs="Tahoma"/>
          <w:sz w:val="24"/>
          <w:szCs w:val="24"/>
        </w:rPr>
        <w:t>H</w:t>
      </w:r>
      <w:r w:rsidR="003D214F" w:rsidRPr="005B37B4">
        <w:rPr>
          <w:rFonts w:ascii="Tahoma" w:hAnsi="Tahoma" w:cs="Tahoma"/>
          <w:sz w:val="24"/>
          <w:szCs w:val="24"/>
        </w:rPr>
        <w:t>eritage research</w:t>
      </w:r>
      <w:r w:rsidR="0097603A" w:rsidRPr="005B37B4">
        <w:rPr>
          <w:rFonts w:ascii="Tahoma" w:hAnsi="Tahoma" w:cs="Tahoma"/>
          <w:sz w:val="24"/>
          <w:szCs w:val="24"/>
        </w:rPr>
        <w:t>.</w:t>
      </w:r>
    </w:p>
    <w:p w:rsidR="003D214F" w:rsidRPr="005B37B4" w:rsidRDefault="003D214F" w:rsidP="00351480">
      <w:pPr>
        <w:pStyle w:val="ListParagraph"/>
        <w:numPr>
          <w:ilvl w:val="0"/>
          <w:numId w:val="6"/>
        </w:numPr>
        <w:spacing w:line="360" w:lineRule="auto"/>
        <w:rPr>
          <w:rFonts w:ascii="Tahoma" w:hAnsi="Tahoma" w:cs="Tahoma"/>
          <w:sz w:val="24"/>
          <w:szCs w:val="24"/>
        </w:rPr>
      </w:pPr>
      <w:r w:rsidRPr="005B37B4">
        <w:rPr>
          <w:rFonts w:ascii="Tahoma" w:hAnsi="Tahoma" w:cs="Tahoma"/>
          <w:sz w:val="24"/>
          <w:szCs w:val="24"/>
        </w:rPr>
        <w:t xml:space="preserve">Student </w:t>
      </w:r>
      <w:r w:rsidR="0097603A" w:rsidRPr="005B37B4">
        <w:rPr>
          <w:rFonts w:ascii="Tahoma" w:hAnsi="Tahoma" w:cs="Tahoma"/>
          <w:sz w:val="24"/>
          <w:szCs w:val="24"/>
        </w:rPr>
        <w:t>engagement.</w:t>
      </w:r>
    </w:p>
    <w:p w:rsidR="0097603A" w:rsidRPr="005B37B4" w:rsidRDefault="0097603A" w:rsidP="00351480">
      <w:pPr>
        <w:spacing w:line="360" w:lineRule="auto"/>
        <w:rPr>
          <w:rFonts w:ascii="Tahoma" w:hAnsi="Tahoma" w:cs="Tahoma"/>
          <w:sz w:val="24"/>
          <w:szCs w:val="24"/>
        </w:rPr>
      </w:pPr>
      <w:r w:rsidRPr="005B37B4">
        <w:rPr>
          <w:rFonts w:ascii="Tahoma" w:hAnsi="Tahoma" w:cs="Tahoma"/>
          <w:sz w:val="24"/>
          <w:szCs w:val="24"/>
        </w:rPr>
        <w:t>These three areas</w:t>
      </w:r>
      <w:r w:rsidR="007579A2">
        <w:rPr>
          <w:rFonts w:ascii="Tahoma" w:hAnsi="Tahoma" w:cs="Tahoma"/>
          <w:sz w:val="24"/>
          <w:szCs w:val="24"/>
        </w:rPr>
        <w:t xml:space="preserve"> </w:t>
      </w:r>
      <w:r w:rsidRPr="005B37B4">
        <w:rPr>
          <w:rFonts w:ascii="Tahoma" w:hAnsi="Tahoma" w:cs="Tahoma"/>
          <w:sz w:val="24"/>
          <w:szCs w:val="24"/>
        </w:rPr>
        <w:t xml:space="preserve">can be thought of as coming under </w:t>
      </w:r>
      <w:r w:rsidR="00F567B2">
        <w:rPr>
          <w:rFonts w:ascii="Tahoma" w:hAnsi="Tahoma" w:cs="Tahoma"/>
          <w:sz w:val="24"/>
          <w:szCs w:val="24"/>
        </w:rPr>
        <w:t xml:space="preserve">the broad </w:t>
      </w:r>
      <w:r w:rsidR="007579A2">
        <w:rPr>
          <w:rFonts w:ascii="Tahoma" w:hAnsi="Tahoma" w:cs="Tahoma"/>
          <w:sz w:val="24"/>
          <w:szCs w:val="24"/>
        </w:rPr>
        <w:t xml:space="preserve">higher education </w:t>
      </w:r>
      <w:r w:rsidRPr="005B37B4">
        <w:rPr>
          <w:rFonts w:ascii="Tahoma" w:hAnsi="Tahoma" w:cs="Tahoma"/>
          <w:sz w:val="24"/>
          <w:szCs w:val="24"/>
        </w:rPr>
        <w:t>umbrellas of engagement, research and teaching.</w:t>
      </w:r>
    </w:p>
    <w:p w:rsidR="0097603A" w:rsidRPr="005B37B4" w:rsidRDefault="0097603A" w:rsidP="00351480">
      <w:pPr>
        <w:spacing w:line="360" w:lineRule="auto"/>
        <w:rPr>
          <w:rFonts w:ascii="Tahoma" w:hAnsi="Tahoma" w:cs="Tahoma"/>
          <w:b/>
          <w:sz w:val="28"/>
          <w:szCs w:val="28"/>
        </w:rPr>
      </w:pPr>
      <w:r w:rsidRPr="00834358">
        <w:rPr>
          <w:rFonts w:ascii="Tahoma" w:hAnsi="Tahoma" w:cs="Tahoma"/>
          <w:b/>
          <w:sz w:val="28"/>
          <w:szCs w:val="28"/>
        </w:rPr>
        <w:t>Engagement – management of the project</w:t>
      </w:r>
    </w:p>
    <w:p w:rsidR="0097603A" w:rsidRPr="005B37B4" w:rsidRDefault="0097603A" w:rsidP="00351480">
      <w:pPr>
        <w:spacing w:line="360" w:lineRule="auto"/>
        <w:rPr>
          <w:rFonts w:ascii="Tahoma" w:hAnsi="Tahoma" w:cs="Tahoma"/>
          <w:sz w:val="24"/>
          <w:szCs w:val="24"/>
        </w:rPr>
      </w:pPr>
      <w:r w:rsidRPr="005B37B4">
        <w:rPr>
          <w:rFonts w:ascii="Tahoma" w:hAnsi="Tahoma" w:cs="Tahoma"/>
          <w:sz w:val="24"/>
          <w:szCs w:val="24"/>
        </w:rPr>
        <w:t xml:space="preserve">A baseline survey revealed </w:t>
      </w:r>
      <w:r w:rsidR="00834358">
        <w:rPr>
          <w:rFonts w:ascii="Tahoma" w:hAnsi="Tahoma" w:cs="Tahoma"/>
          <w:sz w:val="24"/>
          <w:szCs w:val="24"/>
        </w:rPr>
        <w:t xml:space="preserve">that </w:t>
      </w:r>
      <w:r w:rsidR="000F2579">
        <w:rPr>
          <w:rFonts w:ascii="Tahoma" w:hAnsi="Tahoma" w:cs="Tahoma"/>
          <w:sz w:val="24"/>
          <w:szCs w:val="24"/>
        </w:rPr>
        <w:t xml:space="preserve">only </w:t>
      </w:r>
      <w:r w:rsidRPr="005B37B4">
        <w:rPr>
          <w:rFonts w:ascii="Tahoma" w:hAnsi="Tahoma" w:cs="Tahoma"/>
          <w:sz w:val="24"/>
          <w:szCs w:val="24"/>
        </w:rPr>
        <w:t xml:space="preserve">11% of people in Newcastle-under-Lyme had heard of Astley and fewer knew of his connection to the region where he grew up </w:t>
      </w:r>
      <w:r w:rsidR="003A5112" w:rsidRPr="005B37B4">
        <w:rPr>
          <w:rFonts w:ascii="Tahoma" w:hAnsi="Tahoma" w:cs="Tahoma"/>
          <w:sz w:val="24"/>
          <w:szCs w:val="24"/>
        </w:rPr>
        <w:fldChar w:fldCharType="begin" w:fldLock="1"/>
      </w:r>
      <w:r w:rsidRPr="005B37B4">
        <w:rPr>
          <w:rFonts w:ascii="Tahoma" w:hAnsi="Tahoma" w:cs="Tahoma"/>
          <w:sz w:val="24"/>
          <w:szCs w:val="24"/>
        </w:rPr>
        <w:instrText>ADDIN CSL_CITATION {"citationItems":[{"id":"ITEM-1","itemData":{"author":[{"dropping-particle":"","family":"Papiernik-Bloor","given":"Zoe","non-dropping-particle":"","parse-names":false,"suffix":""},{"dropping-particle":"","family":"Cooke","given":"Peta","non-dropping-particle":"","parse-names":false,"suffix":""}],"id":"ITEM-1","issued":{"date-parts":[["2018"]]},"publisher-place":"Manchester","title":"Staffordshire University The Philip Astley Project Evaluation Report","type":"report"},"uris":["http://www.mendeley.com/documents/?uuid=c7bb8481-c6b8-4ca2-8c84-fbd9e1f72e73"]}],"mendeley":{"formattedCitation":"(Papiernik-Bloor and Cooke, 2018)","plainTextFormattedCitation":"(Papiernik-Bloor and Cooke, 2018)","previouslyFormattedCitation":"(Papiernik-Bloor and Cooke, 2018)"},"properties":{"noteIndex":0},"schema":"https://github.com/citation-style-language/schema/raw/master/csl-citation.json"}</w:instrText>
      </w:r>
      <w:r w:rsidR="003A5112" w:rsidRPr="005B37B4">
        <w:rPr>
          <w:rFonts w:ascii="Tahoma" w:hAnsi="Tahoma" w:cs="Tahoma"/>
          <w:sz w:val="24"/>
          <w:szCs w:val="24"/>
        </w:rPr>
        <w:fldChar w:fldCharType="separate"/>
      </w:r>
      <w:r w:rsidRPr="005B37B4">
        <w:rPr>
          <w:rFonts w:ascii="Tahoma" w:hAnsi="Tahoma" w:cs="Tahoma"/>
          <w:noProof/>
          <w:sz w:val="24"/>
          <w:szCs w:val="24"/>
        </w:rPr>
        <w:t>(Papiernik-Bloor and Cooke, 2018)</w:t>
      </w:r>
      <w:r w:rsidR="003A5112" w:rsidRPr="005B37B4">
        <w:rPr>
          <w:rFonts w:ascii="Tahoma" w:hAnsi="Tahoma" w:cs="Tahoma"/>
          <w:sz w:val="24"/>
          <w:szCs w:val="24"/>
        </w:rPr>
        <w:fldChar w:fldCharType="end"/>
      </w:r>
      <w:r w:rsidRPr="005B37B4">
        <w:rPr>
          <w:rFonts w:ascii="Tahoma" w:hAnsi="Tahoma" w:cs="Tahoma"/>
          <w:sz w:val="24"/>
          <w:szCs w:val="24"/>
        </w:rPr>
        <w:t xml:space="preserve">. The 250th anniversary of circus, celebrated nationally in 2018 under the banner of Circus250, provided a timely moment to raise awareness of Astley’s family connections to Newcastle-under-Lyme. </w:t>
      </w:r>
    </w:p>
    <w:p w:rsidR="00BA301A" w:rsidRPr="005B37B4" w:rsidRDefault="00BA301A" w:rsidP="00351480">
      <w:pPr>
        <w:spacing w:line="360" w:lineRule="auto"/>
        <w:rPr>
          <w:rFonts w:ascii="Tahoma" w:hAnsi="Tahoma" w:cs="Tahoma"/>
          <w:sz w:val="24"/>
          <w:szCs w:val="24"/>
        </w:rPr>
      </w:pPr>
      <w:r w:rsidRPr="005B37B4">
        <w:rPr>
          <w:rFonts w:ascii="Tahoma" w:hAnsi="Tahoma" w:cs="Tahoma"/>
          <w:sz w:val="24"/>
          <w:szCs w:val="24"/>
        </w:rPr>
        <w:lastRenderedPageBreak/>
        <w:t xml:space="preserve">Newcastle-under-Lyme is a Staffordshire market town adjacent to Stoke-on-Trent and was identified by </w:t>
      </w:r>
      <w:r w:rsidRPr="00F567B2">
        <w:rPr>
          <w:rFonts w:ascii="Tahoma" w:hAnsi="Tahoma" w:cs="Tahoma"/>
          <w:sz w:val="24"/>
          <w:szCs w:val="24"/>
        </w:rPr>
        <w:t>The Arts Council England’s Active People Survey</w:t>
      </w:r>
      <w:r w:rsidRPr="005B37B4">
        <w:rPr>
          <w:rFonts w:ascii="Tahoma" w:hAnsi="Tahoma" w:cs="Tahoma"/>
          <w:sz w:val="24"/>
          <w:szCs w:val="24"/>
        </w:rPr>
        <w:t xml:space="preserve"> as having levels of cultural engagement within the lowest 33% of </w:t>
      </w:r>
      <w:r w:rsidR="00834358">
        <w:rPr>
          <w:rFonts w:ascii="Tahoma" w:hAnsi="Tahoma" w:cs="Tahoma"/>
          <w:sz w:val="24"/>
          <w:szCs w:val="24"/>
        </w:rPr>
        <w:t xml:space="preserve">places in </w:t>
      </w:r>
      <w:r w:rsidRPr="005B37B4">
        <w:rPr>
          <w:rFonts w:ascii="Tahoma" w:hAnsi="Tahoma" w:cs="Tahoma"/>
          <w:sz w:val="24"/>
          <w:szCs w:val="24"/>
        </w:rPr>
        <w:t>the UK</w:t>
      </w:r>
      <w:r w:rsidR="00F567B2">
        <w:rPr>
          <w:rFonts w:ascii="Tahoma" w:hAnsi="Tahoma" w:cs="Tahoma"/>
          <w:sz w:val="24"/>
          <w:szCs w:val="24"/>
        </w:rPr>
        <w:t xml:space="preserve"> </w:t>
      </w:r>
      <w:r w:rsidR="003A5112">
        <w:rPr>
          <w:rFonts w:ascii="Tahoma" w:hAnsi="Tahoma" w:cs="Tahoma"/>
          <w:sz w:val="24"/>
          <w:szCs w:val="24"/>
        </w:rPr>
        <w:fldChar w:fldCharType="begin" w:fldLock="1"/>
      </w:r>
      <w:r w:rsidR="005156EB">
        <w:rPr>
          <w:rFonts w:ascii="Tahoma" w:hAnsi="Tahoma" w:cs="Tahoma"/>
          <w:sz w:val="24"/>
          <w:szCs w:val="24"/>
        </w:rPr>
        <w:instrText>ADDIN CSL_CITATION {"citationItems":[{"id":"ITEM-1","itemData":{"URL":"https://www.artscouncil.org.uk/participating-and-attending/active-lives-survey","accessed":{"date-parts":[["2020","1","26"]]},"author":[{"dropping-particle":"","family":"Arts Council England","given":"","non-dropping-particle":"","parse-names":false,"suffix":""}],"id":"ITEM-1","issued":{"date-parts":[["2018"]]},"title":"The Active Lives Survey","type":"webpage"},"uris":["http://www.mendeley.com/documents/?uuid=8344cb5a-7546-4c01-9271-5cdcdddf9b27"]}],"mendeley":{"formattedCitation":"(Arts Council England, 2018)","plainTextFormattedCitation":"(Arts Council England, 2018)","previouslyFormattedCitation":"(Arts Council England, 2018)"},"properties":{"noteIndex":0},"schema":"https://github.com/citation-style-language/schema/raw/master/csl-citation.json"}</w:instrText>
      </w:r>
      <w:r w:rsidR="003A5112">
        <w:rPr>
          <w:rFonts w:ascii="Tahoma" w:hAnsi="Tahoma" w:cs="Tahoma"/>
          <w:sz w:val="24"/>
          <w:szCs w:val="24"/>
        </w:rPr>
        <w:fldChar w:fldCharType="separate"/>
      </w:r>
      <w:r w:rsidR="00F567B2" w:rsidRPr="00F567B2">
        <w:rPr>
          <w:rFonts w:ascii="Tahoma" w:hAnsi="Tahoma" w:cs="Tahoma"/>
          <w:noProof/>
          <w:sz w:val="24"/>
          <w:szCs w:val="24"/>
        </w:rPr>
        <w:t>(Arts Council England, 2018)</w:t>
      </w:r>
      <w:r w:rsidR="003A5112">
        <w:rPr>
          <w:rFonts w:ascii="Tahoma" w:hAnsi="Tahoma" w:cs="Tahoma"/>
          <w:sz w:val="24"/>
          <w:szCs w:val="24"/>
        </w:rPr>
        <w:fldChar w:fldCharType="end"/>
      </w:r>
      <w:r w:rsidRPr="005B37B4">
        <w:rPr>
          <w:rFonts w:ascii="Tahoma" w:hAnsi="Tahoma" w:cs="Tahoma"/>
          <w:sz w:val="24"/>
          <w:szCs w:val="24"/>
        </w:rPr>
        <w:t xml:space="preserve">. </w:t>
      </w:r>
    </w:p>
    <w:p w:rsidR="00C6668B" w:rsidRPr="005B37B4" w:rsidRDefault="003D214F" w:rsidP="00351480">
      <w:pPr>
        <w:spacing w:line="360" w:lineRule="auto"/>
        <w:rPr>
          <w:rFonts w:ascii="Tahoma" w:hAnsi="Tahoma" w:cs="Tahoma"/>
          <w:sz w:val="24"/>
          <w:szCs w:val="24"/>
        </w:rPr>
      </w:pPr>
      <w:r w:rsidRPr="005B37B4">
        <w:rPr>
          <w:rFonts w:ascii="Tahoma" w:hAnsi="Tahoma" w:cs="Tahoma"/>
          <w:sz w:val="24"/>
          <w:szCs w:val="24"/>
        </w:rPr>
        <w:t>A previous attempt</w:t>
      </w:r>
      <w:r w:rsidR="00834358">
        <w:rPr>
          <w:rFonts w:ascii="Tahoma" w:hAnsi="Tahoma" w:cs="Tahoma"/>
          <w:sz w:val="24"/>
          <w:szCs w:val="24"/>
        </w:rPr>
        <w:t xml:space="preserve"> in 1992</w:t>
      </w:r>
      <w:r w:rsidRPr="005B37B4">
        <w:rPr>
          <w:rFonts w:ascii="Tahoma" w:hAnsi="Tahoma" w:cs="Tahoma"/>
          <w:sz w:val="24"/>
          <w:szCs w:val="24"/>
        </w:rPr>
        <w:t xml:space="preserve"> to celebrate </w:t>
      </w:r>
      <w:proofErr w:type="spellStart"/>
      <w:r w:rsidRPr="005B37B4">
        <w:rPr>
          <w:rFonts w:ascii="Tahoma" w:hAnsi="Tahoma" w:cs="Tahoma"/>
          <w:sz w:val="24"/>
          <w:szCs w:val="24"/>
        </w:rPr>
        <w:t>Astley’s</w:t>
      </w:r>
      <w:proofErr w:type="spellEnd"/>
      <w:r w:rsidRPr="005B37B4">
        <w:rPr>
          <w:rFonts w:ascii="Tahoma" w:hAnsi="Tahoma" w:cs="Tahoma"/>
          <w:sz w:val="24"/>
          <w:szCs w:val="24"/>
        </w:rPr>
        <w:t xml:space="preserve"> life and legacy was positively received in the area, but had no lasting impact due to a lack of co-ordination across organisations, limited funding and insufficient institutional backing. The Philip Astley Project led by Staffordshire University brought together a diverse group of stakeholders to form a steering group</w:t>
      </w:r>
      <w:r w:rsidR="00834358">
        <w:rPr>
          <w:rFonts w:ascii="Tahoma" w:hAnsi="Tahoma" w:cs="Tahoma"/>
          <w:sz w:val="24"/>
          <w:szCs w:val="24"/>
        </w:rPr>
        <w:t>,</w:t>
      </w:r>
      <w:r w:rsidRPr="005B37B4">
        <w:rPr>
          <w:rFonts w:ascii="Tahoma" w:hAnsi="Tahoma" w:cs="Tahoma"/>
          <w:sz w:val="24"/>
          <w:szCs w:val="24"/>
        </w:rPr>
        <w:t xml:space="preserve"> which met monthly, with representation from: Appetite; Brampton Museum and Art Gallery; Friends of the Brampton Museum and Art Gallery; </w:t>
      </w:r>
      <w:proofErr w:type="spellStart"/>
      <w:r w:rsidRPr="005B37B4">
        <w:rPr>
          <w:rFonts w:ascii="Tahoma" w:hAnsi="Tahoma" w:cs="Tahoma"/>
          <w:sz w:val="24"/>
          <w:szCs w:val="24"/>
        </w:rPr>
        <w:t>Keele</w:t>
      </w:r>
      <w:proofErr w:type="spellEnd"/>
      <w:r w:rsidRPr="005B37B4">
        <w:rPr>
          <w:rFonts w:ascii="Tahoma" w:hAnsi="Tahoma" w:cs="Tahoma"/>
          <w:sz w:val="24"/>
          <w:szCs w:val="24"/>
        </w:rPr>
        <w:t xml:space="preserve"> University; Newcastle-under-Lyme Borough Council; Newcastle-under-Lyme Civic Society; Newcastle-under-Lyme College; Newcastle-under-Lyme Business Improvement District (BID); New Vic Theatre; Staffordshire Library and Information Service; Staffordshire Film Archive; and the Van Buren Organisation.</w:t>
      </w:r>
    </w:p>
    <w:p w:rsidR="003D214F" w:rsidRPr="005B37B4" w:rsidRDefault="00C6668B" w:rsidP="00351480">
      <w:pPr>
        <w:spacing w:line="360" w:lineRule="auto"/>
        <w:rPr>
          <w:rFonts w:ascii="Tahoma" w:hAnsi="Tahoma" w:cs="Tahoma"/>
          <w:sz w:val="24"/>
          <w:szCs w:val="24"/>
        </w:rPr>
      </w:pPr>
      <w:r w:rsidRPr="005B37B4">
        <w:rPr>
          <w:rFonts w:ascii="Tahoma" w:hAnsi="Tahoma" w:cs="Tahoma"/>
          <w:sz w:val="24"/>
          <w:szCs w:val="24"/>
        </w:rPr>
        <w:t xml:space="preserve">The University submitted a funding bid on behalf of the steering group and had a co-ordinating role in managing the project. The establishment of a steering group with a focused aim strengthened the partnerships by providing a central core structure for what was a multi-stranded project. Each represented organisation on the steering group had a different specific focus for their deliverables </w:t>
      </w:r>
      <w:r w:rsidR="00834358">
        <w:rPr>
          <w:rFonts w:ascii="Tahoma" w:hAnsi="Tahoma" w:cs="Tahoma"/>
          <w:sz w:val="24"/>
          <w:szCs w:val="24"/>
        </w:rPr>
        <w:t>t</w:t>
      </w:r>
      <w:r w:rsidRPr="005B37B4">
        <w:rPr>
          <w:rFonts w:ascii="Tahoma" w:hAnsi="Tahoma" w:cs="Tahoma"/>
          <w:sz w:val="24"/>
          <w:szCs w:val="24"/>
        </w:rPr>
        <w:t xml:space="preserve">o the project, but the joint over-arching </w:t>
      </w:r>
      <w:r w:rsidR="00E20137" w:rsidRPr="005B37B4">
        <w:rPr>
          <w:rFonts w:ascii="Tahoma" w:hAnsi="Tahoma" w:cs="Tahoma"/>
          <w:sz w:val="24"/>
          <w:szCs w:val="24"/>
        </w:rPr>
        <w:t>aim</w:t>
      </w:r>
      <w:r w:rsidR="002E7931">
        <w:rPr>
          <w:rFonts w:ascii="Tahoma" w:hAnsi="Tahoma" w:cs="Tahoma"/>
          <w:sz w:val="24"/>
          <w:szCs w:val="24"/>
        </w:rPr>
        <w:t>,</w:t>
      </w:r>
      <w:r w:rsidRPr="005B37B4">
        <w:rPr>
          <w:rFonts w:ascii="Tahoma" w:hAnsi="Tahoma" w:cs="Tahoma"/>
          <w:sz w:val="24"/>
          <w:szCs w:val="24"/>
        </w:rPr>
        <w:t xml:space="preserve"> </w:t>
      </w:r>
      <w:r w:rsidR="00E20137" w:rsidRPr="005B37B4">
        <w:rPr>
          <w:rFonts w:ascii="Tahoma" w:hAnsi="Tahoma" w:cs="Tahoma"/>
          <w:sz w:val="24"/>
          <w:szCs w:val="24"/>
        </w:rPr>
        <w:t>to raise</w:t>
      </w:r>
      <w:r w:rsidRPr="005B37B4">
        <w:rPr>
          <w:rFonts w:ascii="Tahoma" w:hAnsi="Tahoma" w:cs="Tahoma"/>
          <w:sz w:val="24"/>
          <w:szCs w:val="24"/>
        </w:rPr>
        <w:t xml:space="preserve"> awareness </w:t>
      </w:r>
      <w:r w:rsidR="00E20137" w:rsidRPr="005B37B4">
        <w:rPr>
          <w:rFonts w:ascii="Tahoma" w:hAnsi="Tahoma" w:cs="Tahoma"/>
          <w:sz w:val="24"/>
          <w:szCs w:val="24"/>
        </w:rPr>
        <w:t>of</w:t>
      </w:r>
      <w:r w:rsidRPr="005B37B4">
        <w:rPr>
          <w:rFonts w:ascii="Tahoma" w:hAnsi="Tahoma" w:cs="Tahoma"/>
          <w:sz w:val="24"/>
          <w:szCs w:val="24"/>
        </w:rPr>
        <w:t xml:space="preserve"> Newcastle-under-Lyme</w:t>
      </w:r>
      <w:r w:rsidR="00E20137" w:rsidRPr="005B37B4">
        <w:rPr>
          <w:rFonts w:ascii="Tahoma" w:hAnsi="Tahoma" w:cs="Tahoma"/>
          <w:sz w:val="24"/>
          <w:szCs w:val="24"/>
        </w:rPr>
        <w:t>’s circus heritage</w:t>
      </w:r>
      <w:r w:rsidR="002E7931">
        <w:rPr>
          <w:rFonts w:ascii="Tahoma" w:hAnsi="Tahoma" w:cs="Tahoma"/>
          <w:sz w:val="24"/>
          <w:szCs w:val="24"/>
        </w:rPr>
        <w:t>,</w:t>
      </w:r>
      <w:r w:rsidR="00E20137" w:rsidRPr="005B37B4">
        <w:rPr>
          <w:rFonts w:ascii="Tahoma" w:hAnsi="Tahoma" w:cs="Tahoma"/>
          <w:sz w:val="24"/>
          <w:szCs w:val="24"/>
        </w:rPr>
        <w:t xml:space="preserve"> created what Goddard has referred to as a ‘win-win’ situation </w:t>
      </w:r>
      <w:r w:rsidR="00834358">
        <w:rPr>
          <w:rFonts w:ascii="Tahoma" w:hAnsi="Tahoma" w:cs="Tahoma"/>
          <w:sz w:val="24"/>
          <w:szCs w:val="24"/>
        </w:rPr>
        <w:t>i.e.</w:t>
      </w:r>
      <w:r w:rsidR="00E20137" w:rsidRPr="005B37B4">
        <w:rPr>
          <w:rFonts w:ascii="Tahoma" w:hAnsi="Tahoma" w:cs="Tahoma"/>
          <w:sz w:val="24"/>
          <w:szCs w:val="24"/>
        </w:rPr>
        <w:t xml:space="preserve"> </w:t>
      </w:r>
      <w:r w:rsidR="002E7931">
        <w:rPr>
          <w:rFonts w:ascii="Tahoma" w:hAnsi="Tahoma" w:cs="Tahoma"/>
          <w:sz w:val="24"/>
          <w:szCs w:val="24"/>
        </w:rPr>
        <w:t>enhancing</w:t>
      </w:r>
      <w:r w:rsidR="00E20137" w:rsidRPr="005B37B4">
        <w:rPr>
          <w:rFonts w:ascii="Tahoma" w:hAnsi="Tahoma" w:cs="Tahoma"/>
          <w:sz w:val="24"/>
          <w:szCs w:val="24"/>
        </w:rPr>
        <w:t xml:space="preserve"> both initial engagement and long-term sustainability of a </w:t>
      </w:r>
      <w:r w:rsidR="002E7931">
        <w:rPr>
          <w:rFonts w:ascii="Tahoma" w:hAnsi="Tahoma" w:cs="Tahoma"/>
          <w:sz w:val="24"/>
          <w:szCs w:val="24"/>
        </w:rPr>
        <w:t xml:space="preserve">collaborative </w:t>
      </w:r>
      <w:r w:rsidR="00E20137" w:rsidRPr="005B37B4">
        <w:rPr>
          <w:rFonts w:ascii="Tahoma" w:hAnsi="Tahoma" w:cs="Tahoma"/>
          <w:sz w:val="24"/>
          <w:szCs w:val="24"/>
        </w:rPr>
        <w:t xml:space="preserve">project. </w:t>
      </w:r>
      <w:r w:rsidRPr="005B37B4">
        <w:rPr>
          <w:rFonts w:ascii="Tahoma" w:hAnsi="Tahoma" w:cs="Tahoma"/>
          <w:sz w:val="24"/>
          <w:szCs w:val="24"/>
        </w:rPr>
        <w:t xml:space="preserve">   </w:t>
      </w:r>
    </w:p>
    <w:p w:rsidR="00BD24F9" w:rsidRPr="005B37B4" w:rsidRDefault="00BD24F9" w:rsidP="00351480">
      <w:pPr>
        <w:spacing w:line="360" w:lineRule="auto"/>
        <w:rPr>
          <w:rFonts w:ascii="Tahoma" w:hAnsi="Tahoma" w:cs="Tahoma"/>
          <w:sz w:val="24"/>
          <w:szCs w:val="24"/>
        </w:rPr>
      </w:pPr>
      <w:r w:rsidRPr="005B37B4">
        <w:rPr>
          <w:rFonts w:ascii="Tahoma" w:hAnsi="Tahoma" w:cs="Tahoma"/>
          <w:sz w:val="24"/>
          <w:szCs w:val="24"/>
        </w:rPr>
        <w:t>The programme began six months before the 250</w:t>
      </w:r>
      <w:r w:rsidRPr="005B37B4">
        <w:rPr>
          <w:rFonts w:ascii="Tahoma" w:hAnsi="Tahoma" w:cs="Tahoma"/>
          <w:sz w:val="24"/>
          <w:szCs w:val="24"/>
          <w:vertAlign w:val="superscript"/>
        </w:rPr>
        <w:t>th</w:t>
      </w:r>
      <w:r w:rsidRPr="005B37B4">
        <w:rPr>
          <w:rFonts w:ascii="Tahoma" w:hAnsi="Tahoma" w:cs="Tahoma"/>
          <w:sz w:val="24"/>
          <w:szCs w:val="24"/>
        </w:rPr>
        <w:t xml:space="preserve"> anniversary </w:t>
      </w:r>
      <w:r w:rsidR="0097603A" w:rsidRPr="005B37B4">
        <w:rPr>
          <w:rFonts w:ascii="Tahoma" w:hAnsi="Tahoma" w:cs="Tahoma"/>
          <w:sz w:val="24"/>
          <w:szCs w:val="24"/>
        </w:rPr>
        <w:t xml:space="preserve">of circus </w:t>
      </w:r>
      <w:r w:rsidRPr="005B37B4">
        <w:rPr>
          <w:rFonts w:ascii="Tahoma" w:hAnsi="Tahoma" w:cs="Tahoma"/>
          <w:sz w:val="24"/>
          <w:szCs w:val="24"/>
        </w:rPr>
        <w:t xml:space="preserve">celebrations to give time to develop research insights into Astley’s links to the area and </w:t>
      </w:r>
      <w:r w:rsidR="00834358">
        <w:rPr>
          <w:rFonts w:ascii="Tahoma" w:hAnsi="Tahoma" w:cs="Tahoma"/>
          <w:sz w:val="24"/>
          <w:szCs w:val="24"/>
        </w:rPr>
        <w:t xml:space="preserve">to </w:t>
      </w:r>
      <w:r w:rsidRPr="005B37B4">
        <w:rPr>
          <w:rFonts w:ascii="Tahoma" w:hAnsi="Tahoma" w:cs="Tahoma"/>
          <w:sz w:val="24"/>
          <w:szCs w:val="24"/>
        </w:rPr>
        <w:t xml:space="preserve">build the necessary momentum to engage the public in large-scale events such as a related exhibition based on the research, </w:t>
      </w:r>
      <w:r w:rsidRPr="00356122">
        <w:rPr>
          <w:rFonts w:ascii="Tahoma" w:hAnsi="Tahoma" w:cs="Tahoma"/>
          <w:i/>
          <w:iCs/>
          <w:sz w:val="24"/>
          <w:szCs w:val="24"/>
        </w:rPr>
        <w:t>Philip Astley: His Life and Legacy</w:t>
      </w:r>
      <w:r w:rsidRPr="005B37B4">
        <w:rPr>
          <w:rFonts w:ascii="Tahoma" w:hAnsi="Tahoma" w:cs="Tahoma"/>
          <w:sz w:val="24"/>
          <w:szCs w:val="24"/>
        </w:rPr>
        <w:t xml:space="preserve"> at the Brampton Museum and Art Gallery</w:t>
      </w:r>
      <w:r w:rsidR="00834358">
        <w:rPr>
          <w:rFonts w:ascii="Tahoma" w:hAnsi="Tahoma" w:cs="Tahoma"/>
          <w:sz w:val="24"/>
          <w:szCs w:val="24"/>
        </w:rPr>
        <w:t>,</w:t>
      </w:r>
      <w:r w:rsidRPr="005B37B4">
        <w:rPr>
          <w:rFonts w:ascii="Tahoma" w:hAnsi="Tahoma" w:cs="Tahoma"/>
          <w:sz w:val="24"/>
          <w:szCs w:val="24"/>
        </w:rPr>
        <w:t xml:space="preserve"> and </w:t>
      </w:r>
      <w:proofErr w:type="spellStart"/>
      <w:r w:rsidRPr="00356122">
        <w:rPr>
          <w:rFonts w:ascii="Tahoma" w:hAnsi="Tahoma" w:cs="Tahoma"/>
          <w:i/>
          <w:iCs/>
          <w:sz w:val="24"/>
          <w:szCs w:val="24"/>
        </w:rPr>
        <w:t>Astley</w:t>
      </w:r>
      <w:proofErr w:type="spellEnd"/>
      <w:r w:rsidRPr="00356122">
        <w:rPr>
          <w:rFonts w:ascii="Tahoma" w:hAnsi="Tahoma" w:cs="Tahoma"/>
          <w:i/>
          <w:iCs/>
          <w:sz w:val="24"/>
          <w:szCs w:val="24"/>
        </w:rPr>
        <w:t xml:space="preserve"> Fest</w:t>
      </w:r>
      <w:r w:rsidRPr="005B37B4">
        <w:rPr>
          <w:rFonts w:ascii="Tahoma" w:hAnsi="Tahoma" w:cs="Tahoma"/>
          <w:sz w:val="24"/>
          <w:szCs w:val="24"/>
        </w:rPr>
        <w:t>, a large outdoor circus festival for families.</w:t>
      </w:r>
    </w:p>
    <w:p w:rsidR="009D68B3" w:rsidRPr="005B37B4" w:rsidRDefault="009D68B3" w:rsidP="00351480">
      <w:pPr>
        <w:spacing w:line="360" w:lineRule="auto"/>
        <w:rPr>
          <w:rFonts w:ascii="Tahoma" w:hAnsi="Tahoma" w:cs="Tahoma"/>
          <w:sz w:val="24"/>
          <w:szCs w:val="24"/>
        </w:rPr>
      </w:pPr>
      <w:r w:rsidRPr="005B37B4">
        <w:rPr>
          <w:rFonts w:ascii="Tahoma" w:hAnsi="Tahoma" w:cs="Tahoma"/>
          <w:sz w:val="24"/>
          <w:szCs w:val="24"/>
        </w:rPr>
        <w:lastRenderedPageBreak/>
        <w:t xml:space="preserve">Over an 18-month period more than 47 separate related events and activities took place on the circus heritage theme. These included film screenings, quizzes, a town trail, talks, exhibitions, children’s library activities and competitions, community performances, </w:t>
      </w:r>
      <w:r w:rsidR="0038551F">
        <w:rPr>
          <w:rFonts w:ascii="Tahoma" w:hAnsi="Tahoma" w:cs="Tahoma"/>
          <w:sz w:val="24"/>
          <w:szCs w:val="24"/>
        </w:rPr>
        <w:t xml:space="preserve">a </w:t>
      </w:r>
      <w:r w:rsidRPr="005B37B4">
        <w:rPr>
          <w:rFonts w:ascii="Tahoma" w:hAnsi="Tahoma" w:cs="Tahoma"/>
          <w:sz w:val="24"/>
          <w:szCs w:val="24"/>
        </w:rPr>
        <w:t>family festival, community performances, and workshops</w:t>
      </w:r>
      <w:r w:rsidR="002E7931">
        <w:rPr>
          <w:rFonts w:ascii="Tahoma" w:hAnsi="Tahoma" w:cs="Tahoma"/>
          <w:sz w:val="24"/>
          <w:szCs w:val="24"/>
        </w:rPr>
        <w:t xml:space="preserve"> </w:t>
      </w:r>
      <w:r w:rsidR="003A5112">
        <w:rPr>
          <w:rFonts w:ascii="Tahoma" w:hAnsi="Tahoma" w:cs="Tahoma"/>
          <w:sz w:val="24"/>
          <w:szCs w:val="24"/>
        </w:rPr>
        <w:fldChar w:fldCharType="begin" w:fldLock="1"/>
      </w:r>
      <w:r w:rsidR="000E69D7">
        <w:rPr>
          <w:rFonts w:ascii="Tahoma" w:hAnsi="Tahoma" w:cs="Tahoma"/>
          <w:sz w:val="24"/>
          <w:szCs w:val="24"/>
        </w:rPr>
        <w:instrText>ADDIN CSL_CITATION {"citationItems":[{"id":"ITEM-1","itemData":{"URL":"http://eprints.staffs.ac.uk/5559//","accessed":{"date-parts":[["2020","1","26"]]},"author":[{"dropping-particle":"","family":"Thomason","given":"Carmel","non-dropping-particle":"","parse-names":false,"suffix":""}],"id":"ITEM-1","issue":"February","issued":{"date-parts":[["2019"]]},"page":"1-19","title":"The Philip Astley Project – Celebrating the father of modern-day circus. Project Report.","type":"webpage"},"uris":["http://www.mendeley.com/documents/?uuid=6c27683b-de88-45b8-a1aa-86b47402fdd4"]}],"mendeley":{"formattedCitation":"(Thomason, 2019)","plainTextFormattedCitation":"(Thomason, 2019)","previouslyFormattedCitation":"(Thomason, 2019)"},"properties":{"noteIndex":0},"schema":"https://github.com/citation-style-language/schema/raw/master/csl-citation.json"}</w:instrText>
      </w:r>
      <w:r w:rsidR="003A5112">
        <w:rPr>
          <w:rFonts w:ascii="Tahoma" w:hAnsi="Tahoma" w:cs="Tahoma"/>
          <w:sz w:val="24"/>
          <w:szCs w:val="24"/>
        </w:rPr>
        <w:fldChar w:fldCharType="separate"/>
      </w:r>
      <w:r w:rsidR="002E7931" w:rsidRPr="002E7931">
        <w:rPr>
          <w:rFonts w:ascii="Tahoma" w:hAnsi="Tahoma" w:cs="Tahoma"/>
          <w:noProof/>
          <w:sz w:val="24"/>
          <w:szCs w:val="24"/>
        </w:rPr>
        <w:t>(Thomason, 2019)</w:t>
      </w:r>
      <w:r w:rsidR="003A5112">
        <w:rPr>
          <w:rFonts w:ascii="Tahoma" w:hAnsi="Tahoma" w:cs="Tahoma"/>
          <w:sz w:val="24"/>
          <w:szCs w:val="24"/>
        </w:rPr>
        <w:fldChar w:fldCharType="end"/>
      </w:r>
      <w:r w:rsidRPr="005B37B4">
        <w:rPr>
          <w:rFonts w:ascii="Tahoma" w:hAnsi="Tahoma" w:cs="Tahoma"/>
          <w:sz w:val="24"/>
          <w:szCs w:val="24"/>
        </w:rPr>
        <w:t>.</w:t>
      </w:r>
    </w:p>
    <w:p w:rsidR="00991908" w:rsidRPr="005B37B4" w:rsidRDefault="00374626" w:rsidP="00351480">
      <w:pPr>
        <w:spacing w:line="360" w:lineRule="auto"/>
        <w:rPr>
          <w:rFonts w:ascii="Tahoma" w:hAnsi="Tahoma" w:cs="Tahoma"/>
          <w:sz w:val="24"/>
          <w:szCs w:val="24"/>
        </w:rPr>
      </w:pPr>
      <w:r w:rsidRPr="005B37B4">
        <w:rPr>
          <w:rFonts w:ascii="Tahoma" w:hAnsi="Tahoma" w:cs="Tahoma"/>
          <w:sz w:val="24"/>
          <w:szCs w:val="24"/>
        </w:rPr>
        <w:t>T</w:t>
      </w:r>
      <w:r w:rsidR="009D68B3" w:rsidRPr="005B37B4">
        <w:rPr>
          <w:rFonts w:ascii="Tahoma" w:hAnsi="Tahoma" w:cs="Tahoma"/>
          <w:sz w:val="24"/>
          <w:szCs w:val="24"/>
        </w:rPr>
        <w:t xml:space="preserve">he </w:t>
      </w:r>
      <w:r w:rsidRPr="005B37B4">
        <w:rPr>
          <w:rFonts w:ascii="Tahoma" w:hAnsi="Tahoma" w:cs="Tahoma"/>
          <w:sz w:val="24"/>
          <w:szCs w:val="24"/>
        </w:rPr>
        <w:t xml:space="preserve">project </w:t>
      </w:r>
      <w:r w:rsidR="009D68B3" w:rsidRPr="005B37B4">
        <w:rPr>
          <w:rFonts w:ascii="Tahoma" w:hAnsi="Tahoma" w:cs="Tahoma"/>
          <w:sz w:val="24"/>
          <w:szCs w:val="24"/>
        </w:rPr>
        <w:t xml:space="preserve">also </w:t>
      </w:r>
      <w:r w:rsidRPr="005B37B4">
        <w:rPr>
          <w:rFonts w:ascii="Tahoma" w:hAnsi="Tahoma" w:cs="Tahoma"/>
          <w:sz w:val="24"/>
          <w:szCs w:val="24"/>
        </w:rPr>
        <w:t>provided opportunities for people to develop a range of digital, media and historical research skills through associated training and volunteering on the project.</w:t>
      </w:r>
      <w:r w:rsidR="00BD24F9" w:rsidRPr="005B37B4">
        <w:rPr>
          <w:rFonts w:ascii="Tahoma" w:hAnsi="Tahoma" w:cs="Tahoma"/>
          <w:sz w:val="24"/>
          <w:szCs w:val="24"/>
        </w:rPr>
        <w:t xml:space="preserve"> D</w:t>
      </w:r>
      <w:r w:rsidRPr="005B37B4">
        <w:rPr>
          <w:rFonts w:ascii="Tahoma" w:hAnsi="Tahoma" w:cs="Tahoma"/>
          <w:sz w:val="24"/>
          <w:szCs w:val="24"/>
        </w:rPr>
        <w:t>igital and social media training was provided</w:t>
      </w:r>
      <w:r w:rsidR="00356122">
        <w:rPr>
          <w:rFonts w:ascii="Tahoma" w:hAnsi="Tahoma" w:cs="Tahoma"/>
          <w:sz w:val="24"/>
          <w:szCs w:val="24"/>
        </w:rPr>
        <w:t>,</w:t>
      </w:r>
      <w:r w:rsidRPr="005B37B4">
        <w:rPr>
          <w:rFonts w:ascii="Tahoma" w:hAnsi="Tahoma" w:cs="Tahoma"/>
          <w:sz w:val="24"/>
          <w:szCs w:val="24"/>
        </w:rPr>
        <w:t xml:space="preserve"> </w:t>
      </w:r>
      <w:r w:rsidR="00356122">
        <w:rPr>
          <w:rFonts w:ascii="Tahoma" w:hAnsi="Tahoma" w:cs="Tahoma"/>
          <w:sz w:val="24"/>
          <w:szCs w:val="24"/>
        </w:rPr>
        <w:t xml:space="preserve">via a workshop at </w:t>
      </w:r>
      <w:r w:rsidR="0038551F">
        <w:rPr>
          <w:rFonts w:ascii="Tahoma" w:hAnsi="Tahoma" w:cs="Tahoma"/>
          <w:sz w:val="24"/>
          <w:szCs w:val="24"/>
        </w:rPr>
        <w:t>Staffordshire</w:t>
      </w:r>
      <w:r w:rsidR="00356122">
        <w:rPr>
          <w:rFonts w:ascii="Tahoma" w:hAnsi="Tahoma" w:cs="Tahoma"/>
          <w:sz w:val="24"/>
          <w:szCs w:val="24"/>
        </w:rPr>
        <w:t xml:space="preserve"> University</w:t>
      </w:r>
      <w:r w:rsidR="000E69D7">
        <w:rPr>
          <w:rFonts w:ascii="Tahoma" w:hAnsi="Tahoma" w:cs="Tahoma"/>
          <w:sz w:val="24"/>
          <w:szCs w:val="24"/>
        </w:rPr>
        <w:t>. This was available</w:t>
      </w:r>
      <w:r w:rsidR="00356122">
        <w:rPr>
          <w:rFonts w:ascii="Tahoma" w:hAnsi="Tahoma" w:cs="Tahoma"/>
          <w:sz w:val="24"/>
          <w:szCs w:val="24"/>
        </w:rPr>
        <w:t xml:space="preserve"> </w:t>
      </w:r>
      <w:r w:rsidRPr="005B37B4">
        <w:rPr>
          <w:rFonts w:ascii="Tahoma" w:hAnsi="Tahoma" w:cs="Tahoma"/>
          <w:sz w:val="24"/>
          <w:szCs w:val="24"/>
        </w:rPr>
        <w:t xml:space="preserve">to </w:t>
      </w:r>
      <w:r w:rsidR="0097603A" w:rsidRPr="005B37B4">
        <w:rPr>
          <w:rFonts w:ascii="Tahoma" w:hAnsi="Tahoma" w:cs="Tahoma"/>
          <w:sz w:val="24"/>
          <w:szCs w:val="24"/>
        </w:rPr>
        <w:t xml:space="preserve">members of the </w:t>
      </w:r>
      <w:r w:rsidRPr="005B37B4">
        <w:rPr>
          <w:rFonts w:ascii="Tahoma" w:hAnsi="Tahoma" w:cs="Tahoma"/>
          <w:sz w:val="24"/>
          <w:szCs w:val="24"/>
        </w:rPr>
        <w:t>steering group</w:t>
      </w:r>
      <w:r w:rsidR="0097603A" w:rsidRPr="005B37B4">
        <w:rPr>
          <w:rFonts w:ascii="Tahoma" w:hAnsi="Tahoma" w:cs="Tahoma"/>
          <w:sz w:val="24"/>
          <w:szCs w:val="24"/>
        </w:rPr>
        <w:t>,</w:t>
      </w:r>
      <w:r w:rsidRPr="005B37B4">
        <w:rPr>
          <w:rFonts w:ascii="Tahoma" w:hAnsi="Tahoma" w:cs="Tahoma"/>
          <w:sz w:val="24"/>
          <w:szCs w:val="24"/>
        </w:rPr>
        <w:t xml:space="preserve"> volunteers and arts organisation</w:t>
      </w:r>
      <w:r w:rsidR="0097603A" w:rsidRPr="005B37B4">
        <w:rPr>
          <w:rFonts w:ascii="Tahoma" w:hAnsi="Tahoma" w:cs="Tahoma"/>
          <w:sz w:val="24"/>
          <w:szCs w:val="24"/>
        </w:rPr>
        <w:t xml:space="preserve"> employees</w:t>
      </w:r>
      <w:r w:rsidRPr="005B37B4">
        <w:rPr>
          <w:rFonts w:ascii="Tahoma" w:hAnsi="Tahoma" w:cs="Tahoma"/>
          <w:sz w:val="24"/>
          <w:szCs w:val="24"/>
        </w:rPr>
        <w:t xml:space="preserve"> in the area</w:t>
      </w:r>
      <w:r w:rsidR="000E69D7">
        <w:rPr>
          <w:rFonts w:ascii="Tahoma" w:hAnsi="Tahoma" w:cs="Tahoma"/>
          <w:sz w:val="24"/>
          <w:szCs w:val="24"/>
        </w:rPr>
        <w:t>. The training</w:t>
      </w:r>
      <w:r w:rsidRPr="005B37B4">
        <w:rPr>
          <w:rFonts w:ascii="Tahoma" w:hAnsi="Tahoma" w:cs="Tahoma"/>
          <w:sz w:val="24"/>
          <w:szCs w:val="24"/>
        </w:rPr>
        <w:t xml:space="preserve"> </w:t>
      </w:r>
      <w:r w:rsidR="000E69D7">
        <w:rPr>
          <w:rFonts w:ascii="Tahoma" w:hAnsi="Tahoma" w:cs="Tahoma"/>
          <w:sz w:val="24"/>
          <w:szCs w:val="24"/>
        </w:rPr>
        <w:t>met</w:t>
      </w:r>
      <w:r w:rsidRPr="005B37B4">
        <w:rPr>
          <w:rFonts w:ascii="Tahoma" w:hAnsi="Tahoma" w:cs="Tahoma"/>
          <w:sz w:val="24"/>
          <w:szCs w:val="24"/>
        </w:rPr>
        <w:t xml:space="preserve"> a double aim of increasing employment skills in the region while enabling those </w:t>
      </w:r>
      <w:r w:rsidR="0038551F">
        <w:rPr>
          <w:rFonts w:ascii="Tahoma" w:hAnsi="Tahoma" w:cs="Tahoma"/>
          <w:sz w:val="24"/>
          <w:szCs w:val="24"/>
        </w:rPr>
        <w:t xml:space="preserve">who were </w:t>
      </w:r>
      <w:proofErr w:type="spellStart"/>
      <w:r w:rsidRPr="005B37B4">
        <w:rPr>
          <w:rFonts w:ascii="Tahoma" w:hAnsi="Tahoma" w:cs="Tahoma"/>
          <w:sz w:val="24"/>
          <w:szCs w:val="24"/>
        </w:rPr>
        <w:t>upskilled</w:t>
      </w:r>
      <w:proofErr w:type="spellEnd"/>
      <w:r w:rsidRPr="005B37B4">
        <w:rPr>
          <w:rFonts w:ascii="Tahoma" w:hAnsi="Tahoma" w:cs="Tahoma"/>
          <w:sz w:val="24"/>
          <w:szCs w:val="24"/>
        </w:rPr>
        <w:t xml:space="preserve"> to better promote the project and related events </w:t>
      </w:r>
      <w:r w:rsidR="00991908" w:rsidRPr="005B37B4">
        <w:rPr>
          <w:rFonts w:ascii="Tahoma" w:hAnsi="Tahoma" w:cs="Tahoma"/>
          <w:sz w:val="24"/>
          <w:szCs w:val="24"/>
        </w:rPr>
        <w:t>through social media</w:t>
      </w:r>
      <w:r w:rsidRPr="005B37B4">
        <w:rPr>
          <w:rFonts w:ascii="Tahoma" w:hAnsi="Tahoma" w:cs="Tahoma"/>
          <w:sz w:val="24"/>
          <w:szCs w:val="24"/>
        </w:rPr>
        <w:t>.</w:t>
      </w:r>
    </w:p>
    <w:p w:rsidR="00D4657F" w:rsidRPr="005B37B4" w:rsidRDefault="00D4657F" w:rsidP="00351480">
      <w:pPr>
        <w:spacing w:line="360" w:lineRule="auto"/>
        <w:rPr>
          <w:rFonts w:ascii="Tahoma" w:hAnsi="Tahoma" w:cs="Tahoma"/>
          <w:sz w:val="24"/>
          <w:szCs w:val="24"/>
        </w:rPr>
      </w:pPr>
      <w:r w:rsidRPr="005B37B4">
        <w:rPr>
          <w:rFonts w:ascii="Tahoma" w:hAnsi="Tahoma" w:cs="Tahoma"/>
          <w:sz w:val="24"/>
          <w:szCs w:val="24"/>
        </w:rPr>
        <w:t>In addition to engagement with diverse community stakeholders by co-ordinating the wider project and managing the funding process for the steering group, Staffordshire University was responsible for delivering specific elements of the wider project</w:t>
      </w:r>
      <w:r w:rsidR="0094315B">
        <w:rPr>
          <w:rFonts w:ascii="Tahoma" w:hAnsi="Tahoma" w:cs="Tahoma"/>
          <w:sz w:val="24"/>
          <w:szCs w:val="24"/>
        </w:rPr>
        <w:t>.</w:t>
      </w:r>
      <w:r w:rsidRPr="005B37B4">
        <w:rPr>
          <w:rFonts w:ascii="Tahoma" w:hAnsi="Tahoma" w:cs="Tahoma"/>
          <w:sz w:val="24"/>
          <w:szCs w:val="24"/>
        </w:rPr>
        <w:t xml:space="preserve"> </w:t>
      </w:r>
      <w:r w:rsidR="0094315B">
        <w:rPr>
          <w:rFonts w:ascii="Tahoma" w:hAnsi="Tahoma" w:cs="Tahoma"/>
          <w:sz w:val="24"/>
          <w:szCs w:val="24"/>
        </w:rPr>
        <w:t>As part of the project it was the University’s role</w:t>
      </w:r>
      <w:r w:rsidRPr="005B37B4">
        <w:rPr>
          <w:rFonts w:ascii="Tahoma" w:hAnsi="Tahoma" w:cs="Tahoma"/>
          <w:sz w:val="24"/>
          <w:szCs w:val="24"/>
        </w:rPr>
        <w:t xml:space="preserve"> to undertake historical and heritage research using </w:t>
      </w:r>
      <w:r w:rsidR="0038551F">
        <w:rPr>
          <w:rFonts w:ascii="Tahoma" w:hAnsi="Tahoma" w:cs="Tahoma"/>
          <w:sz w:val="24"/>
          <w:szCs w:val="24"/>
        </w:rPr>
        <w:t xml:space="preserve">the </w:t>
      </w:r>
      <w:r w:rsidRPr="005B37B4">
        <w:rPr>
          <w:rFonts w:ascii="Tahoma" w:hAnsi="Tahoma" w:cs="Tahoma"/>
          <w:sz w:val="24"/>
          <w:szCs w:val="24"/>
        </w:rPr>
        <w:t>co-creation and co-ownership research processes</w:t>
      </w:r>
      <w:r w:rsidR="005025DA" w:rsidRPr="005B37B4">
        <w:rPr>
          <w:rFonts w:ascii="Tahoma" w:hAnsi="Tahoma" w:cs="Tahoma"/>
          <w:sz w:val="24"/>
          <w:szCs w:val="24"/>
        </w:rPr>
        <w:t xml:space="preserve"> discussed in the next section</w:t>
      </w:r>
      <w:r w:rsidR="00E20137" w:rsidRPr="005B37B4">
        <w:rPr>
          <w:rFonts w:ascii="Tahoma" w:hAnsi="Tahoma" w:cs="Tahoma"/>
          <w:sz w:val="24"/>
          <w:szCs w:val="24"/>
        </w:rPr>
        <w:t>.</w:t>
      </w:r>
    </w:p>
    <w:p w:rsidR="0038551F" w:rsidRPr="005B37B4" w:rsidRDefault="00E20137" w:rsidP="00351480">
      <w:pPr>
        <w:spacing w:line="360" w:lineRule="auto"/>
        <w:rPr>
          <w:rFonts w:ascii="Tahoma" w:hAnsi="Tahoma" w:cs="Tahoma"/>
          <w:sz w:val="24"/>
          <w:szCs w:val="24"/>
        </w:rPr>
      </w:pPr>
      <w:r w:rsidRPr="005B37B4">
        <w:rPr>
          <w:rFonts w:ascii="Tahoma" w:hAnsi="Tahoma" w:cs="Tahoma"/>
          <w:sz w:val="24"/>
          <w:szCs w:val="24"/>
        </w:rPr>
        <w:t>Student engagement</w:t>
      </w:r>
      <w:r w:rsidR="00D4657F" w:rsidRPr="005B37B4">
        <w:rPr>
          <w:rFonts w:ascii="Tahoma" w:hAnsi="Tahoma" w:cs="Tahoma"/>
          <w:sz w:val="24"/>
          <w:szCs w:val="24"/>
        </w:rPr>
        <w:t>, discussed in more detail below,</w:t>
      </w:r>
      <w:r w:rsidRPr="005B37B4">
        <w:rPr>
          <w:rFonts w:ascii="Tahoma" w:hAnsi="Tahoma" w:cs="Tahoma"/>
          <w:sz w:val="24"/>
          <w:szCs w:val="24"/>
        </w:rPr>
        <w:t xml:space="preserve"> was not a formal element of </w:t>
      </w:r>
      <w:r w:rsidR="0094315B">
        <w:rPr>
          <w:rFonts w:ascii="Tahoma" w:hAnsi="Tahoma" w:cs="Tahoma"/>
          <w:sz w:val="24"/>
          <w:szCs w:val="24"/>
        </w:rPr>
        <w:t xml:space="preserve">project as regards the initial </w:t>
      </w:r>
      <w:r w:rsidRPr="005B37B4">
        <w:rPr>
          <w:rFonts w:ascii="Tahoma" w:hAnsi="Tahoma" w:cs="Tahoma"/>
          <w:sz w:val="24"/>
          <w:szCs w:val="24"/>
        </w:rPr>
        <w:t xml:space="preserve">funding bid. However, for </w:t>
      </w:r>
      <w:r w:rsidR="0038551F">
        <w:rPr>
          <w:rFonts w:ascii="Tahoma" w:hAnsi="Tahoma" w:cs="Tahoma"/>
          <w:sz w:val="24"/>
          <w:szCs w:val="24"/>
        </w:rPr>
        <w:t>Staffordshire</w:t>
      </w:r>
      <w:r w:rsidRPr="005B37B4">
        <w:rPr>
          <w:rFonts w:ascii="Tahoma" w:hAnsi="Tahoma" w:cs="Tahoma"/>
          <w:sz w:val="24"/>
          <w:szCs w:val="24"/>
        </w:rPr>
        <w:t xml:space="preserve"> University</w:t>
      </w:r>
      <w:r w:rsidR="00356122">
        <w:rPr>
          <w:rFonts w:ascii="Tahoma" w:hAnsi="Tahoma" w:cs="Tahoma"/>
          <w:sz w:val="24"/>
          <w:szCs w:val="24"/>
        </w:rPr>
        <w:t>,</w:t>
      </w:r>
      <w:r w:rsidRPr="005B37B4">
        <w:rPr>
          <w:rFonts w:ascii="Tahoma" w:hAnsi="Tahoma" w:cs="Tahoma"/>
          <w:sz w:val="24"/>
          <w:szCs w:val="24"/>
        </w:rPr>
        <w:t xml:space="preserve"> this </w:t>
      </w:r>
      <w:r w:rsidR="005025DA" w:rsidRPr="005B37B4">
        <w:rPr>
          <w:rFonts w:ascii="Tahoma" w:hAnsi="Tahoma" w:cs="Tahoma"/>
          <w:sz w:val="24"/>
          <w:szCs w:val="24"/>
        </w:rPr>
        <w:t>became</w:t>
      </w:r>
      <w:r w:rsidRPr="005B37B4">
        <w:rPr>
          <w:rFonts w:ascii="Tahoma" w:hAnsi="Tahoma" w:cs="Tahoma"/>
          <w:sz w:val="24"/>
          <w:szCs w:val="24"/>
        </w:rPr>
        <w:t xml:space="preserve"> an </w:t>
      </w:r>
      <w:r w:rsidR="005025DA" w:rsidRPr="005B37B4">
        <w:rPr>
          <w:rFonts w:ascii="Tahoma" w:hAnsi="Tahoma" w:cs="Tahoma"/>
          <w:sz w:val="24"/>
          <w:szCs w:val="24"/>
        </w:rPr>
        <w:t xml:space="preserve">increasingly important </w:t>
      </w:r>
      <w:r w:rsidRPr="005B37B4">
        <w:rPr>
          <w:rFonts w:ascii="Tahoma" w:hAnsi="Tahoma" w:cs="Tahoma"/>
          <w:sz w:val="24"/>
          <w:szCs w:val="24"/>
        </w:rPr>
        <w:t xml:space="preserve">additional element of the project because it created </w:t>
      </w:r>
      <w:r w:rsidR="005025DA" w:rsidRPr="005B37B4">
        <w:rPr>
          <w:rFonts w:ascii="Tahoma" w:hAnsi="Tahoma" w:cs="Tahoma"/>
          <w:sz w:val="24"/>
          <w:szCs w:val="24"/>
        </w:rPr>
        <w:t xml:space="preserve">valuable </w:t>
      </w:r>
      <w:r w:rsidRPr="005B37B4">
        <w:rPr>
          <w:rFonts w:ascii="Tahoma" w:hAnsi="Tahoma" w:cs="Tahoma"/>
          <w:sz w:val="24"/>
          <w:szCs w:val="24"/>
        </w:rPr>
        <w:t>opportunit</w:t>
      </w:r>
      <w:r w:rsidR="005025DA" w:rsidRPr="005B37B4">
        <w:rPr>
          <w:rFonts w:ascii="Tahoma" w:hAnsi="Tahoma" w:cs="Tahoma"/>
          <w:sz w:val="24"/>
          <w:szCs w:val="24"/>
        </w:rPr>
        <w:t>ies</w:t>
      </w:r>
      <w:r w:rsidRPr="005B37B4">
        <w:rPr>
          <w:rFonts w:ascii="Tahoma" w:hAnsi="Tahoma" w:cs="Tahoma"/>
          <w:sz w:val="24"/>
          <w:szCs w:val="24"/>
        </w:rPr>
        <w:t xml:space="preserve"> to connect students to the wider community, culture and heritage of the area.</w:t>
      </w:r>
      <w:r w:rsidR="004A3EDD">
        <w:rPr>
          <w:rFonts w:ascii="Tahoma" w:hAnsi="Tahoma" w:cs="Tahoma"/>
          <w:sz w:val="24"/>
          <w:szCs w:val="24"/>
        </w:rPr>
        <w:t xml:space="preserve"> It also provided opportunities for people within the wider surrounding community to interact positively with the University via its students.</w:t>
      </w:r>
    </w:p>
    <w:p w:rsidR="00356B71" w:rsidRPr="005B37B4" w:rsidRDefault="00CC2D72" w:rsidP="00351480">
      <w:pPr>
        <w:spacing w:line="360" w:lineRule="auto"/>
        <w:rPr>
          <w:rFonts w:ascii="Tahoma" w:hAnsi="Tahoma" w:cs="Tahoma"/>
          <w:sz w:val="28"/>
          <w:szCs w:val="28"/>
        </w:rPr>
      </w:pPr>
      <w:r w:rsidRPr="005B37B4">
        <w:rPr>
          <w:rFonts w:ascii="Tahoma" w:hAnsi="Tahoma" w:cs="Tahoma"/>
          <w:b/>
          <w:sz w:val="28"/>
          <w:szCs w:val="28"/>
        </w:rPr>
        <w:t>Research – embedding co-ownership and co-production</w:t>
      </w:r>
    </w:p>
    <w:p w:rsidR="00B43D97" w:rsidRPr="005B37B4" w:rsidRDefault="00AB50C4" w:rsidP="00351480">
      <w:pPr>
        <w:spacing w:line="360" w:lineRule="auto"/>
        <w:rPr>
          <w:rFonts w:ascii="Tahoma" w:hAnsi="Tahoma" w:cs="Tahoma"/>
          <w:sz w:val="24"/>
          <w:szCs w:val="24"/>
        </w:rPr>
      </w:pPr>
      <w:r>
        <w:rPr>
          <w:rFonts w:ascii="Tahoma" w:hAnsi="Tahoma" w:cs="Tahoma"/>
          <w:sz w:val="24"/>
          <w:szCs w:val="24"/>
        </w:rPr>
        <w:t xml:space="preserve">One of </w:t>
      </w:r>
      <w:r w:rsidR="00356122">
        <w:rPr>
          <w:rFonts w:ascii="Tahoma" w:hAnsi="Tahoma" w:cs="Tahoma"/>
          <w:sz w:val="24"/>
          <w:szCs w:val="24"/>
        </w:rPr>
        <w:t>the University</w:t>
      </w:r>
      <w:r>
        <w:rPr>
          <w:rFonts w:ascii="Tahoma" w:hAnsi="Tahoma" w:cs="Tahoma"/>
          <w:sz w:val="24"/>
          <w:szCs w:val="24"/>
        </w:rPr>
        <w:t>’s roles</w:t>
      </w:r>
      <w:r w:rsidR="00356122">
        <w:rPr>
          <w:rFonts w:ascii="Tahoma" w:hAnsi="Tahoma" w:cs="Tahoma"/>
          <w:sz w:val="24"/>
          <w:szCs w:val="24"/>
        </w:rPr>
        <w:t xml:space="preserve"> in the project </w:t>
      </w:r>
      <w:r>
        <w:rPr>
          <w:rFonts w:ascii="Tahoma" w:hAnsi="Tahoma" w:cs="Tahoma"/>
          <w:sz w:val="24"/>
          <w:szCs w:val="24"/>
        </w:rPr>
        <w:t xml:space="preserve">was to </w:t>
      </w:r>
      <w:r w:rsidR="00356122" w:rsidRPr="005B37B4">
        <w:rPr>
          <w:rFonts w:ascii="Tahoma" w:hAnsi="Tahoma" w:cs="Tahoma"/>
          <w:sz w:val="24"/>
          <w:szCs w:val="24"/>
        </w:rPr>
        <w:t>research Astley’s links to the area and his family history</w:t>
      </w:r>
      <w:r w:rsidR="004B3423">
        <w:rPr>
          <w:rFonts w:ascii="Tahoma" w:hAnsi="Tahoma" w:cs="Tahoma"/>
          <w:sz w:val="24"/>
          <w:szCs w:val="24"/>
        </w:rPr>
        <w:t>. This</w:t>
      </w:r>
      <w:r w:rsidR="00356122">
        <w:rPr>
          <w:rFonts w:ascii="Tahoma" w:hAnsi="Tahoma" w:cs="Tahoma"/>
          <w:sz w:val="24"/>
          <w:szCs w:val="24"/>
        </w:rPr>
        <w:t xml:space="preserve"> fulfil</w:t>
      </w:r>
      <w:r w:rsidR="004B3423">
        <w:rPr>
          <w:rFonts w:ascii="Tahoma" w:hAnsi="Tahoma" w:cs="Tahoma"/>
          <w:sz w:val="24"/>
          <w:szCs w:val="24"/>
        </w:rPr>
        <w:t>led</w:t>
      </w:r>
      <w:r w:rsidR="00356122">
        <w:rPr>
          <w:rFonts w:ascii="Tahoma" w:hAnsi="Tahoma" w:cs="Tahoma"/>
          <w:sz w:val="24"/>
          <w:szCs w:val="24"/>
        </w:rPr>
        <w:t xml:space="preserve"> the project</w:t>
      </w:r>
      <w:r w:rsidR="004B3423">
        <w:rPr>
          <w:rFonts w:ascii="Tahoma" w:hAnsi="Tahoma" w:cs="Tahoma"/>
          <w:sz w:val="24"/>
          <w:szCs w:val="24"/>
        </w:rPr>
        <w:t>’</w:t>
      </w:r>
      <w:r w:rsidR="00356122">
        <w:rPr>
          <w:rFonts w:ascii="Tahoma" w:hAnsi="Tahoma" w:cs="Tahoma"/>
          <w:sz w:val="24"/>
          <w:szCs w:val="24"/>
        </w:rPr>
        <w:t xml:space="preserve">s broader aim to </w:t>
      </w:r>
      <w:r w:rsidR="00356122" w:rsidRPr="005B37B4">
        <w:rPr>
          <w:rFonts w:ascii="Tahoma" w:hAnsi="Tahoma" w:cs="Tahoma"/>
          <w:sz w:val="24"/>
          <w:szCs w:val="24"/>
        </w:rPr>
        <w:lastRenderedPageBreak/>
        <w:t>better identif</w:t>
      </w:r>
      <w:r w:rsidR="00356122">
        <w:rPr>
          <w:rFonts w:ascii="Tahoma" w:hAnsi="Tahoma" w:cs="Tahoma"/>
          <w:sz w:val="24"/>
          <w:szCs w:val="24"/>
        </w:rPr>
        <w:t>y</w:t>
      </w:r>
      <w:r w:rsidR="00356122" w:rsidRPr="005B37B4">
        <w:rPr>
          <w:rFonts w:ascii="Tahoma" w:hAnsi="Tahoma" w:cs="Tahoma"/>
          <w:sz w:val="24"/>
          <w:szCs w:val="24"/>
        </w:rPr>
        <w:t>, record, interpret and explain</w:t>
      </w:r>
      <w:r w:rsidR="00356122">
        <w:rPr>
          <w:rFonts w:ascii="Tahoma" w:hAnsi="Tahoma" w:cs="Tahoma"/>
          <w:sz w:val="24"/>
          <w:szCs w:val="24"/>
        </w:rPr>
        <w:t xml:space="preserve"> </w:t>
      </w:r>
      <w:r w:rsidR="00991908" w:rsidRPr="005B37B4">
        <w:rPr>
          <w:rFonts w:ascii="Tahoma" w:hAnsi="Tahoma" w:cs="Tahoma"/>
          <w:sz w:val="24"/>
          <w:szCs w:val="24"/>
        </w:rPr>
        <w:t>Newcastle-under-Lyme’s</w:t>
      </w:r>
      <w:r w:rsidR="00B33D2C" w:rsidRPr="005B37B4">
        <w:rPr>
          <w:rFonts w:ascii="Tahoma" w:hAnsi="Tahoma" w:cs="Tahoma"/>
          <w:sz w:val="24"/>
          <w:szCs w:val="24"/>
        </w:rPr>
        <w:t xml:space="preserve"> circus heritage</w:t>
      </w:r>
      <w:r w:rsidR="00356122">
        <w:rPr>
          <w:rFonts w:ascii="Tahoma" w:hAnsi="Tahoma" w:cs="Tahoma"/>
          <w:sz w:val="24"/>
          <w:szCs w:val="24"/>
        </w:rPr>
        <w:t>.</w:t>
      </w:r>
      <w:r w:rsidR="00B33D2C" w:rsidRPr="005B37B4">
        <w:rPr>
          <w:rFonts w:ascii="Tahoma" w:hAnsi="Tahoma" w:cs="Tahoma"/>
          <w:sz w:val="24"/>
          <w:szCs w:val="24"/>
        </w:rPr>
        <w:t xml:space="preserve"> </w:t>
      </w:r>
    </w:p>
    <w:p w:rsidR="001B3892" w:rsidRPr="005B37B4" w:rsidRDefault="00CC2D72" w:rsidP="00351480">
      <w:pPr>
        <w:spacing w:line="360" w:lineRule="auto"/>
        <w:rPr>
          <w:rFonts w:ascii="Tahoma" w:hAnsi="Tahoma" w:cs="Tahoma"/>
          <w:sz w:val="24"/>
          <w:szCs w:val="24"/>
        </w:rPr>
      </w:pPr>
      <w:r w:rsidRPr="005B37B4">
        <w:rPr>
          <w:rFonts w:ascii="Tahoma" w:hAnsi="Tahoma" w:cs="Tahoma"/>
          <w:sz w:val="24"/>
          <w:szCs w:val="24"/>
        </w:rPr>
        <w:t xml:space="preserve">The author used a </w:t>
      </w:r>
      <w:r w:rsidR="00B94408" w:rsidRPr="005B37B4">
        <w:rPr>
          <w:rFonts w:ascii="Tahoma" w:hAnsi="Tahoma" w:cs="Tahoma"/>
          <w:sz w:val="24"/>
          <w:szCs w:val="24"/>
        </w:rPr>
        <w:t>participatory research process</w:t>
      </w:r>
      <w:r w:rsidR="00853F37" w:rsidRPr="005B37B4">
        <w:rPr>
          <w:rFonts w:ascii="Tahoma" w:hAnsi="Tahoma" w:cs="Tahoma"/>
          <w:sz w:val="24"/>
          <w:szCs w:val="24"/>
        </w:rPr>
        <w:t>, bringing together diverse groups, including museum volunteers and professional circus performers</w:t>
      </w:r>
      <w:r w:rsidR="00213D75" w:rsidRPr="005B37B4">
        <w:rPr>
          <w:rFonts w:ascii="Tahoma" w:hAnsi="Tahoma" w:cs="Tahoma"/>
          <w:sz w:val="24"/>
          <w:szCs w:val="24"/>
        </w:rPr>
        <w:t>,</w:t>
      </w:r>
      <w:r w:rsidR="00853F37" w:rsidRPr="005B37B4">
        <w:rPr>
          <w:rFonts w:ascii="Tahoma" w:hAnsi="Tahoma" w:cs="Tahoma"/>
          <w:sz w:val="24"/>
          <w:szCs w:val="24"/>
        </w:rPr>
        <w:t xml:space="preserve"> </w:t>
      </w:r>
      <w:r w:rsidR="00B94408" w:rsidRPr="005B37B4">
        <w:rPr>
          <w:rFonts w:ascii="Tahoma" w:hAnsi="Tahoma" w:cs="Tahoma"/>
          <w:sz w:val="24"/>
          <w:szCs w:val="24"/>
        </w:rPr>
        <w:t>to embed co-ownership and co-production</w:t>
      </w:r>
      <w:r w:rsidR="00997B3A" w:rsidRPr="005B37B4">
        <w:rPr>
          <w:rFonts w:ascii="Tahoma" w:hAnsi="Tahoma" w:cs="Tahoma"/>
          <w:sz w:val="24"/>
          <w:szCs w:val="24"/>
        </w:rPr>
        <w:t xml:space="preserve"> into the research process.</w:t>
      </w:r>
      <w:r w:rsidR="00B94408" w:rsidRPr="005B37B4">
        <w:rPr>
          <w:rFonts w:ascii="Tahoma" w:hAnsi="Tahoma" w:cs="Tahoma"/>
          <w:sz w:val="24"/>
          <w:szCs w:val="24"/>
        </w:rPr>
        <w:t xml:space="preserve"> </w:t>
      </w:r>
      <w:r w:rsidR="005F0EEC" w:rsidRPr="005B37B4">
        <w:rPr>
          <w:rFonts w:ascii="Tahoma" w:hAnsi="Tahoma" w:cs="Tahoma"/>
          <w:sz w:val="24"/>
          <w:szCs w:val="24"/>
        </w:rPr>
        <w:t xml:space="preserve">Public interaction and co-creation was built into the research process </w:t>
      </w:r>
      <w:r w:rsidR="00B94408" w:rsidRPr="005B37B4">
        <w:rPr>
          <w:rFonts w:ascii="Tahoma" w:hAnsi="Tahoma" w:cs="Tahoma"/>
          <w:sz w:val="24"/>
          <w:szCs w:val="24"/>
        </w:rPr>
        <w:t xml:space="preserve">with </w:t>
      </w:r>
      <w:r w:rsidR="005F0EEC" w:rsidRPr="005B37B4">
        <w:rPr>
          <w:rFonts w:ascii="Tahoma" w:hAnsi="Tahoma" w:cs="Tahoma"/>
          <w:sz w:val="24"/>
          <w:szCs w:val="24"/>
        </w:rPr>
        <w:t xml:space="preserve">the </w:t>
      </w:r>
      <w:r w:rsidRPr="005B37B4">
        <w:rPr>
          <w:rFonts w:ascii="Tahoma" w:hAnsi="Tahoma" w:cs="Tahoma"/>
          <w:sz w:val="24"/>
          <w:szCs w:val="24"/>
        </w:rPr>
        <w:t xml:space="preserve">author, as </w:t>
      </w:r>
      <w:r w:rsidR="005F0EEC" w:rsidRPr="005B37B4">
        <w:rPr>
          <w:rFonts w:ascii="Tahoma" w:hAnsi="Tahoma" w:cs="Tahoma"/>
          <w:sz w:val="24"/>
          <w:szCs w:val="24"/>
        </w:rPr>
        <w:t>academic researcher</w:t>
      </w:r>
      <w:r w:rsidRPr="005B37B4">
        <w:rPr>
          <w:rFonts w:ascii="Tahoma" w:hAnsi="Tahoma" w:cs="Tahoma"/>
          <w:sz w:val="24"/>
          <w:szCs w:val="24"/>
        </w:rPr>
        <w:t>,</w:t>
      </w:r>
      <w:r w:rsidR="005F0EEC" w:rsidRPr="005B37B4">
        <w:rPr>
          <w:rFonts w:ascii="Tahoma" w:hAnsi="Tahoma" w:cs="Tahoma"/>
          <w:sz w:val="24"/>
          <w:szCs w:val="24"/>
        </w:rPr>
        <w:t xml:space="preserve"> and museum staff supporting </w:t>
      </w:r>
      <w:r w:rsidR="00B94408" w:rsidRPr="005B37B4">
        <w:rPr>
          <w:rFonts w:ascii="Tahoma" w:hAnsi="Tahoma" w:cs="Tahoma"/>
          <w:sz w:val="24"/>
          <w:szCs w:val="24"/>
        </w:rPr>
        <w:t xml:space="preserve">a group of </w:t>
      </w:r>
      <w:r w:rsidR="0069660F" w:rsidRPr="005B37B4">
        <w:rPr>
          <w:rFonts w:ascii="Tahoma" w:hAnsi="Tahoma" w:cs="Tahoma"/>
          <w:sz w:val="24"/>
          <w:szCs w:val="24"/>
        </w:rPr>
        <w:t xml:space="preserve">six </w:t>
      </w:r>
      <w:r w:rsidR="00B94408" w:rsidRPr="005B37B4">
        <w:rPr>
          <w:rFonts w:ascii="Tahoma" w:hAnsi="Tahoma" w:cs="Tahoma"/>
          <w:sz w:val="24"/>
          <w:szCs w:val="24"/>
        </w:rPr>
        <w:t>volunteers from The Brampton Museum and Art Gallery to research primary sources from several archives in the UK and France including Window Tax Assessments, Apprenticeship Records, Parish Records, Wills, archived letters, newspaper cuttings, playbills and published secondary sources</w:t>
      </w:r>
      <w:r w:rsidR="00B22129" w:rsidRPr="005B37B4">
        <w:rPr>
          <w:rFonts w:ascii="Tahoma" w:hAnsi="Tahoma" w:cs="Tahoma"/>
          <w:sz w:val="24"/>
          <w:szCs w:val="24"/>
        </w:rPr>
        <w:t xml:space="preserve"> from the time period</w:t>
      </w:r>
      <w:r w:rsidR="001B3892" w:rsidRPr="005B37B4">
        <w:rPr>
          <w:rFonts w:ascii="Tahoma" w:hAnsi="Tahoma" w:cs="Tahoma"/>
          <w:sz w:val="24"/>
          <w:szCs w:val="24"/>
        </w:rPr>
        <w:t xml:space="preserve">. </w:t>
      </w:r>
    </w:p>
    <w:p w:rsidR="001B3892" w:rsidRPr="005B37B4" w:rsidRDefault="00BC2921" w:rsidP="00351480">
      <w:pPr>
        <w:spacing w:line="360" w:lineRule="auto"/>
        <w:rPr>
          <w:rFonts w:ascii="Tahoma" w:hAnsi="Tahoma" w:cs="Tahoma"/>
          <w:sz w:val="24"/>
          <w:szCs w:val="24"/>
          <w:lang w:val="en-US"/>
        </w:rPr>
      </w:pPr>
      <w:r w:rsidRPr="005B37B4">
        <w:rPr>
          <w:rFonts w:ascii="Tahoma" w:hAnsi="Tahoma" w:cs="Tahoma"/>
          <w:sz w:val="24"/>
          <w:szCs w:val="24"/>
        </w:rPr>
        <w:t>During</w:t>
      </w:r>
      <w:r w:rsidR="001B3892" w:rsidRPr="005B37B4">
        <w:rPr>
          <w:rFonts w:ascii="Tahoma" w:hAnsi="Tahoma" w:cs="Tahoma"/>
          <w:sz w:val="24"/>
          <w:szCs w:val="24"/>
        </w:rPr>
        <w:t xml:space="preserve"> the project, volunteers </w:t>
      </w:r>
      <w:r w:rsidR="00BA301A" w:rsidRPr="005B37B4">
        <w:rPr>
          <w:rFonts w:ascii="Tahoma" w:hAnsi="Tahoma" w:cs="Tahoma"/>
          <w:sz w:val="24"/>
          <w:szCs w:val="24"/>
        </w:rPr>
        <w:t xml:space="preserve">were given training in historical research methods to </w:t>
      </w:r>
      <w:r w:rsidR="001B3892" w:rsidRPr="005B37B4">
        <w:rPr>
          <w:rFonts w:ascii="Tahoma" w:hAnsi="Tahoma" w:cs="Tahoma"/>
          <w:sz w:val="24"/>
          <w:szCs w:val="24"/>
        </w:rPr>
        <w:t>develop skills to understand how archived eighteenth-century documents could be used as primary sources for research. As part of the project</w:t>
      </w:r>
      <w:r w:rsidR="0069660F" w:rsidRPr="005B37B4">
        <w:rPr>
          <w:rFonts w:ascii="Tahoma" w:hAnsi="Tahoma" w:cs="Tahoma"/>
          <w:sz w:val="24"/>
          <w:szCs w:val="24"/>
        </w:rPr>
        <w:t>,</w:t>
      </w:r>
      <w:r w:rsidR="001B3892" w:rsidRPr="005B37B4">
        <w:rPr>
          <w:rFonts w:ascii="Tahoma" w:hAnsi="Tahoma" w:cs="Tahoma"/>
          <w:sz w:val="24"/>
          <w:szCs w:val="24"/>
        </w:rPr>
        <w:t xml:space="preserve"> </w:t>
      </w:r>
      <w:r w:rsidR="001F7964">
        <w:rPr>
          <w:rFonts w:ascii="Tahoma" w:hAnsi="Tahoma" w:cs="Tahoma"/>
          <w:sz w:val="24"/>
          <w:szCs w:val="24"/>
        </w:rPr>
        <w:t xml:space="preserve">some </w:t>
      </w:r>
      <w:r w:rsidR="001B3892" w:rsidRPr="005B37B4">
        <w:rPr>
          <w:rFonts w:ascii="Tahoma" w:hAnsi="Tahoma" w:cs="Tahoma"/>
          <w:sz w:val="24"/>
          <w:szCs w:val="24"/>
        </w:rPr>
        <w:t xml:space="preserve">long-standing museum volunteers extended their </w:t>
      </w:r>
      <w:r w:rsidR="0069660F" w:rsidRPr="005B37B4">
        <w:rPr>
          <w:rFonts w:ascii="Tahoma" w:hAnsi="Tahoma" w:cs="Tahoma"/>
          <w:sz w:val="24"/>
          <w:szCs w:val="24"/>
        </w:rPr>
        <w:t xml:space="preserve">historical </w:t>
      </w:r>
      <w:r w:rsidR="001B3892" w:rsidRPr="005B37B4">
        <w:rPr>
          <w:rFonts w:ascii="Tahoma" w:hAnsi="Tahoma" w:cs="Tahoma"/>
          <w:sz w:val="24"/>
          <w:szCs w:val="24"/>
        </w:rPr>
        <w:t>research beyond the Brampton Museum’s archive for the first time, visiting The National Archives and The British Library in London, and archives in Paris where Astley is buried.</w:t>
      </w:r>
    </w:p>
    <w:p w:rsidR="00A92062" w:rsidRDefault="001B3892" w:rsidP="00351480">
      <w:pPr>
        <w:spacing w:line="360" w:lineRule="auto"/>
        <w:rPr>
          <w:rFonts w:ascii="Tahoma" w:hAnsi="Tahoma" w:cs="Tahoma"/>
          <w:sz w:val="24"/>
          <w:szCs w:val="24"/>
          <w:lang w:val="en-US"/>
        </w:rPr>
      </w:pPr>
      <w:r w:rsidRPr="005B37B4">
        <w:rPr>
          <w:rFonts w:ascii="Tahoma" w:hAnsi="Tahoma" w:cs="Tahoma"/>
          <w:sz w:val="24"/>
          <w:szCs w:val="24"/>
        </w:rPr>
        <w:t xml:space="preserve">Over a period of several months each volunteer </w:t>
      </w:r>
      <w:r w:rsidR="003D1340" w:rsidRPr="005B37B4">
        <w:rPr>
          <w:rFonts w:ascii="Tahoma" w:hAnsi="Tahoma" w:cs="Tahoma"/>
          <w:sz w:val="24"/>
          <w:szCs w:val="24"/>
        </w:rPr>
        <w:t>was supported to research</w:t>
      </w:r>
      <w:r w:rsidRPr="005B37B4">
        <w:rPr>
          <w:rFonts w:ascii="Tahoma" w:hAnsi="Tahoma" w:cs="Tahoma"/>
          <w:sz w:val="24"/>
          <w:szCs w:val="24"/>
        </w:rPr>
        <w:t xml:space="preserve"> a different aspect of Astley’s life and the findings </w:t>
      </w:r>
      <w:r w:rsidR="0069660F" w:rsidRPr="005B37B4">
        <w:rPr>
          <w:rFonts w:ascii="Tahoma" w:hAnsi="Tahoma" w:cs="Tahoma"/>
          <w:sz w:val="24"/>
          <w:szCs w:val="24"/>
        </w:rPr>
        <w:t xml:space="preserve">were </w:t>
      </w:r>
      <w:r w:rsidRPr="005B37B4">
        <w:rPr>
          <w:rFonts w:ascii="Tahoma" w:hAnsi="Tahoma" w:cs="Tahoma"/>
          <w:sz w:val="24"/>
          <w:szCs w:val="24"/>
        </w:rPr>
        <w:t>shared with the whole group at monthly meetings.</w:t>
      </w:r>
      <w:r w:rsidRPr="005B37B4">
        <w:rPr>
          <w:rFonts w:ascii="Tahoma" w:hAnsi="Tahoma" w:cs="Tahoma"/>
          <w:sz w:val="24"/>
          <w:szCs w:val="24"/>
          <w:lang w:val="en-US"/>
        </w:rPr>
        <w:t xml:space="preserve"> </w:t>
      </w:r>
      <w:r w:rsidR="00A92062">
        <w:rPr>
          <w:rFonts w:ascii="Tahoma" w:hAnsi="Tahoma" w:cs="Tahoma"/>
          <w:sz w:val="24"/>
          <w:szCs w:val="24"/>
          <w:lang w:val="en-US"/>
        </w:rPr>
        <w:t>Empowering volunteers to take an active role in the research process created a bi-directional knowledge exchange as a practical application of Culture 3.0 theories relating to the curation of new knowledge in the arts.</w:t>
      </w:r>
    </w:p>
    <w:p w:rsidR="00B94408" w:rsidRPr="005B37B4" w:rsidRDefault="003D1340" w:rsidP="00351480">
      <w:pPr>
        <w:spacing w:line="360" w:lineRule="auto"/>
        <w:rPr>
          <w:rFonts w:ascii="Tahoma" w:hAnsi="Tahoma" w:cs="Tahoma"/>
          <w:sz w:val="24"/>
          <w:szCs w:val="24"/>
          <w:lang w:val="en-US"/>
        </w:rPr>
      </w:pPr>
      <w:r w:rsidRPr="005B37B4">
        <w:rPr>
          <w:rFonts w:ascii="Tahoma" w:hAnsi="Tahoma" w:cs="Tahoma"/>
          <w:sz w:val="24"/>
          <w:szCs w:val="24"/>
          <w:lang w:val="en-US"/>
        </w:rPr>
        <w:t xml:space="preserve">The findings </w:t>
      </w:r>
      <w:r w:rsidRPr="005B37B4">
        <w:rPr>
          <w:rFonts w:ascii="Tahoma" w:hAnsi="Tahoma" w:cs="Tahoma"/>
          <w:sz w:val="24"/>
          <w:szCs w:val="24"/>
        </w:rPr>
        <w:t xml:space="preserve">revealed new insights into the life of Philip Astley, his family history, details of his home and lifestyle, his contribution to military horse training, and the role of Astley’s theatrical performances in shaping recreational life of the period. </w:t>
      </w:r>
      <w:r w:rsidR="001B3892" w:rsidRPr="005B37B4">
        <w:rPr>
          <w:rFonts w:ascii="Tahoma" w:hAnsi="Tahoma" w:cs="Tahoma"/>
          <w:sz w:val="24"/>
          <w:szCs w:val="24"/>
          <w:lang w:val="en-US"/>
        </w:rPr>
        <w:t>As an academic researcher u</w:t>
      </w:r>
      <w:r w:rsidR="00B22129" w:rsidRPr="005B37B4">
        <w:rPr>
          <w:rFonts w:ascii="Tahoma" w:hAnsi="Tahoma" w:cs="Tahoma"/>
          <w:sz w:val="24"/>
          <w:szCs w:val="24"/>
          <w:lang w:val="en-US"/>
        </w:rPr>
        <w:t>sing</w:t>
      </w:r>
      <w:r w:rsidR="001B3892" w:rsidRPr="005B37B4">
        <w:rPr>
          <w:rFonts w:ascii="Tahoma" w:hAnsi="Tahoma" w:cs="Tahoma"/>
          <w:sz w:val="24"/>
          <w:szCs w:val="24"/>
          <w:lang w:val="en-US"/>
        </w:rPr>
        <w:t xml:space="preserve"> </w:t>
      </w:r>
      <w:r w:rsidR="00B22129" w:rsidRPr="005B37B4">
        <w:rPr>
          <w:rFonts w:ascii="Tahoma" w:hAnsi="Tahoma" w:cs="Tahoma"/>
          <w:sz w:val="24"/>
          <w:szCs w:val="24"/>
          <w:lang w:val="en-US"/>
        </w:rPr>
        <w:t>a</w:t>
      </w:r>
      <w:r w:rsidR="001B3892" w:rsidRPr="005B37B4">
        <w:rPr>
          <w:rFonts w:ascii="Tahoma" w:hAnsi="Tahoma" w:cs="Tahoma"/>
          <w:sz w:val="24"/>
          <w:szCs w:val="24"/>
          <w:lang w:val="en-US"/>
        </w:rPr>
        <w:t xml:space="preserve"> co-creation framework</w:t>
      </w:r>
      <w:r w:rsidR="0069660F" w:rsidRPr="005B37B4">
        <w:rPr>
          <w:rFonts w:ascii="Tahoma" w:hAnsi="Tahoma" w:cs="Tahoma"/>
          <w:sz w:val="24"/>
          <w:szCs w:val="24"/>
          <w:lang w:val="en-US"/>
        </w:rPr>
        <w:t>,</w:t>
      </w:r>
      <w:r w:rsidR="001B3892" w:rsidRPr="005B37B4">
        <w:rPr>
          <w:rFonts w:ascii="Tahoma" w:hAnsi="Tahoma" w:cs="Tahoma"/>
          <w:sz w:val="24"/>
          <w:szCs w:val="24"/>
          <w:lang w:val="en-US"/>
        </w:rPr>
        <w:t xml:space="preserve"> </w:t>
      </w:r>
      <w:r w:rsidR="001F7964">
        <w:rPr>
          <w:rFonts w:ascii="Tahoma" w:hAnsi="Tahoma" w:cs="Tahoma"/>
          <w:sz w:val="24"/>
          <w:szCs w:val="24"/>
          <w:lang w:val="en-US"/>
        </w:rPr>
        <w:t>the author’s</w:t>
      </w:r>
      <w:r w:rsidR="001B3892" w:rsidRPr="005B37B4">
        <w:rPr>
          <w:rFonts w:ascii="Tahoma" w:hAnsi="Tahoma" w:cs="Tahoma"/>
          <w:sz w:val="24"/>
          <w:szCs w:val="24"/>
          <w:lang w:val="en-US"/>
        </w:rPr>
        <w:t xml:space="preserve"> role became one of facilitating and curating the </w:t>
      </w:r>
      <w:r w:rsidR="001B3892" w:rsidRPr="005B37B4">
        <w:rPr>
          <w:rFonts w:ascii="Tahoma" w:hAnsi="Tahoma" w:cs="Tahoma"/>
          <w:sz w:val="24"/>
          <w:szCs w:val="24"/>
          <w:lang w:val="en-US"/>
        </w:rPr>
        <w:lastRenderedPageBreak/>
        <w:t>creation of new knowledge</w:t>
      </w:r>
      <w:r w:rsidR="00B94408" w:rsidRPr="005B37B4">
        <w:rPr>
          <w:rFonts w:ascii="Tahoma" w:hAnsi="Tahoma" w:cs="Tahoma"/>
          <w:sz w:val="24"/>
          <w:szCs w:val="24"/>
        </w:rPr>
        <w:t xml:space="preserve"> to develop a body of work</w:t>
      </w:r>
      <w:r w:rsidR="006B6396" w:rsidRPr="005B37B4">
        <w:rPr>
          <w:rFonts w:ascii="Tahoma" w:hAnsi="Tahoma" w:cs="Tahoma"/>
          <w:sz w:val="24"/>
          <w:szCs w:val="24"/>
        </w:rPr>
        <w:t xml:space="preserve"> presented for wide public engagement</w:t>
      </w:r>
      <w:r w:rsidRPr="005B37B4">
        <w:rPr>
          <w:rFonts w:ascii="Tahoma" w:hAnsi="Tahoma" w:cs="Tahoma"/>
          <w:sz w:val="24"/>
          <w:szCs w:val="24"/>
        </w:rPr>
        <w:t>.</w:t>
      </w:r>
      <w:r w:rsidR="00B94408" w:rsidRPr="005B37B4">
        <w:rPr>
          <w:rFonts w:ascii="Tahoma" w:hAnsi="Tahoma" w:cs="Tahoma"/>
          <w:sz w:val="24"/>
          <w:szCs w:val="24"/>
        </w:rPr>
        <w:t xml:space="preserve"> </w:t>
      </w:r>
    </w:p>
    <w:p w:rsidR="006B6396" w:rsidRPr="005B37B4" w:rsidRDefault="001B3892" w:rsidP="00351480">
      <w:pPr>
        <w:spacing w:line="360" w:lineRule="auto"/>
        <w:rPr>
          <w:rFonts w:ascii="Tahoma" w:hAnsi="Tahoma" w:cs="Tahoma"/>
          <w:sz w:val="24"/>
          <w:szCs w:val="24"/>
        </w:rPr>
      </w:pPr>
      <w:r w:rsidRPr="005B37B4">
        <w:rPr>
          <w:rFonts w:ascii="Tahoma" w:hAnsi="Tahoma" w:cs="Tahoma"/>
          <w:sz w:val="24"/>
          <w:szCs w:val="24"/>
        </w:rPr>
        <w:t xml:space="preserve">Insights were </w:t>
      </w:r>
      <w:r w:rsidR="006B6396" w:rsidRPr="005B37B4">
        <w:rPr>
          <w:rFonts w:ascii="Tahoma" w:hAnsi="Tahoma" w:cs="Tahoma"/>
          <w:sz w:val="24"/>
          <w:szCs w:val="24"/>
        </w:rPr>
        <w:t xml:space="preserve">curated </w:t>
      </w:r>
      <w:r w:rsidR="00CC2D72" w:rsidRPr="005B37B4">
        <w:rPr>
          <w:rFonts w:ascii="Tahoma" w:hAnsi="Tahoma" w:cs="Tahoma"/>
          <w:sz w:val="24"/>
          <w:szCs w:val="24"/>
        </w:rPr>
        <w:t xml:space="preserve">by the author </w:t>
      </w:r>
      <w:r w:rsidR="006B6396" w:rsidRPr="005B37B4">
        <w:rPr>
          <w:rFonts w:ascii="Tahoma" w:hAnsi="Tahoma" w:cs="Tahoma"/>
          <w:sz w:val="24"/>
          <w:szCs w:val="24"/>
        </w:rPr>
        <w:t xml:space="preserve">into a 17-page Resource Pack for a general audience, which enabled people to understand Astley in the social and political context of his time. </w:t>
      </w:r>
      <w:r w:rsidR="00B94408" w:rsidRPr="005B37B4">
        <w:rPr>
          <w:rFonts w:ascii="Tahoma" w:hAnsi="Tahoma" w:cs="Tahoma"/>
          <w:sz w:val="24"/>
          <w:szCs w:val="24"/>
        </w:rPr>
        <w:t>The Resource Pack also provide</w:t>
      </w:r>
      <w:r w:rsidR="00B22129" w:rsidRPr="005B37B4">
        <w:rPr>
          <w:rFonts w:ascii="Tahoma" w:hAnsi="Tahoma" w:cs="Tahoma"/>
          <w:sz w:val="24"/>
          <w:szCs w:val="24"/>
        </w:rPr>
        <w:t>d</w:t>
      </w:r>
      <w:r w:rsidR="00B94408" w:rsidRPr="005B37B4">
        <w:rPr>
          <w:rFonts w:ascii="Tahoma" w:hAnsi="Tahoma" w:cs="Tahoma"/>
          <w:sz w:val="24"/>
          <w:szCs w:val="24"/>
        </w:rPr>
        <w:t xml:space="preserve"> the first comprehensive list of archives holding of relevant materials about Astley to benefit future researchers</w:t>
      </w:r>
      <w:r w:rsidR="002F7BB4" w:rsidRPr="005B37B4">
        <w:rPr>
          <w:rFonts w:ascii="Tahoma" w:hAnsi="Tahoma" w:cs="Tahoma"/>
          <w:sz w:val="24"/>
          <w:szCs w:val="24"/>
        </w:rPr>
        <w:t xml:space="preserve"> </w:t>
      </w:r>
      <w:r w:rsidR="003A5112" w:rsidRPr="005B37B4">
        <w:rPr>
          <w:rFonts w:ascii="Tahoma" w:hAnsi="Tahoma" w:cs="Tahoma"/>
          <w:sz w:val="24"/>
          <w:szCs w:val="24"/>
        </w:rPr>
        <w:fldChar w:fldCharType="begin" w:fldLock="1"/>
      </w:r>
      <w:r w:rsidR="008A0958">
        <w:rPr>
          <w:rFonts w:ascii="Tahoma" w:hAnsi="Tahoma" w:cs="Tahoma"/>
          <w:sz w:val="24"/>
          <w:szCs w:val="24"/>
        </w:rPr>
        <w:instrText>ADDIN CSL_CITATION {"citationItems":[{"id":"ITEM-1","itemData":{"URL":"https://www.philipastley.org.uk/resources/","accessed":{"date-parts":[["2020","1","26"]]},"author":[{"dropping-particle":"","family":"Thomason","given":"Carmel","non-dropping-particle":"","parse-names":false,"suffix":""}],"id":"ITEM-1","issued":{"date-parts":[["2018"]]},"title":"The life and legacy of Philip Astley, father of the modern circus.","type":"webpage"},"uris":["http://www.mendeley.com/documents/?uuid=cce49f2b-1103-4d28-ac83-65c29f924798"]}],"mendeley":{"formattedCitation":"(Thomason, 2018)","plainTextFormattedCitation":"(Thomason, 2018)","previouslyFormattedCitation":"(Thomason, 2018)"},"properties":{"noteIndex":0},"schema":"https://github.com/citation-style-language/schema/raw/master/csl-citation.json"}</w:instrText>
      </w:r>
      <w:r w:rsidR="003A5112" w:rsidRPr="005B37B4">
        <w:rPr>
          <w:rFonts w:ascii="Tahoma" w:hAnsi="Tahoma" w:cs="Tahoma"/>
          <w:sz w:val="24"/>
          <w:szCs w:val="24"/>
        </w:rPr>
        <w:fldChar w:fldCharType="separate"/>
      </w:r>
      <w:r w:rsidR="002F7BB4" w:rsidRPr="005B37B4">
        <w:rPr>
          <w:rFonts w:ascii="Tahoma" w:hAnsi="Tahoma" w:cs="Tahoma"/>
          <w:noProof/>
          <w:sz w:val="24"/>
          <w:szCs w:val="24"/>
        </w:rPr>
        <w:t>(Thomason, 2018)</w:t>
      </w:r>
      <w:r w:rsidR="003A5112" w:rsidRPr="005B37B4">
        <w:rPr>
          <w:rFonts w:ascii="Tahoma" w:hAnsi="Tahoma" w:cs="Tahoma"/>
          <w:sz w:val="24"/>
          <w:szCs w:val="24"/>
        </w:rPr>
        <w:fldChar w:fldCharType="end"/>
      </w:r>
      <w:r w:rsidR="00B94408" w:rsidRPr="005B37B4">
        <w:rPr>
          <w:rFonts w:ascii="Tahoma" w:hAnsi="Tahoma" w:cs="Tahoma"/>
          <w:sz w:val="24"/>
          <w:szCs w:val="24"/>
        </w:rPr>
        <w:t>.</w:t>
      </w:r>
    </w:p>
    <w:p w:rsidR="00CC2D72" w:rsidRPr="005B37B4" w:rsidRDefault="00CC2D72" w:rsidP="00351480">
      <w:pPr>
        <w:spacing w:line="360" w:lineRule="auto"/>
        <w:rPr>
          <w:rFonts w:ascii="Tahoma" w:hAnsi="Tahoma" w:cs="Tahoma"/>
          <w:sz w:val="24"/>
          <w:szCs w:val="24"/>
        </w:rPr>
      </w:pPr>
      <w:r w:rsidRPr="005B37B4">
        <w:rPr>
          <w:rFonts w:ascii="Tahoma" w:hAnsi="Tahoma" w:cs="Tahoma"/>
          <w:sz w:val="24"/>
          <w:szCs w:val="24"/>
        </w:rPr>
        <w:t xml:space="preserve">Andrew Van Buren, a professional circus entertainer and one of the volunteer researchers, used the findings as the basis for a series of guided heritage walks in </w:t>
      </w:r>
      <w:r w:rsidR="00E228C9">
        <w:rPr>
          <w:rFonts w:ascii="Tahoma" w:hAnsi="Tahoma" w:cs="Tahoma"/>
          <w:sz w:val="24"/>
          <w:szCs w:val="24"/>
        </w:rPr>
        <w:t xml:space="preserve">Newcastle-under Lyme </w:t>
      </w:r>
      <w:r w:rsidRPr="005B37B4">
        <w:rPr>
          <w:rFonts w:ascii="Tahoma" w:hAnsi="Tahoma" w:cs="Tahoma"/>
          <w:sz w:val="24"/>
          <w:szCs w:val="24"/>
        </w:rPr>
        <w:t xml:space="preserve">and public talks </w:t>
      </w:r>
      <w:r w:rsidR="00E228C9">
        <w:rPr>
          <w:rFonts w:ascii="Tahoma" w:hAnsi="Tahoma" w:cs="Tahoma"/>
          <w:sz w:val="24"/>
          <w:szCs w:val="24"/>
        </w:rPr>
        <w:t>about</w:t>
      </w:r>
      <w:r w:rsidRPr="005B37B4">
        <w:rPr>
          <w:rFonts w:ascii="Tahoma" w:hAnsi="Tahoma" w:cs="Tahoma"/>
          <w:sz w:val="24"/>
          <w:szCs w:val="24"/>
        </w:rPr>
        <w:t xml:space="preserve"> </w:t>
      </w:r>
      <w:proofErr w:type="spellStart"/>
      <w:r w:rsidRPr="005B37B4">
        <w:rPr>
          <w:rFonts w:ascii="Tahoma" w:hAnsi="Tahoma" w:cs="Tahoma"/>
          <w:sz w:val="24"/>
          <w:szCs w:val="24"/>
        </w:rPr>
        <w:t>Astley</w:t>
      </w:r>
      <w:proofErr w:type="spellEnd"/>
      <w:r w:rsidRPr="005B37B4">
        <w:rPr>
          <w:rFonts w:ascii="Tahoma" w:hAnsi="Tahoma" w:cs="Tahoma"/>
          <w:sz w:val="24"/>
          <w:szCs w:val="24"/>
        </w:rPr>
        <w:t xml:space="preserve"> </w:t>
      </w:r>
      <w:r w:rsidR="00E228C9">
        <w:rPr>
          <w:rFonts w:ascii="Tahoma" w:hAnsi="Tahoma" w:cs="Tahoma"/>
          <w:sz w:val="24"/>
          <w:szCs w:val="24"/>
        </w:rPr>
        <w:t xml:space="preserve">both </w:t>
      </w:r>
      <w:r w:rsidRPr="005B37B4">
        <w:rPr>
          <w:rFonts w:ascii="Tahoma" w:hAnsi="Tahoma" w:cs="Tahoma"/>
          <w:sz w:val="24"/>
          <w:szCs w:val="24"/>
        </w:rPr>
        <w:t>locally and overseas</w:t>
      </w:r>
      <w:r w:rsidR="001F7964">
        <w:rPr>
          <w:rFonts w:ascii="Tahoma" w:hAnsi="Tahoma" w:cs="Tahoma"/>
          <w:sz w:val="24"/>
          <w:szCs w:val="24"/>
        </w:rPr>
        <w:t xml:space="preserve"> </w:t>
      </w:r>
      <w:r w:rsidRPr="005B37B4">
        <w:rPr>
          <w:rFonts w:ascii="Tahoma" w:hAnsi="Tahoma" w:cs="Tahoma"/>
          <w:sz w:val="24"/>
          <w:szCs w:val="24"/>
        </w:rPr>
        <w:t xml:space="preserve">at </w:t>
      </w:r>
      <w:r w:rsidR="001F7964">
        <w:rPr>
          <w:rFonts w:ascii="Tahoma" w:hAnsi="Tahoma" w:cs="Tahoma"/>
          <w:sz w:val="24"/>
          <w:szCs w:val="24"/>
        </w:rPr>
        <w:t xml:space="preserve">circus related events such as </w:t>
      </w:r>
      <w:r w:rsidRPr="005B37B4">
        <w:rPr>
          <w:rFonts w:ascii="Tahoma" w:hAnsi="Tahoma" w:cs="Tahoma"/>
          <w:sz w:val="24"/>
          <w:szCs w:val="24"/>
        </w:rPr>
        <w:t>the Monte Carlo International Circus Festival.</w:t>
      </w:r>
    </w:p>
    <w:p w:rsidR="00B94408" w:rsidRPr="005B37B4" w:rsidRDefault="00B94408" w:rsidP="00351480">
      <w:pPr>
        <w:spacing w:line="360" w:lineRule="auto"/>
        <w:rPr>
          <w:rFonts w:ascii="Tahoma" w:hAnsi="Tahoma" w:cs="Tahoma"/>
          <w:sz w:val="24"/>
          <w:szCs w:val="24"/>
        </w:rPr>
      </w:pPr>
      <w:r w:rsidRPr="005B37B4">
        <w:rPr>
          <w:rFonts w:ascii="Tahoma" w:eastAsia="Times New Roman" w:hAnsi="Tahoma" w:cs="Tahoma"/>
          <w:sz w:val="24"/>
          <w:szCs w:val="24"/>
          <w:lang w:eastAsia="en-GB"/>
        </w:rPr>
        <w:t xml:space="preserve">The research was </w:t>
      </w:r>
      <w:r w:rsidR="0069660F" w:rsidRPr="005B37B4">
        <w:rPr>
          <w:rFonts w:ascii="Tahoma" w:eastAsia="Times New Roman" w:hAnsi="Tahoma" w:cs="Tahoma"/>
          <w:sz w:val="24"/>
          <w:szCs w:val="24"/>
          <w:lang w:eastAsia="en-GB"/>
        </w:rPr>
        <w:t>further</w:t>
      </w:r>
      <w:r w:rsidR="00984C21" w:rsidRPr="005B37B4">
        <w:rPr>
          <w:rFonts w:ascii="Tahoma" w:eastAsia="Times New Roman" w:hAnsi="Tahoma" w:cs="Tahoma"/>
          <w:sz w:val="24"/>
          <w:szCs w:val="24"/>
          <w:lang w:eastAsia="en-GB"/>
        </w:rPr>
        <w:t xml:space="preserve"> </w:t>
      </w:r>
      <w:r w:rsidRPr="005B37B4">
        <w:rPr>
          <w:rFonts w:ascii="Tahoma" w:eastAsia="Times New Roman" w:hAnsi="Tahoma" w:cs="Tahoma"/>
          <w:sz w:val="24"/>
          <w:szCs w:val="24"/>
          <w:lang w:eastAsia="en-GB"/>
        </w:rPr>
        <w:t>curated into an exhibition at the Brampto</w:t>
      </w:r>
      <w:r w:rsidR="001B3892" w:rsidRPr="005B37B4">
        <w:rPr>
          <w:rFonts w:ascii="Tahoma" w:eastAsia="Times New Roman" w:hAnsi="Tahoma" w:cs="Tahoma"/>
          <w:sz w:val="24"/>
          <w:szCs w:val="24"/>
          <w:lang w:eastAsia="en-GB"/>
        </w:rPr>
        <w:t>n</w:t>
      </w:r>
      <w:r w:rsidRPr="005B37B4">
        <w:rPr>
          <w:rFonts w:ascii="Tahoma" w:eastAsia="Times New Roman" w:hAnsi="Tahoma" w:cs="Tahoma"/>
          <w:sz w:val="24"/>
          <w:szCs w:val="24"/>
          <w:lang w:eastAsia="en-GB"/>
        </w:rPr>
        <w:t xml:space="preserve"> Museum</w:t>
      </w:r>
      <w:r w:rsidR="001B3892" w:rsidRPr="005B37B4">
        <w:rPr>
          <w:rFonts w:ascii="Tahoma" w:eastAsia="Times New Roman" w:hAnsi="Tahoma" w:cs="Tahoma"/>
          <w:sz w:val="24"/>
          <w:szCs w:val="24"/>
          <w:lang w:eastAsia="en-GB"/>
        </w:rPr>
        <w:t xml:space="preserve"> and Art Gallery</w:t>
      </w:r>
      <w:r w:rsidRPr="005B37B4">
        <w:rPr>
          <w:rFonts w:ascii="Tahoma" w:eastAsia="Times New Roman" w:hAnsi="Tahoma" w:cs="Tahoma"/>
          <w:sz w:val="24"/>
          <w:szCs w:val="24"/>
          <w:lang w:eastAsia="en-GB"/>
        </w:rPr>
        <w:t>: "Philip Astley: His Life and Legacy”</w:t>
      </w:r>
      <w:r w:rsidR="001B3892" w:rsidRPr="005B37B4">
        <w:rPr>
          <w:rFonts w:ascii="Tahoma" w:eastAsia="Times New Roman" w:hAnsi="Tahoma" w:cs="Tahoma"/>
          <w:sz w:val="24"/>
          <w:szCs w:val="24"/>
          <w:lang w:eastAsia="en-GB"/>
        </w:rPr>
        <w:t xml:space="preserve">, which ran </w:t>
      </w:r>
      <w:r w:rsidR="00984C21" w:rsidRPr="005B37B4">
        <w:rPr>
          <w:rFonts w:ascii="Tahoma" w:hAnsi="Tahoma" w:cs="Tahoma"/>
          <w:sz w:val="24"/>
          <w:szCs w:val="24"/>
        </w:rPr>
        <w:t>from 5/6/18 to 15/7/18</w:t>
      </w:r>
      <w:r w:rsidR="00A04E56" w:rsidRPr="005B37B4">
        <w:rPr>
          <w:rFonts w:ascii="Tahoma" w:hAnsi="Tahoma" w:cs="Tahoma"/>
          <w:sz w:val="24"/>
          <w:szCs w:val="24"/>
        </w:rPr>
        <w:t xml:space="preserve"> and was visited by 16</w:t>
      </w:r>
      <w:r w:rsidR="00410505" w:rsidRPr="005B37B4">
        <w:rPr>
          <w:rFonts w:ascii="Tahoma" w:hAnsi="Tahoma" w:cs="Tahoma"/>
          <w:sz w:val="24"/>
          <w:szCs w:val="24"/>
        </w:rPr>
        <w:t>,</w:t>
      </w:r>
      <w:r w:rsidR="00A04E56" w:rsidRPr="005B37B4">
        <w:rPr>
          <w:rFonts w:ascii="Tahoma" w:hAnsi="Tahoma" w:cs="Tahoma"/>
          <w:sz w:val="24"/>
          <w:szCs w:val="24"/>
        </w:rPr>
        <w:t xml:space="preserve">700 people. Alongside the co-produced research </w:t>
      </w:r>
      <w:r w:rsidR="0066773F" w:rsidRPr="005B37B4">
        <w:rPr>
          <w:rFonts w:ascii="Tahoma" w:hAnsi="Tahoma" w:cs="Tahoma"/>
          <w:sz w:val="24"/>
          <w:szCs w:val="24"/>
        </w:rPr>
        <w:t>insights,</w:t>
      </w:r>
      <w:r w:rsidR="00A04E56" w:rsidRPr="005B37B4">
        <w:rPr>
          <w:rFonts w:ascii="Tahoma" w:hAnsi="Tahoma" w:cs="Tahoma"/>
          <w:sz w:val="24"/>
          <w:szCs w:val="24"/>
        </w:rPr>
        <w:t xml:space="preserve"> t</w:t>
      </w:r>
      <w:r w:rsidRPr="005B37B4">
        <w:rPr>
          <w:rFonts w:ascii="Tahoma" w:eastAsia="Times New Roman" w:hAnsi="Tahoma" w:cs="Tahoma"/>
          <w:sz w:val="24"/>
          <w:szCs w:val="24"/>
          <w:lang w:eastAsia="en-GB"/>
        </w:rPr>
        <w:t xml:space="preserve">he exhibition included additional loan material from museums including the V &amp; A Museum and </w:t>
      </w:r>
      <w:proofErr w:type="spellStart"/>
      <w:r w:rsidRPr="005B37B4">
        <w:rPr>
          <w:rFonts w:ascii="Tahoma" w:eastAsia="Times New Roman" w:hAnsi="Tahoma" w:cs="Tahoma"/>
          <w:sz w:val="24"/>
          <w:szCs w:val="24"/>
          <w:lang w:eastAsia="en-GB"/>
        </w:rPr>
        <w:t>Chetham’s</w:t>
      </w:r>
      <w:proofErr w:type="spellEnd"/>
      <w:r w:rsidRPr="005B37B4">
        <w:rPr>
          <w:rFonts w:ascii="Tahoma" w:eastAsia="Times New Roman" w:hAnsi="Tahoma" w:cs="Tahoma"/>
          <w:sz w:val="24"/>
          <w:szCs w:val="24"/>
          <w:lang w:eastAsia="en-GB"/>
        </w:rPr>
        <w:t xml:space="preserve"> Library, br</w:t>
      </w:r>
      <w:r w:rsidR="00984C21" w:rsidRPr="005B37B4">
        <w:rPr>
          <w:rFonts w:ascii="Tahoma" w:eastAsia="Times New Roman" w:hAnsi="Tahoma" w:cs="Tahoma"/>
          <w:sz w:val="24"/>
          <w:szCs w:val="24"/>
          <w:lang w:eastAsia="en-GB"/>
        </w:rPr>
        <w:t>inging</w:t>
      </w:r>
      <w:r w:rsidRPr="005B37B4">
        <w:rPr>
          <w:rFonts w:ascii="Tahoma" w:eastAsia="Times New Roman" w:hAnsi="Tahoma" w:cs="Tahoma"/>
          <w:sz w:val="24"/>
          <w:szCs w:val="24"/>
          <w:lang w:eastAsia="en-GB"/>
        </w:rPr>
        <w:t xml:space="preserve"> together archive materials relating to Astley for the first time including drawings, engravings and prints of Astley’s riding school and </w:t>
      </w:r>
      <w:r w:rsidRPr="005B37B4">
        <w:rPr>
          <w:rFonts w:ascii="Tahoma" w:hAnsi="Tahoma" w:cs="Tahoma"/>
          <w:sz w:val="24"/>
          <w:szCs w:val="24"/>
        </w:rPr>
        <w:t xml:space="preserve">amphitheatres, and a recreation of Astley’s Amphitheatre based on a painting from 1806. </w:t>
      </w:r>
    </w:p>
    <w:p w:rsidR="0069660F" w:rsidRPr="005B37B4" w:rsidRDefault="002F7BB4" w:rsidP="00351480">
      <w:pPr>
        <w:spacing w:line="360" w:lineRule="auto"/>
        <w:rPr>
          <w:rFonts w:ascii="Tahoma" w:hAnsi="Tahoma" w:cs="Tahoma"/>
          <w:sz w:val="24"/>
          <w:szCs w:val="24"/>
        </w:rPr>
      </w:pPr>
      <w:r w:rsidRPr="005B37B4">
        <w:rPr>
          <w:rFonts w:ascii="Tahoma" w:hAnsi="Tahoma" w:cs="Tahoma"/>
          <w:sz w:val="24"/>
          <w:szCs w:val="24"/>
        </w:rPr>
        <w:t>A</w:t>
      </w:r>
      <w:r w:rsidR="00E228C9">
        <w:rPr>
          <w:rFonts w:ascii="Tahoma" w:hAnsi="Tahoma" w:cs="Tahoma"/>
          <w:sz w:val="24"/>
          <w:szCs w:val="24"/>
        </w:rPr>
        <w:t>dditionally, a</w:t>
      </w:r>
      <w:r w:rsidRPr="005B37B4">
        <w:rPr>
          <w:rFonts w:ascii="Tahoma" w:hAnsi="Tahoma" w:cs="Tahoma"/>
          <w:sz w:val="24"/>
          <w:szCs w:val="24"/>
        </w:rPr>
        <w:t xml:space="preserve"> printed edition of the Resource Pack was distributed at an event, alongside a smaller exhibition at Staffordshire University, on 28 Nov 2018 and a copy is held as a cultural artefact in an Astley Archive at The Brampton Museum</w:t>
      </w:r>
      <w:r w:rsidR="005156EB">
        <w:rPr>
          <w:rFonts w:ascii="Tahoma" w:hAnsi="Tahoma" w:cs="Tahoma"/>
          <w:sz w:val="24"/>
          <w:szCs w:val="24"/>
        </w:rPr>
        <w:t xml:space="preserve"> </w:t>
      </w:r>
      <w:r w:rsidR="003A5112">
        <w:rPr>
          <w:rFonts w:ascii="Tahoma" w:hAnsi="Tahoma" w:cs="Tahoma"/>
          <w:sz w:val="24"/>
          <w:szCs w:val="24"/>
        </w:rPr>
        <w:fldChar w:fldCharType="begin" w:fldLock="1"/>
      </w:r>
      <w:r w:rsidR="002E7931">
        <w:rPr>
          <w:rFonts w:ascii="Tahoma" w:hAnsi="Tahoma" w:cs="Tahoma"/>
          <w:sz w:val="24"/>
          <w:szCs w:val="24"/>
        </w:rPr>
        <w:instrText>ADDIN CSL_CITATION {"citationItems":[{"id":"ITEM-1","itemData":{"URL":"https://www.philipastley.org.uk/resources/","accessed":{"date-parts":[["2020","1","26"]]},"author":[{"dropping-particle":"","family":"Thomason","given":"Carmel","non-dropping-particle":"","parse-names":false,"suffix":""}],"id":"ITEM-1","issued":{"date-parts":[["2018"]]},"title":"The life and legacy of Philip Astley, father of the modern circus.","type":"webpage"},"uris":["http://www.mendeley.com/documents/?uuid=cce49f2b-1103-4d28-ac83-65c29f924798"]}],"mendeley":{"formattedCitation":"(Thomason, 2018)","plainTextFormattedCitation":"(Thomason, 2018)","previouslyFormattedCitation":"(Thomason, 2018)"},"properties":{"noteIndex":0},"schema":"https://github.com/citation-style-language/schema/raw/master/csl-citation.json"}</w:instrText>
      </w:r>
      <w:r w:rsidR="003A5112">
        <w:rPr>
          <w:rFonts w:ascii="Tahoma" w:hAnsi="Tahoma" w:cs="Tahoma"/>
          <w:sz w:val="24"/>
          <w:szCs w:val="24"/>
        </w:rPr>
        <w:fldChar w:fldCharType="separate"/>
      </w:r>
      <w:r w:rsidR="005156EB" w:rsidRPr="005156EB">
        <w:rPr>
          <w:rFonts w:ascii="Tahoma" w:hAnsi="Tahoma" w:cs="Tahoma"/>
          <w:noProof/>
          <w:sz w:val="24"/>
          <w:szCs w:val="24"/>
        </w:rPr>
        <w:t>(Thomason, 2018)</w:t>
      </w:r>
      <w:r w:rsidR="003A5112">
        <w:rPr>
          <w:rFonts w:ascii="Tahoma" w:hAnsi="Tahoma" w:cs="Tahoma"/>
          <w:sz w:val="24"/>
          <w:szCs w:val="24"/>
        </w:rPr>
        <w:fldChar w:fldCharType="end"/>
      </w:r>
      <w:r w:rsidRPr="005B37B4">
        <w:rPr>
          <w:rFonts w:ascii="Tahoma" w:hAnsi="Tahoma" w:cs="Tahoma"/>
          <w:sz w:val="24"/>
          <w:szCs w:val="24"/>
        </w:rPr>
        <w:t xml:space="preserve">. It is available electronically via the </w:t>
      </w:r>
      <w:r w:rsidRPr="005156EB">
        <w:rPr>
          <w:rFonts w:ascii="Tahoma" w:hAnsi="Tahoma" w:cs="Tahoma"/>
          <w:sz w:val="24"/>
          <w:szCs w:val="24"/>
        </w:rPr>
        <w:t xml:space="preserve">Philip </w:t>
      </w:r>
      <w:proofErr w:type="spellStart"/>
      <w:r w:rsidRPr="005156EB">
        <w:rPr>
          <w:rFonts w:ascii="Tahoma" w:hAnsi="Tahoma" w:cs="Tahoma"/>
          <w:sz w:val="24"/>
          <w:szCs w:val="24"/>
        </w:rPr>
        <w:t>Astley</w:t>
      </w:r>
      <w:proofErr w:type="spellEnd"/>
      <w:r w:rsidRPr="005156EB">
        <w:rPr>
          <w:rFonts w:ascii="Tahoma" w:hAnsi="Tahoma" w:cs="Tahoma"/>
          <w:sz w:val="24"/>
          <w:szCs w:val="24"/>
        </w:rPr>
        <w:t xml:space="preserve"> Project website</w:t>
      </w:r>
      <w:r w:rsidR="0069660F" w:rsidRPr="005B37B4">
        <w:rPr>
          <w:rFonts w:ascii="Tahoma" w:hAnsi="Tahoma" w:cs="Tahoma"/>
          <w:sz w:val="24"/>
          <w:szCs w:val="24"/>
        </w:rPr>
        <w:t xml:space="preserve"> </w:t>
      </w:r>
      <w:r w:rsidR="005A52E6">
        <w:rPr>
          <w:rFonts w:ascii="Tahoma" w:hAnsi="Tahoma" w:cs="Tahoma"/>
          <w:sz w:val="24"/>
          <w:szCs w:val="24"/>
        </w:rPr>
        <w:t xml:space="preserve">(Thomason, 2018) </w:t>
      </w:r>
      <w:r w:rsidR="0069660F" w:rsidRPr="005B37B4">
        <w:rPr>
          <w:rFonts w:ascii="Tahoma" w:hAnsi="Tahoma" w:cs="Tahoma"/>
          <w:sz w:val="24"/>
          <w:szCs w:val="24"/>
        </w:rPr>
        <w:t>alongside an</w:t>
      </w:r>
      <w:r w:rsidRPr="005B37B4">
        <w:rPr>
          <w:rFonts w:ascii="Tahoma" w:hAnsi="Tahoma" w:cs="Tahoma"/>
          <w:sz w:val="24"/>
          <w:szCs w:val="24"/>
        </w:rPr>
        <w:t xml:space="preserve"> additional activity-based, educational pack for younger children, developed by arts organisation partners</w:t>
      </w:r>
      <w:r w:rsidR="0069660F" w:rsidRPr="005B37B4">
        <w:rPr>
          <w:rFonts w:ascii="Tahoma" w:hAnsi="Tahoma" w:cs="Tahoma"/>
          <w:sz w:val="24"/>
          <w:szCs w:val="24"/>
        </w:rPr>
        <w:t>, The New Vic</w:t>
      </w:r>
      <w:r w:rsidR="00E228C9">
        <w:rPr>
          <w:rFonts w:ascii="Tahoma" w:hAnsi="Tahoma" w:cs="Tahoma"/>
          <w:sz w:val="24"/>
          <w:szCs w:val="24"/>
        </w:rPr>
        <w:t xml:space="preserve"> </w:t>
      </w:r>
      <w:r w:rsidR="0069660F" w:rsidRPr="005B37B4">
        <w:rPr>
          <w:rFonts w:ascii="Tahoma" w:hAnsi="Tahoma" w:cs="Tahoma"/>
          <w:sz w:val="24"/>
          <w:szCs w:val="24"/>
        </w:rPr>
        <w:t>Theatre and Newcastle Library</w:t>
      </w:r>
      <w:r w:rsidR="003D1903">
        <w:rPr>
          <w:rFonts w:ascii="Tahoma" w:hAnsi="Tahoma" w:cs="Tahoma"/>
          <w:sz w:val="24"/>
          <w:szCs w:val="24"/>
        </w:rPr>
        <w:t xml:space="preserve"> </w:t>
      </w:r>
      <w:r w:rsidR="003A5112">
        <w:rPr>
          <w:rFonts w:ascii="Tahoma" w:hAnsi="Tahoma" w:cs="Tahoma"/>
          <w:sz w:val="24"/>
          <w:szCs w:val="24"/>
        </w:rPr>
        <w:fldChar w:fldCharType="begin" w:fldLock="1"/>
      </w:r>
      <w:r w:rsidR="003D1903">
        <w:rPr>
          <w:rFonts w:ascii="Tahoma" w:hAnsi="Tahoma" w:cs="Tahoma"/>
          <w:sz w:val="24"/>
          <w:szCs w:val="24"/>
        </w:rPr>
        <w:instrText>ADDIN CSL_CITATION {"citationItems":[{"id":"ITEM-1","itemData":{"URL":"https://www.philipastley.org.uk/resources-2/","abstract":"Resource Pack for Schools and Youth Groups","accessed":{"date-parts":[["2020","1","25"]]},"author":[{"dropping-particle":"","family":"New Vic Education and Newcastle Library","given":"","non-dropping-particle":"","parse-names":false,"suffix":""}],"container-title":"Staffordshire University","id":"ITEM-1","issued":{"date-parts":[["2017"]]},"title":"Philip Astley Father of Modern Circus","type":"webpage"},"uris":["http://www.mendeley.com/documents/?uuid=e7700aad-1855-46a5-8261-755d1a5a6a23"]}],"mendeley":{"formattedCitation":"(New Vic Education and Newcastle Library, 2017)","plainTextFormattedCitation":"(New Vic Education and Newcastle Library, 2017)","previouslyFormattedCitation":"(New Vic Education and Newcastle Library, 2017)"},"properties":{"noteIndex":0},"schema":"https://github.com/citation-style-language/schema/raw/master/csl-citation.json"}</w:instrText>
      </w:r>
      <w:r w:rsidR="003A5112">
        <w:rPr>
          <w:rFonts w:ascii="Tahoma" w:hAnsi="Tahoma" w:cs="Tahoma"/>
          <w:sz w:val="24"/>
          <w:szCs w:val="24"/>
        </w:rPr>
        <w:fldChar w:fldCharType="separate"/>
      </w:r>
      <w:r w:rsidR="003D1903" w:rsidRPr="003D1903">
        <w:rPr>
          <w:rFonts w:ascii="Tahoma" w:hAnsi="Tahoma" w:cs="Tahoma"/>
          <w:noProof/>
          <w:sz w:val="24"/>
          <w:szCs w:val="24"/>
        </w:rPr>
        <w:t>(New Vic Education and Newcastle Library, 2017)</w:t>
      </w:r>
      <w:r w:rsidR="003A5112">
        <w:rPr>
          <w:rFonts w:ascii="Tahoma" w:hAnsi="Tahoma" w:cs="Tahoma"/>
          <w:sz w:val="24"/>
          <w:szCs w:val="24"/>
        </w:rPr>
        <w:fldChar w:fldCharType="end"/>
      </w:r>
      <w:r w:rsidR="0069660F" w:rsidRPr="005B37B4">
        <w:rPr>
          <w:rFonts w:ascii="Tahoma" w:hAnsi="Tahoma" w:cs="Tahoma"/>
          <w:sz w:val="24"/>
          <w:szCs w:val="24"/>
        </w:rPr>
        <w:t>.</w:t>
      </w:r>
    </w:p>
    <w:p w:rsidR="005D1D8D" w:rsidRPr="005B37B4" w:rsidRDefault="0069660F" w:rsidP="00351480">
      <w:pPr>
        <w:spacing w:line="360" w:lineRule="auto"/>
        <w:rPr>
          <w:rFonts w:ascii="Tahoma" w:hAnsi="Tahoma" w:cs="Tahoma"/>
          <w:sz w:val="24"/>
          <w:szCs w:val="24"/>
        </w:rPr>
      </w:pPr>
      <w:r w:rsidRPr="005B37B4">
        <w:rPr>
          <w:rFonts w:ascii="Tahoma" w:hAnsi="Tahoma" w:cs="Tahoma"/>
          <w:sz w:val="24"/>
          <w:szCs w:val="24"/>
        </w:rPr>
        <w:t xml:space="preserve">Enabling project partners and members of the public to be directly engaged in the research process helped to create a collective ownership of the research </w:t>
      </w:r>
      <w:r w:rsidRPr="005B37B4">
        <w:rPr>
          <w:rFonts w:ascii="Tahoma" w:hAnsi="Tahoma" w:cs="Tahoma"/>
          <w:sz w:val="24"/>
          <w:szCs w:val="24"/>
        </w:rPr>
        <w:lastRenderedPageBreak/>
        <w:t xml:space="preserve">outcomes. </w:t>
      </w:r>
      <w:r w:rsidR="004B3423">
        <w:rPr>
          <w:rFonts w:ascii="Tahoma" w:hAnsi="Tahoma" w:cs="Tahoma"/>
          <w:sz w:val="24"/>
          <w:szCs w:val="24"/>
        </w:rPr>
        <w:t>Again</w:t>
      </w:r>
      <w:r w:rsidR="00A92062">
        <w:rPr>
          <w:rFonts w:ascii="Tahoma" w:hAnsi="Tahoma" w:cs="Tahoma"/>
          <w:sz w:val="24"/>
          <w:szCs w:val="24"/>
        </w:rPr>
        <w:t>,</w:t>
      </w:r>
      <w:r w:rsidR="004B3423">
        <w:rPr>
          <w:rFonts w:ascii="Tahoma" w:hAnsi="Tahoma" w:cs="Tahoma"/>
          <w:sz w:val="24"/>
          <w:szCs w:val="24"/>
        </w:rPr>
        <w:t xml:space="preserve"> this follows Goddard’s </w:t>
      </w:r>
      <w:r w:rsidR="0090722F">
        <w:rPr>
          <w:rFonts w:ascii="Tahoma" w:hAnsi="Tahoma" w:cs="Tahoma"/>
          <w:sz w:val="24"/>
          <w:szCs w:val="24"/>
        </w:rPr>
        <w:t>‘</w:t>
      </w:r>
      <w:r w:rsidR="004B3423">
        <w:rPr>
          <w:rFonts w:ascii="Tahoma" w:hAnsi="Tahoma" w:cs="Tahoma"/>
          <w:sz w:val="24"/>
          <w:szCs w:val="24"/>
        </w:rPr>
        <w:t>win-win</w:t>
      </w:r>
      <w:r w:rsidR="0090722F">
        <w:rPr>
          <w:rFonts w:ascii="Tahoma" w:hAnsi="Tahoma" w:cs="Tahoma"/>
          <w:sz w:val="24"/>
          <w:szCs w:val="24"/>
        </w:rPr>
        <w:t>’</w:t>
      </w:r>
      <w:r w:rsidR="004B3423">
        <w:rPr>
          <w:rFonts w:ascii="Tahoma" w:hAnsi="Tahoma" w:cs="Tahoma"/>
          <w:sz w:val="24"/>
          <w:szCs w:val="24"/>
        </w:rPr>
        <w:t xml:space="preserve"> philosophy </w:t>
      </w:r>
      <w:r w:rsidR="003A5112" w:rsidRPr="005B37B4">
        <w:rPr>
          <w:rFonts w:ascii="Tahoma" w:hAnsi="Tahoma" w:cs="Tahoma"/>
          <w:sz w:val="24"/>
          <w:szCs w:val="24"/>
        </w:rPr>
        <w:fldChar w:fldCharType="begin" w:fldLock="1"/>
      </w:r>
      <w:r w:rsidR="0090722F">
        <w:rPr>
          <w:rFonts w:ascii="Tahoma" w:hAnsi="Tahoma" w:cs="Tahoma"/>
          <w:sz w:val="24"/>
          <w:szCs w:val="24"/>
        </w:rPr>
        <w:instrText>ADDIN CSL_CITATION {"citationItems":[{"id":"ITEM-1","itemData":{"DOI":"10.4337/9781784717728.00008","ISBN":"9781784717711","author":[{"dropping-particle":"","family":"Goddard","given":"John","non-dropping-particle":"","parse-names":false,"suffix":""},{"dropping-particle":"","family":"Hazelkorn","given":"Ellen","non-dropping-particle":"","parse-names":false,"suffix":""},{"dropping-particle":"","family":"Kempton","given":"Louise","non-dropping-particle":"","parse-names":false,"suffix":""},{"dropping-particle":"","family":"Vallance","given":"Paul","non-dropping-particle":"","parse-names":false,"suffix":""}],"container-title":"The Civic University","id":"ITEM-1","issue":"November","issued":{"date-parts":[["2016"]]},"page":"3-15","title":"Introduction: why the civic university?","type":"article-journal"},"uris":["http://www.mendeley.com/documents/?uuid=27796b6d-ecbb-461c-a1ca-5964cae21076"]}],"mendeley":{"formattedCitation":"(Goddard et al., 2016)","plainTextFormattedCitation":"(Goddard et al., 2016)","previouslyFormattedCitation":"(Goddard et al., 2016)"},"properties":{"noteIndex":0},"schema":"https://github.com/citation-style-language/schema/raw/master/csl-citation.json"}</w:instrText>
      </w:r>
      <w:r w:rsidR="003A5112" w:rsidRPr="005B37B4">
        <w:rPr>
          <w:rFonts w:ascii="Tahoma" w:hAnsi="Tahoma" w:cs="Tahoma"/>
          <w:sz w:val="24"/>
          <w:szCs w:val="24"/>
        </w:rPr>
        <w:fldChar w:fldCharType="separate"/>
      </w:r>
      <w:r w:rsidR="0090722F" w:rsidRPr="003D1903">
        <w:rPr>
          <w:rFonts w:ascii="Tahoma" w:hAnsi="Tahoma" w:cs="Tahoma"/>
          <w:noProof/>
          <w:sz w:val="24"/>
          <w:szCs w:val="24"/>
        </w:rPr>
        <w:t>(Goddard et al., 2016)</w:t>
      </w:r>
      <w:r w:rsidR="003A5112" w:rsidRPr="005B37B4">
        <w:rPr>
          <w:rFonts w:ascii="Tahoma" w:hAnsi="Tahoma" w:cs="Tahoma"/>
          <w:sz w:val="24"/>
          <w:szCs w:val="24"/>
        </w:rPr>
        <w:fldChar w:fldCharType="end"/>
      </w:r>
      <w:r w:rsidR="0090722F">
        <w:rPr>
          <w:rFonts w:ascii="Tahoma" w:hAnsi="Tahoma" w:cs="Tahoma"/>
          <w:sz w:val="24"/>
          <w:szCs w:val="24"/>
        </w:rPr>
        <w:t xml:space="preserve"> </w:t>
      </w:r>
      <w:r w:rsidR="004B3423">
        <w:rPr>
          <w:rFonts w:ascii="Tahoma" w:hAnsi="Tahoma" w:cs="Tahoma"/>
          <w:sz w:val="24"/>
          <w:szCs w:val="24"/>
        </w:rPr>
        <w:t>and</w:t>
      </w:r>
      <w:r w:rsidRPr="005B37B4">
        <w:rPr>
          <w:rFonts w:ascii="Tahoma" w:hAnsi="Tahoma" w:cs="Tahoma"/>
          <w:sz w:val="24"/>
          <w:szCs w:val="24"/>
        </w:rPr>
        <w:t xml:space="preserve"> </w:t>
      </w:r>
      <w:r w:rsidR="00B14296" w:rsidRPr="005B37B4">
        <w:rPr>
          <w:rFonts w:ascii="Tahoma" w:hAnsi="Tahoma" w:cs="Tahoma"/>
          <w:sz w:val="24"/>
          <w:szCs w:val="24"/>
        </w:rPr>
        <w:t xml:space="preserve">was important in establishing a rich and diverse base of interest from which to begin dissemination of the findings and encourage greater cultural engagement among the general population </w:t>
      </w:r>
      <w:r w:rsidR="00B22129" w:rsidRPr="005B37B4">
        <w:rPr>
          <w:rFonts w:ascii="Tahoma" w:hAnsi="Tahoma" w:cs="Tahoma"/>
          <w:sz w:val="24"/>
          <w:szCs w:val="24"/>
        </w:rPr>
        <w:t>of</w:t>
      </w:r>
      <w:r w:rsidR="00B14296" w:rsidRPr="005B37B4">
        <w:rPr>
          <w:rFonts w:ascii="Tahoma" w:hAnsi="Tahoma" w:cs="Tahoma"/>
          <w:sz w:val="24"/>
          <w:szCs w:val="24"/>
        </w:rPr>
        <w:t xml:space="preserve"> the area.</w:t>
      </w:r>
    </w:p>
    <w:p w:rsidR="00356B71" w:rsidRPr="005B37B4" w:rsidRDefault="00CC2D72" w:rsidP="00351480">
      <w:pPr>
        <w:spacing w:line="360" w:lineRule="auto"/>
        <w:rPr>
          <w:rFonts w:ascii="Tahoma" w:hAnsi="Tahoma" w:cs="Tahoma"/>
          <w:b/>
          <w:sz w:val="28"/>
          <w:szCs w:val="28"/>
        </w:rPr>
      </w:pPr>
      <w:r w:rsidRPr="006615E5">
        <w:rPr>
          <w:rFonts w:ascii="Tahoma" w:hAnsi="Tahoma" w:cs="Tahoma"/>
          <w:b/>
          <w:sz w:val="28"/>
          <w:szCs w:val="28"/>
        </w:rPr>
        <w:t>Teaching – a</w:t>
      </w:r>
      <w:r w:rsidR="00673F85" w:rsidRPr="006615E5">
        <w:rPr>
          <w:rFonts w:ascii="Tahoma" w:hAnsi="Tahoma" w:cs="Tahoma"/>
          <w:b/>
          <w:sz w:val="28"/>
          <w:szCs w:val="28"/>
        </w:rPr>
        <w:t xml:space="preserve"> whole university approach to community engagement</w:t>
      </w:r>
    </w:p>
    <w:p w:rsidR="00A21EA5" w:rsidRPr="001B6ED8" w:rsidRDefault="00A21EA5" w:rsidP="00351480">
      <w:pPr>
        <w:spacing w:line="360" w:lineRule="auto"/>
        <w:rPr>
          <w:rFonts w:ascii="Tahoma" w:hAnsi="Tahoma" w:cs="Tahoma"/>
          <w:sz w:val="24"/>
          <w:szCs w:val="24"/>
        </w:rPr>
      </w:pPr>
      <w:r w:rsidRPr="001B6ED8">
        <w:rPr>
          <w:rFonts w:ascii="Tahoma" w:hAnsi="Tahoma" w:cs="Tahoma"/>
          <w:sz w:val="24"/>
          <w:szCs w:val="24"/>
        </w:rPr>
        <w:t>In Goddard’s view</w:t>
      </w:r>
      <w:r w:rsidR="004773EC" w:rsidRPr="001B6ED8">
        <w:rPr>
          <w:rFonts w:ascii="Tahoma" w:hAnsi="Tahoma" w:cs="Tahoma"/>
          <w:sz w:val="24"/>
          <w:szCs w:val="24"/>
        </w:rPr>
        <w:t>,</w:t>
      </w:r>
      <w:r w:rsidRPr="001B6ED8">
        <w:rPr>
          <w:rFonts w:ascii="Tahoma" w:hAnsi="Tahoma" w:cs="Tahoma"/>
          <w:sz w:val="24"/>
          <w:szCs w:val="24"/>
        </w:rPr>
        <w:t xml:space="preserve"> a truly civic university will </w:t>
      </w:r>
      <w:r w:rsidR="004773EC" w:rsidRPr="001B6ED8">
        <w:rPr>
          <w:rFonts w:ascii="Tahoma" w:hAnsi="Tahoma" w:cs="Tahoma"/>
          <w:sz w:val="24"/>
          <w:szCs w:val="24"/>
        </w:rPr>
        <w:t xml:space="preserve">experience </w:t>
      </w:r>
      <w:r w:rsidRPr="001B6ED8">
        <w:rPr>
          <w:rFonts w:ascii="Tahoma" w:hAnsi="Tahoma" w:cs="Tahoma"/>
          <w:sz w:val="24"/>
          <w:szCs w:val="24"/>
        </w:rPr>
        <w:t xml:space="preserve">overlap in core policy areas of teaching, research and engagement </w:t>
      </w:r>
      <w:r w:rsidR="003A5112" w:rsidRPr="001B6ED8">
        <w:rPr>
          <w:rFonts w:ascii="Tahoma" w:hAnsi="Tahoma" w:cs="Tahoma"/>
          <w:sz w:val="24"/>
          <w:szCs w:val="24"/>
        </w:rPr>
        <w:fldChar w:fldCharType="begin" w:fldLock="1"/>
      </w:r>
      <w:r w:rsidR="00B60449" w:rsidRPr="001B6ED8">
        <w:rPr>
          <w:rFonts w:ascii="Tahoma" w:hAnsi="Tahoma" w:cs="Tahoma"/>
          <w:sz w:val="24"/>
          <w:szCs w:val="24"/>
        </w:rPr>
        <w:instrText>ADDIN CSL_CITATION {"citationItems":[{"id":"ITEM-1","itemData":{"DOI":"10.4337/9781784717728.00008","ISBN":"9781784717711","author":[{"dropping-particle":"","family":"Goddard","given":"John","non-dropping-particle":"","parse-names":false,"suffix":""},{"dropping-particle":"","family":"Hazelkorn","given":"Ellen","non-dropping-particle":"","parse-names":false,"suffix":""},{"dropping-particle":"","family":"Kempton","given":"Louise","non-dropping-particle":"","parse-names":false,"suffix":""},{"dropping-particle":"","family":"Vallance","given":"Paul","non-dropping-particle":"","parse-names":false,"suffix":""}],"container-title":"The Civic University","id":"ITEM-1","issue":"November","issued":{"date-parts":[["2016"]]},"page":"3-15","title":"Introduction: why the civic university?","type":"article-journal"},"uris":["http://www.mendeley.com/documents/?uuid=27796b6d-ecbb-461c-a1ca-5964cae21076"]}],"mendeley":{"formattedCitation":"(Goddard et al., 2016)","plainTextFormattedCitation":"(Goddard et al., 2016)","previouslyFormattedCitation":"(Goddard et al., 2016)"},"properties":{"noteIndex":0},"schema":"https://github.com/citation-style-language/schema/raw/master/csl-citation.json"}</w:instrText>
      </w:r>
      <w:r w:rsidR="003A5112" w:rsidRPr="001B6ED8">
        <w:rPr>
          <w:rFonts w:ascii="Tahoma" w:hAnsi="Tahoma" w:cs="Tahoma"/>
          <w:sz w:val="24"/>
          <w:szCs w:val="24"/>
        </w:rPr>
        <w:fldChar w:fldCharType="separate"/>
      </w:r>
      <w:r w:rsidRPr="001B6ED8">
        <w:rPr>
          <w:rFonts w:ascii="Tahoma" w:hAnsi="Tahoma" w:cs="Tahoma"/>
          <w:noProof/>
          <w:sz w:val="24"/>
          <w:szCs w:val="24"/>
        </w:rPr>
        <w:t>(Goddard et al., 2016)</w:t>
      </w:r>
      <w:r w:rsidR="003A5112" w:rsidRPr="001B6ED8">
        <w:rPr>
          <w:rFonts w:ascii="Tahoma" w:hAnsi="Tahoma" w:cs="Tahoma"/>
          <w:sz w:val="24"/>
          <w:szCs w:val="24"/>
        </w:rPr>
        <w:fldChar w:fldCharType="end"/>
      </w:r>
      <w:r w:rsidR="00BB1B65" w:rsidRPr="001B6ED8">
        <w:rPr>
          <w:rFonts w:ascii="Tahoma" w:hAnsi="Tahoma" w:cs="Tahoma"/>
          <w:sz w:val="24"/>
          <w:szCs w:val="24"/>
        </w:rPr>
        <w:t>.</w:t>
      </w:r>
    </w:p>
    <w:p w:rsidR="006615E5" w:rsidRDefault="00BB1B65" w:rsidP="006615E5">
      <w:pPr>
        <w:spacing w:line="360" w:lineRule="auto"/>
        <w:rPr>
          <w:rFonts w:ascii="Tahoma" w:hAnsi="Tahoma" w:cs="Tahoma"/>
          <w:sz w:val="24"/>
          <w:szCs w:val="24"/>
        </w:rPr>
      </w:pPr>
      <w:r w:rsidRPr="001B6ED8">
        <w:rPr>
          <w:rFonts w:ascii="Tahoma" w:hAnsi="Tahoma" w:cs="Tahoma"/>
          <w:sz w:val="24"/>
          <w:szCs w:val="24"/>
        </w:rPr>
        <w:t>The Philip Astley Project offered opportunities to connect students to the wider community and to the heritage of the area in which they are studying, boosting community coherence among groups that live side-by-side but are often disconnected.</w:t>
      </w:r>
      <w:r w:rsidR="006615E5">
        <w:rPr>
          <w:rFonts w:ascii="Tahoma" w:hAnsi="Tahoma" w:cs="Tahoma"/>
          <w:sz w:val="24"/>
          <w:szCs w:val="24"/>
        </w:rPr>
        <w:t xml:space="preserve"> </w:t>
      </w:r>
      <w:r w:rsidRPr="001B6ED8">
        <w:rPr>
          <w:rFonts w:ascii="Tahoma" w:hAnsi="Tahoma" w:cs="Tahoma"/>
          <w:sz w:val="24"/>
          <w:szCs w:val="24"/>
        </w:rPr>
        <w:t xml:space="preserve">Many students initially raised ethical concerns about getting involved with the project due to outdated but strong perceptions of animal abuse in UK circuses. </w:t>
      </w:r>
      <w:r w:rsidR="006615E5">
        <w:rPr>
          <w:rFonts w:ascii="Tahoma" w:hAnsi="Tahoma" w:cs="Tahoma"/>
          <w:sz w:val="24"/>
          <w:szCs w:val="24"/>
        </w:rPr>
        <w:t>Hence, t</w:t>
      </w:r>
      <w:r w:rsidRPr="001B6ED8">
        <w:rPr>
          <w:rFonts w:ascii="Tahoma" w:hAnsi="Tahoma" w:cs="Tahoma"/>
          <w:sz w:val="24"/>
          <w:szCs w:val="24"/>
        </w:rPr>
        <w:t xml:space="preserve">o engage and educate, opportunities </w:t>
      </w:r>
      <w:r w:rsidR="00440CC9" w:rsidRPr="001B6ED8">
        <w:rPr>
          <w:rFonts w:ascii="Tahoma" w:hAnsi="Tahoma" w:cs="Tahoma"/>
          <w:sz w:val="24"/>
          <w:szCs w:val="24"/>
        </w:rPr>
        <w:t xml:space="preserve">were sought </w:t>
      </w:r>
      <w:r w:rsidRPr="001B6ED8">
        <w:rPr>
          <w:rFonts w:ascii="Tahoma" w:hAnsi="Tahoma" w:cs="Tahoma"/>
          <w:sz w:val="24"/>
          <w:szCs w:val="24"/>
        </w:rPr>
        <w:t>to embed the project in the formal curriculum.</w:t>
      </w:r>
    </w:p>
    <w:p w:rsidR="00037E15" w:rsidRDefault="00037E15" w:rsidP="00037E15">
      <w:pPr>
        <w:spacing w:line="360" w:lineRule="auto"/>
        <w:rPr>
          <w:rFonts w:ascii="Tahoma" w:hAnsi="Tahoma" w:cs="Tahoma"/>
          <w:sz w:val="24"/>
          <w:szCs w:val="24"/>
        </w:rPr>
      </w:pPr>
      <w:r w:rsidRPr="001B6ED8">
        <w:rPr>
          <w:rFonts w:ascii="Tahoma" w:hAnsi="Tahoma" w:cs="Tahoma"/>
          <w:sz w:val="24"/>
          <w:szCs w:val="24"/>
        </w:rPr>
        <w:t xml:space="preserve">The academic researcher had a focus on student involvement and actively sought </w:t>
      </w:r>
      <w:r>
        <w:rPr>
          <w:rFonts w:ascii="Tahoma" w:hAnsi="Tahoma" w:cs="Tahoma"/>
          <w:sz w:val="24"/>
          <w:szCs w:val="24"/>
        </w:rPr>
        <w:t xml:space="preserve">such </w:t>
      </w:r>
      <w:r w:rsidRPr="001B6ED8">
        <w:rPr>
          <w:rFonts w:ascii="Tahoma" w:hAnsi="Tahoma" w:cs="Tahoma"/>
          <w:sz w:val="24"/>
          <w:szCs w:val="24"/>
        </w:rPr>
        <w:t xml:space="preserve">opportunities. </w:t>
      </w:r>
      <w:r>
        <w:rPr>
          <w:rFonts w:ascii="Tahoma" w:hAnsi="Tahoma" w:cs="Tahoma"/>
          <w:sz w:val="24"/>
          <w:szCs w:val="24"/>
        </w:rPr>
        <w:t xml:space="preserve"> </w:t>
      </w:r>
      <w:r w:rsidR="00EC3C32" w:rsidRPr="001B6ED8">
        <w:rPr>
          <w:rFonts w:ascii="Tahoma" w:hAnsi="Tahoma" w:cs="Tahoma"/>
          <w:sz w:val="24"/>
          <w:szCs w:val="24"/>
        </w:rPr>
        <w:t xml:space="preserve">By working closely with colleagues across </w:t>
      </w:r>
      <w:r w:rsidR="006615E5">
        <w:rPr>
          <w:rFonts w:ascii="Tahoma" w:hAnsi="Tahoma" w:cs="Tahoma"/>
          <w:sz w:val="24"/>
          <w:szCs w:val="24"/>
        </w:rPr>
        <w:t>the</w:t>
      </w:r>
      <w:r w:rsidR="00EC3C32" w:rsidRPr="001B6ED8">
        <w:rPr>
          <w:rFonts w:ascii="Tahoma" w:hAnsi="Tahoma" w:cs="Tahoma"/>
          <w:sz w:val="24"/>
          <w:szCs w:val="24"/>
        </w:rPr>
        <w:t xml:space="preserve"> University</w:t>
      </w:r>
      <w:r w:rsidR="006615E5">
        <w:rPr>
          <w:rFonts w:ascii="Tahoma" w:hAnsi="Tahoma" w:cs="Tahoma"/>
          <w:sz w:val="24"/>
          <w:szCs w:val="24"/>
        </w:rPr>
        <w:t>,</w:t>
      </w:r>
      <w:r w:rsidR="00EC3C32" w:rsidRPr="001B6ED8">
        <w:rPr>
          <w:rFonts w:ascii="Tahoma" w:hAnsi="Tahoma" w:cs="Tahoma"/>
          <w:sz w:val="24"/>
          <w:szCs w:val="24"/>
        </w:rPr>
        <w:t xml:space="preserve"> this was achieved in four modules across three of </w:t>
      </w:r>
      <w:r w:rsidR="006615E5">
        <w:rPr>
          <w:rFonts w:ascii="Tahoma" w:hAnsi="Tahoma" w:cs="Tahoma"/>
          <w:sz w:val="24"/>
          <w:szCs w:val="24"/>
        </w:rPr>
        <w:t xml:space="preserve">Staffordshire </w:t>
      </w:r>
      <w:r w:rsidR="00EC3C32" w:rsidRPr="001B6ED8">
        <w:rPr>
          <w:rFonts w:ascii="Tahoma" w:hAnsi="Tahoma" w:cs="Tahoma"/>
          <w:sz w:val="24"/>
          <w:szCs w:val="24"/>
        </w:rPr>
        <w:t xml:space="preserve">University’s six schools, involving students from six different degree courses at levels 5, 6 and 7. </w:t>
      </w:r>
      <w:r w:rsidR="0034596B" w:rsidRPr="001B6ED8">
        <w:rPr>
          <w:rFonts w:ascii="Tahoma" w:hAnsi="Tahoma" w:cs="Tahoma"/>
          <w:sz w:val="24"/>
          <w:szCs w:val="24"/>
        </w:rPr>
        <w:t>A</w:t>
      </w:r>
      <w:r w:rsidR="00EC3C32" w:rsidRPr="001B6ED8">
        <w:rPr>
          <w:rFonts w:ascii="Tahoma" w:hAnsi="Tahoma" w:cs="Tahoma"/>
          <w:sz w:val="24"/>
          <w:szCs w:val="24"/>
        </w:rPr>
        <w:t>lthough thematically related</w:t>
      </w:r>
      <w:r w:rsidR="0034596B" w:rsidRPr="001B6ED8">
        <w:rPr>
          <w:rFonts w:ascii="Tahoma" w:hAnsi="Tahoma" w:cs="Tahoma"/>
          <w:sz w:val="24"/>
          <w:szCs w:val="24"/>
        </w:rPr>
        <w:t>, the focus on student engagement</w:t>
      </w:r>
      <w:r w:rsidR="00EC3C32" w:rsidRPr="001B6ED8">
        <w:rPr>
          <w:rFonts w:ascii="Tahoma" w:hAnsi="Tahoma" w:cs="Tahoma"/>
          <w:sz w:val="24"/>
          <w:szCs w:val="24"/>
        </w:rPr>
        <w:t xml:space="preserve"> was distinct from the research and the project management elements of the </w:t>
      </w:r>
      <w:r w:rsidR="0034596B" w:rsidRPr="001B6ED8">
        <w:rPr>
          <w:rFonts w:ascii="Tahoma" w:hAnsi="Tahoma" w:cs="Tahoma"/>
          <w:sz w:val="24"/>
          <w:szCs w:val="24"/>
        </w:rPr>
        <w:t>Philip Astley P</w:t>
      </w:r>
      <w:r w:rsidR="00EC3C32" w:rsidRPr="001B6ED8">
        <w:rPr>
          <w:rFonts w:ascii="Tahoma" w:hAnsi="Tahoma" w:cs="Tahoma"/>
          <w:sz w:val="24"/>
          <w:szCs w:val="24"/>
        </w:rPr>
        <w:t xml:space="preserve">roject. </w:t>
      </w:r>
    </w:p>
    <w:p w:rsidR="00861256" w:rsidRPr="001B6ED8" w:rsidRDefault="00EC3C32" w:rsidP="00037E15">
      <w:pPr>
        <w:spacing w:line="360" w:lineRule="auto"/>
        <w:rPr>
          <w:rFonts w:ascii="Tahoma" w:hAnsi="Tahoma" w:cs="Tahoma"/>
          <w:sz w:val="24"/>
          <w:szCs w:val="24"/>
        </w:rPr>
      </w:pPr>
      <w:r w:rsidRPr="001B6ED8">
        <w:rPr>
          <w:rFonts w:ascii="Tahoma" w:hAnsi="Tahoma" w:cs="Tahoma"/>
          <w:sz w:val="24"/>
          <w:szCs w:val="24"/>
        </w:rPr>
        <w:t>Student engagement began by</w:t>
      </w:r>
      <w:r w:rsidR="00861256" w:rsidRPr="001B6ED8">
        <w:rPr>
          <w:rFonts w:ascii="Tahoma" w:hAnsi="Tahoma" w:cs="Tahoma"/>
          <w:sz w:val="24"/>
          <w:szCs w:val="24"/>
        </w:rPr>
        <w:t xml:space="preserve"> embedding elements of the project in</w:t>
      </w:r>
      <w:r w:rsidR="00B4603D" w:rsidRPr="001B6ED8">
        <w:rPr>
          <w:rFonts w:ascii="Tahoma" w:hAnsi="Tahoma" w:cs="Tahoma"/>
          <w:sz w:val="24"/>
          <w:szCs w:val="24"/>
        </w:rPr>
        <w:t>to</w:t>
      </w:r>
      <w:r w:rsidR="00861256" w:rsidRPr="001B6ED8">
        <w:rPr>
          <w:rFonts w:ascii="Tahoma" w:hAnsi="Tahoma" w:cs="Tahoma"/>
          <w:sz w:val="24"/>
          <w:szCs w:val="24"/>
        </w:rPr>
        <w:t xml:space="preserve"> modules that the researcher both designed and taught. These were: Review and Lifestyle Journalism at Levels 5 and 6</w:t>
      </w:r>
      <w:r w:rsidR="00037E15">
        <w:rPr>
          <w:rFonts w:ascii="Tahoma" w:hAnsi="Tahoma" w:cs="Tahoma"/>
          <w:sz w:val="24"/>
          <w:szCs w:val="24"/>
        </w:rPr>
        <w:t>;</w:t>
      </w:r>
      <w:r w:rsidR="00861256" w:rsidRPr="001B6ED8">
        <w:rPr>
          <w:rFonts w:ascii="Tahoma" w:hAnsi="Tahoma" w:cs="Tahoma"/>
          <w:sz w:val="24"/>
          <w:szCs w:val="24"/>
        </w:rPr>
        <w:t xml:space="preserve"> and Work Placement and Career Development at Level 6. In the Review and Lifestyle Journalism module students took part in circus workshops run by professional circus performers. This allowed students to </w:t>
      </w:r>
      <w:r w:rsidR="00B4603D" w:rsidRPr="001B6ED8">
        <w:rPr>
          <w:rFonts w:ascii="Tahoma" w:hAnsi="Tahoma" w:cs="Tahoma"/>
          <w:sz w:val="24"/>
          <w:szCs w:val="24"/>
        </w:rPr>
        <w:t xml:space="preserve">dispel their initial prejudices by </w:t>
      </w:r>
      <w:r w:rsidR="00861256" w:rsidRPr="001B6ED8">
        <w:rPr>
          <w:rFonts w:ascii="Tahoma" w:hAnsi="Tahoma" w:cs="Tahoma"/>
          <w:sz w:val="24"/>
          <w:szCs w:val="24"/>
        </w:rPr>
        <w:t>learn</w:t>
      </w:r>
      <w:r w:rsidR="00B4603D" w:rsidRPr="001B6ED8">
        <w:rPr>
          <w:rFonts w:ascii="Tahoma" w:hAnsi="Tahoma" w:cs="Tahoma"/>
          <w:sz w:val="24"/>
          <w:szCs w:val="24"/>
        </w:rPr>
        <w:t>ing</w:t>
      </w:r>
      <w:r w:rsidR="00861256" w:rsidRPr="001B6ED8">
        <w:rPr>
          <w:rFonts w:ascii="Tahoma" w:hAnsi="Tahoma" w:cs="Tahoma"/>
          <w:sz w:val="24"/>
          <w:szCs w:val="24"/>
        </w:rPr>
        <w:t xml:space="preserve"> about circus in a fun, hands-on way. </w:t>
      </w:r>
      <w:r w:rsidR="00B4603D" w:rsidRPr="001B6ED8">
        <w:rPr>
          <w:rFonts w:ascii="Tahoma" w:hAnsi="Tahoma" w:cs="Tahoma"/>
          <w:sz w:val="24"/>
          <w:szCs w:val="24"/>
        </w:rPr>
        <w:t>Students</w:t>
      </w:r>
      <w:r w:rsidR="00861256" w:rsidRPr="001B6ED8">
        <w:rPr>
          <w:rFonts w:ascii="Tahoma" w:hAnsi="Tahoma" w:cs="Tahoma"/>
          <w:sz w:val="24"/>
          <w:szCs w:val="24"/>
        </w:rPr>
        <w:t xml:space="preserve"> were then able to create journalistic content </w:t>
      </w:r>
      <w:r w:rsidR="00861256" w:rsidRPr="001B6ED8">
        <w:rPr>
          <w:rFonts w:ascii="Tahoma" w:hAnsi="Tahoma" w:cs="Tahoma"/>
          <w:sz w:val="24"/>
          <w:szCs w:val="24"/>
        </w:rPr>
        <w:lastRenderedPageBreak/>
        <w:t xml:space="preserve">based on their experiences of learning a circus skill, </w:t>
      </w:r>
      <w:r w:rsidR="00B4603D" w:rsidRPr="001B6ED8">
        <w:rPr>
          <w:rFonts w:ascii="Tahoma" w:hAnsi="Tahoma" w:cs="Tahoma"/>
          <w:sz w:val="24"/>
          <w:szCs w:val="24"/>
        </w:rPr>
        <w:t>and</w:t>
      </w:r>
      <w:r w:rsidR="00861256" w:rsidRPr="001B6ED8">
        <w:rPr>
          <w:rFonts w:ascii="Tahoma" w:hAnsi="Tahoma" w:cs="Tahoma"/>
          <w:sz w:val="24"/>
          <w:szCs w:val="24"/>
        </w:rPr>
        <w:t xml:space="preserve"> interview</w:t>
      </w:r>
      <w:r w:rsidR="00B4603D" w:rsidRPr="001B6ED8">
        <w:rPr>
          <w:rFonts w:ascii="Tahoma" w:hAnsi="Tahoma" w:cs="Tahoma"/>
          <w:sz w:val="24"/>
          <w:szCs w:val="24"/>
        </w:rPr>
        <w:t xml:space="preserve">s with </w:t>
      </w:r>
      <w:r w:rsidR="00861256" w:rsidRPr="001B6ED8">
        <w:rPr>
          <w:rFonts w:ascii="Tahoma" w:hAnsi="Tahoma" w:cs="Tahoma"/>
          <w:sz w:val="24"/>
          <w:szCs w:val="24"/>
        </w:rPr>
        <w:t xml:space="preserve">professional circus performers. </w:t>
      </w:r>
    </w:p>
    <w:p w:rsidR="00861256" w:rsidRPr="001B6ED8" w:rsidRDefault="00037E15" w:rsidP="00351480">
      <w:pPr>
        <w:spacing w:before="120" w:after="120" w:line="360" w:lineRule="auto"/>
        <w:rPr>
          <w:rFonts w:ascii="Tahoma" w:hAnsi="Tahoma" w:cs="Tahoma"/>
          <w:sz w:val="24"/>
          <w:szCs w:val="24"/>
        </w:rPr>
      </w:pPr>
      <w:r>
        <w:rPr>
          <w:rFonts w:ascii="Tahoma" w:hAnsi="Tahoma" w:cs="Tahoma"/>
          <w:sz w:val="24"/>
          <w:szCs w:val="24"/>
        </w:rPr>
        <w:t>Furthermore, t</w:t>
      </w:r>
      <w:r w:rsidR="00861256" w:rsidRPr="001B6ED8">
        <w:rPr>
          <w:rFonts w:ascii="Tahoma" w:hAnsi="Tahoma" w:cs="Tahoma"/>
          <w:sz w:val="24"/>
          <w:szCs w:val="24"/>
        </w:rPr>
        <w:t xml:space="preserve">he scale </w:t>
      </w:r>
      <w:r w:rsidR="00B4603D" w:rsidRPr="001B6ED8">
        <w:rPr>
          <w:rFonts w:ascii="Tahoma" w:hAnsi="Tahoma" w:cs="Tahoma"/>
          <w:sz w:val="24"/>
          <w:szCs w:val="24"/>
        </w:rPr>
        <w:t xml:space="preserve">and multi-partnered nature </w:t>
      </w:r>
      <w:r w:rsidR="00861256" w:rsidRPr="001B6ED8">
        <w:rPr>
          <w:rFonts w:ascii="Tahoma" w:hAnsi="Tahoma" w:cs="Tahoma"/>
          <w:sz w:val="24"/>
          <w:szCs w:val="24"/>
        </w:rPr>
        <w:t xml:space="preserve">of the </w:t>
      </w:r>
      <w:r w:rsidR="00B4603D" w:rsidRPr="001B6ED8">
        <w:rPr>
          <w:rFonts w:ascii="Tahoma" w:hAnsi="Tahoma" w:cs="Tahoma"/>
          <w:sz w:val="24"/>
          <w:szCs w:val="24"/>
        </w:rPr>
        <w:t>Philip Astley Project</w:t>
      </w:r>
      <w:r w:rsidR="00861256" w:rsidRPr="001B6ED8">
        <w:rPr>
          <w:rFonts w:ascii="Tahoma" w:hAnsi="Tahoma" w:cs="Tahoma"/>
          <w:sz w:val="24"/>
          <w:szCs w:val="24"/>
        </w:rPr>
        <w:t xml:space="preserve">, which included 47 different events, provided opportunities for students to support this work on structured and focused </w:t>
      </w:r>
      <w:r w:rsidR="00AC1570">
        <w:rPr>
          <w:rFonts w:ascii="Tahoma" w:hAnsi="Tahoma" w:cs="Tahoma"/>
          <w:sz w:val="24"/>
          <w:szCs w:val="24"/>
        </w:rPr>
        <w:t xml:space="preserve">work </w:t>
      </w:r>
      <w:r w:rsidR="00861256" w:rsidRPr="001B6ED8">
        <w:rPr>
          <w:rFonts w:ascii="Tahoma" w:hAnsi="Tahoma" w:cs="Tahoma"/>
          <w:sz w:val="24"/>
          <w:szCs w:val="24"/>
        </w:rPr>
        <w:t>placements within the University’s Research Centre</w:t>
      </w:r>
      <w:r w:rsidR="008A13F5" w:rsidRPr="001B6ED8">
        <w:rPr>
          <w:rFonts w:ascii="Tahoma" w:hAnsi="Tahoma" w:cs="Tahoma"/>
          <w:sz w:val="24"/>
          <w:szCs w:val="24"/>
        </w:rPr>
        <w:t>. This</w:t>
      </w:r>
      <w:r w:rsidR="00861256" w:rsidRPr="001B6ED8">
        <w:rPr>
          <w:rFonts w:ascii="Tahoma" w:hAnsi="Tahoma" w:cs="Tahoma"/>
          <w:sz w:val="24"/>
          <w:szCs w:val="24"/>
        </w:rPr>
        <w:t xml:space="preserve"> offered an office environment</w:t>
      </w:r>
      <w:r w:rsidR="008A13F5" w:rsidRPr="001B6ED8">
        <w:rPr>
          <w:rFonts w:ascii="Tahoma" w:hAnsi="Tahoma" w:cs="Tahoma"/>
          <w:sz w:val="24"/>
          <w:szCs w:val="24"/>
        </w:rPr>
        <w:t xml:space="preserve">, which </w:t>
      </w:r>
      <w:r w:rsidR="00B4603D" w:rsidRPr="001B6ED8">
        <w:rPr>
          <w:rFonts w:ascii="Tahoma" w:hAnsi="Tahoma" w:cs="Tahoma"/>
          <w:sz w:val="24"/>
          <w:szCs w:val="24"/>
        </w:rPr>
        <w:t>allowed</w:t>
      </w:r>
      <w:r w:rsidR="008A13F5" w:rsidRPr="001B6ED8">
        <w:rPr>
          <w:rFonts w:ascii="Tahoma" w:hAnsi="Tahoma" w:cs="Tahoma"/>
          <w:sz w:val="24"/>
          <w:szCs w:val="24"/>
        </w:rPr>
        <w:t xml:space="preserve"> </w:t>
      </w:r>
      <w:r w:rsidR="00B4603D" w:rsidRPr="001B6ED8">
        <w:rPr>
          <w:rFonts w:ascii="Tahoma" w:hAnsi="Tahoma" w:cs="Tahoma"/>
          <w:sz w:val="24"/>
          <w:szCs w:val="24"/>
        </w:rPr>
        <w:t xml:space="preserve">both undergraduate and taught postgraduate students </w:t>
      </w:r>
      <w:r w:rsidR="008A13F5" w:rsidRPr="001B6ED8">
        <w:rPr>
          <w:rFonts w:ascii="Tahoma" w:hAnsi="Tahoma" w:cs="Tahoma"/>
          <w:sz w:val="24"/>
          <w:szCs w:val="24"/>
        </w:rPr>
        <w:t xml:space="preserve">to experience the </w:t>
      </w:r>
      <w:r w:rsidR="00B4603D" w:rsidRPr="001B6ED8">
        <w:rPr>
          <w:rFonts w:ascii="Tahoma" w:hAnsi="Tahoma" w:cs="Tahoma"/>
          <w:sz w:val="24"/>
          <w:szCs w:val="24"/>
        </w:rPr>
        <w:t>U</w:t>
      </w:r>
      <w:r w:rsidR="008A13F5" w:rsidRPr="001B6ED8">
        <w:rPr>
          <w:rFonts w:ascii="Tahoma" w:hAnsi="Tahoma" w:cs="Tahoma"/>
          <w:sz w:val="24"/>
          <w:szCs w:val="24"/>
        </w:rPr>
        <w:t>niversity from a different perspective and to begin to understand its wider research remit</w:t>
      </w:r>
      <w:r w:rsidR="00861256" w:rsidRPr="001B6ED8">
        <w:rPr>
          <w:rFonts w:ascii="Tahoma" w:hAnsi="Tahoma" w:cs="Tahoma"/>
          <w:sz w:val="24"/>
          <w:szCs w:val="24"/>
        </w:rPr>
        <w:t>. Tasks</w:t>
      </w:r>
      <w:r w:rsidR="008A13F5" w:rsidRPr="001B6ED8">
        <w:rPr>
          <w:rFonts w:ascii="Tahoma" w:hAnsi="Tahoma" w:cs="Tahoma"/>
          <w:sz w:val="24"/>
          <w:szCs w:val="24"/>
        </w:rPr>
        <w:t xml:space="preserve"> on the placement</w:t>
      </w:r>
      <w:r>
        <w:rPr>
          <w:rFonts w:ascii="Tahoma" w:hAnsi="Tahoma" w:cs="Tahoma"/>
          <w:sz w:val="24"/>
          <w:szCs w:val="24"/>
        </w:rPr>
        <w:t>s</w:t>
      </w:r>
      <w:r w:rsidR="00861256" w:rsidRPr="001B6ED8">
        <w:rPr>
          <w:rFonts w:ascii="Tahoma" w:hAnsi="Tahoma" w:cs="Tahoma"/>
          <w:sz w:val="24"/>
          <w:szCs w:val="24"/>
        </w:rPr>
        <w:t xml:space="preserve"> included: creating content for the project’s social media channels; updating the project website with news stories and details of upcoming events; keeping records of activity; distributing information to relevant stakeholders and venues; and supporting members of the project delivery team as required.</w:t>
      </w:r>
    </w:p>
    <w:p w:rsidR="00EC3C32" w:rsidRPr="001B6ED8" w:rsidRDefault="005B37B4" w:rsidP="00351480">
      <w:pPr>
        <w:spacing w:before="240" w:after="240" w:line="360" w:lineRule="auto"/>
        <w:ind w:left="851" w:right="851"/>
        <w:rPr>
          <w:rFonts w:ascii="Tahoma" w:hAnsi="Tahoma" w:cs="Tahoma"/>
          <w:sz w:val="24"/>
          <w:szCs w:val="24"/>
        </w:rPr>
      </w:pPr>
      <w:r w:rsidRPr="001B6ED8">
        <w:rPr>
          <w:rFonts w:ascii="Tahoma" w:hAnsi="Tahoma" w:cs="Tahoma"/>
          <w:sz w:val="24"/>
          <w:szCs w:val="24"/>
        </w:rPr>
        <w:t xml:space="preserve"> </w:t>
      </w:r>
      <w:r w:rsidR="00EC3C32" w:rsidRPr="001B6ED8">
        <w:rPr>
          <w:rFonts w:ascii="Tahoma" w:hAnsi="Tahoma" w:cs="Tahoma"/>
          <w:sz w:val="24"/>
          <w:szCs w:val="24"/>
        </w:rPr>
        <w:t>“The overall placement experience has been better and more enriching than I thought it would be. I lacked so much self-confidence before I started at the Philip Astley Project placement. I have gained many transferrable skills from my placement including problem solving, working independently and as a team, creative, and design skills. These are strengths that will be transferred into my career</w:t>
      </w:r>
      <w:r w:rsidRPr="001B6ED8">
        <w:rPr>
          <w:rFonts w:ascii="Tahoma" w:hAnsi="Tahoma" w:cs="Tahoma"/>
          <w:sz w:val="24"/>
          <w:szCs w:val="24"/>
        </w:rPr>
        <w:t xml:space="preserve">. </w:t>
      </w:r>
      <w:r w:rsidR="00EC3C32" w:rsidRPr="001B6ED8">
        <w:rPr>
          <w:rFonts w:ascii="Tahoma" w:hAnsi="Tahoma" w:cs="Tahoma"/>
          <w:sz w:val="24"/>
          <w:szCs w:val="24"/>
        </w:rPr>
        <w:t>With these new key skills learned on my placement I have an edge I did not have before when looking for jobs.’ – Level 6 student.</w:t>
      </w:r>
    </w:p>
    <w:p w:rsidR="00CE1C36" w:rsidRPr="001B6ED8" w:rsidRDefault="00CE1C36" w:rsidP="00351480">
      <w:pPr>
        <w:spacing w:before="240" w:after="240" w:line="360" w:lineRule="auto"/>
        <w:ind w:left="851" w:right="851"/>
        <w:rPr>
          <w:rFonts w:ascii="Tahoma" w:hAnsi="Tahoma" w:cs="Tahoma"/>
          <w:sz w:val="24"/>
          <w:szCs w:val="24"/>
        </w:rPr>
      </w:pPr>
      <w:r w:rsidRPr="001B6ED8">
        <w:rPr>
          <w:rFonts w:ascii="Tahoma" w:hAnsi="Tahoma" w:cs="Tahoma"/>
          <w:sz w:val="24"/>
          <w:szCs w:val="24"/>
        </w:rPr>
        <w:t>“Working here has given me a boost in skills and confidence in a professional environment, a chance to network with people within the heritage industry, and it has led to me being taken on in a paid capacity within Staffs Uni Project Delivery Team” – Level 7 student.</w:t>
      </w:r>
    </w:p>
    <w:p w:rsidR="00861256" w:rsidRPr="001B6ED8" w:rsidRDefault="00861256" w:rsidP="00351480">
      <w:pPr>
        <w:spacing w:before="100" w:beforeAutospacing="1" w:after="0" w:line="360" w:lineRule="auto"/>
        <w:rPr>
          <w:rFonts w:ascii="Tahoma" w:hAnsi="Tahoma" w:cs="Tahoma"/>
          <w:sz w:val="24"/>
          <w:szCs w:val="24"/>
        </w:rPr>
      </w:pPr>
      <w:r w:rsidRPr="001B6ED8">
        <w:rPr>
          <w:rFonts w:ascii="Tahoma" w:hAnsi="Tahoma" w:cs="Tahoma"/>
          <w:sz w:val="24"/>
          <w:szCs w:val="24"/>
        </w:rPr>
        <w:t xml:space="preserve">Once the project was introduced in a formal way, student perceptions of circus gradually changed, and students outside modules </w:t>
      </w:r>
      <w:r w:rsidR="00B4603D" w:rsidRPr="001B6ED8">
        <w:rPr>
          <w:rFonts w:ascii="Tahoma" w:hAnsi="Tahoma" w:cs="Tahoma"/>
          <w:sz w:val="24"/>
          <w:szCs w:val="24"/>
        </w:rPr>
        <w:t xml:space="preserve">where the project had been formally introduced </w:t>
      </w:r>
      <w:r w:rsidRPr="001B6ED8">
        <w:rPr>
          <w:rFonts w:ascii="Tahoma" w:hAnsi="Tahoma" w:cs="Tahoma"/>
          <w:sz w:val="24"/>
          <w:szCs w:val="24"/>
        </w:rPr>
        <w:t xml:space="preserve">began making requests to get involved. This </w:t>
      </w:r>
      <w:r w:rsidRPr="001B6ED8">
        <w:rPr>
          <w:rFonts w:ascii="Tahoma" w:hAnsi="Tahoma" w:cs="Tahoma"/>
          <w:sz w:val="24"/>
          <w:szCs w:val="24"/>
        </w:rPr>
        <w:lastRenderedPageBreak/>
        <w:t xml:space="preserve">opened-up authentic learning opportunities for </w:t>
      </w:r>
      <w:r w:rsidR="00EC3C32" w:rsidRPr="001B6ED8">
        <w:rPr>
          <w:rFonts w:ascii="Tahoma" w:hAnsi="Tahoma" w:cs="Tahoma"/>
          <w:sz w:val="24"/>
          <w:szCs w:val="24"/>
        </w:rPr>
        <w:t xml:space="preserve">journalism </w:t>
      </w:r>
      <w:r w:rsidRPr="001B6ED8">
        <w:rPr>
          <w:rFonts w:ascii="Tahoma" w:hAnsi="Tahoma" w:cs="Tahoma"/>
          <w:sz w:val="24"/>
          <w:szCs w:val="24"/>
        </w:rPr>
        <w:t>students</w:t>
      </w:r>
      <w:r w:rsidR="00EC3C32" w:rsidRPr="001B6ED8">
        <w:rPr>
          <w:rFonts w:ascii="Tahoma" w:hAnsi="Tahoma" w:cs="Tahoma"/>
          <w:sz w:val="24"/>
          <w:szCs w:val="24"/>
        </w:rPr>
        <w:t xml:space="preserve"> covering events for the University’s news platform </w:t>
      </w:r>
      <w:r w:rsidR="00AC1570">
        <w:rPr>
          <w:rFonts w:ascii="Tahoma" w:hAnsi="Tahoma" w:cs="Tahoma"/>
          <w:sz w:val="24"/>
          <w:szCs w:val="24"/>
        </w:rPr>
        <w:t>‘</w:t>
      </w:r>
      <w:proofErr w:type="spellStart"/>
      <w:r w:rsidR="00EC3C32" w:rsidRPr="001B6ED8">
        <w:rPr>
          <w:rFonts w:ascii="Tahoma" w:hAnsi="Tahoma" w:cs="Tahoma"/>
          <w:sz w:val="24"/>
          <w:szCs w:val="24"/>
        </w:rPr>
        <w:t>StaffsLive</w:t>
      </w:r>
      <w:proofErr w:type="spellEnd"/>
      <w:r w:rsidR="00AC1570">
        <w:rPr>
          <w:rFonts w:ascii="Tahoma" w:hAnsi="Tahoma" w:cs="Tahoma"/>
          <w:sz w:val="24"/>
          <w:szCs w:val="24"/>
        </w:rPr>
        <w:t>’</w:t>
      </w:r>
      <w:r w:rsidR="008449C8" w:rsidRPr="001B6ED8">
        <w:rPr>
          <w:rFonts w:ascii="Tahoma" w:hAnsi="Tahoma" w:cs="Tahoma"/>
          <w:sz w:val="24"/>
          <w:szCs w:val="24"/>
        </w:rPr>
        <w:t xml:space="preserve"> </w:t>
      </w:r>
      <w:r w:rsidR="003A5112" w:rsidRPr="001B6ED8">
        <w:rPr>
          <w:rFonts w:ascii="Tahoma" w:hAnsi="Tahoma" w:cs="Tahoma"/>
          <w:sz w:val="24"/>
          <w:szCs w:val="24"/>
        </w:rPr>
        <w:fldChar w:fldCharType="begin" w:fldLock="1"/>
      </w:r>
      <w:r w:rsidR="00736216" w:rsidRPr="001B6ED8">
        <w:rPr>
          <w:rFonts w:ascii="Tahoma" w:hAnsi="Tahoma" w:cs="Tahoma"/>
          <w:sz w:val="24"/>
          <w:szCs w:val="24"/>
        </w:rPr>
        <w:instrText>ADDIN CSL_CITATION {"citationItems":[{"id":"ITEM-1","itemData":{"URL":"http://journals.staffs.ac.uk/index.php/ipihe/article/view/155","abstract":"This study explores the use of technology to incorporate authentic learning practices into the Review and Lifestyle Journalism module at Staffordshire University. The research takes a constructivist view, considering both tutor observation and student feedback to evaluate an experiential journalism project, StaffsLive Reviews, developed in the academic year 2016-17. Here authentic learning is defined as designing activities to provide meaningful, ‘real-life’ situations which are relevant from a student’s perspective, while providing protective scaffolding to support learning (Icuc and Marin 2014 and Stein 2004). This encapsulates a broader institutional focus on employability, by designing activities that closely match ‘real-world’ tasks of media professionals (Lombardi 2007).","accessed":{"date-parts":[["2020","1","26"]]},"author":[{"dropping-particle":"","family":"Thomason","given":"Carmel","non-dropping-particle":"","parse-names":false,"suffix":""}],"container-title":"Innovative Practice in Higher Education","id":"ITEM-1","issue":"2","issued":{"date-parts":[["2017"]]},"title":"Digital skills , confidence and motivation: technology supported authentic learning in journalism education","type":"webpage","volume":"3"},"uris":["http://www.mendeley.com/documents/?uuid=5c100825-2a0f-4f3c-b2be-5d3e3090f9be"]}],"mendeley":{"formattedCitation":"(Thomason, 2017)","plainTextFormattedCitation":"(Thomason, 2017)","previouslyFormattedCitation":"(Thomason, 2017)"},"properties":{"noteIndex":0},"schema":"https://github.com/citation-style-language/schema/raw/master/csl-citation.json"}</w:instrText>
      </w:r>
      <w:r w:rsidR="003A5112" w:rsidRPr="001B6ED8">
        <w:rPr>
          <w:rFonts w:ascii="Tahoma" w:hAnsi="Tahoma" w:cs="Tahoma"/>
          <w:sz w:val="24"/>
          <w:szCs w:val="24"/>
        </w:rPr>
        <w:fldChar w:fldCharType="separate"/>
      </w:r>
      <w:r w:rsidR="008449C8" w:rsidRPr="001B6ED8">
        <w:rPr>
          <w:rFonts w:ascii="Tahoma" w:hAnsi="Tahoma" w:cs="Tahoma"/>
          <w:noProof/>
          <w:sz w:val="24"/>
          <w:szCs w:val="24"/>
        </w:rPr>
        <w:t>(Thomason, 2017)</w:t>
      </w:r>
      <w:r w:rsidR="003A5112" w:rsidRPr="001B6ED8">
        <w:rPr>
          <w:rFonts w:ascii="Tahoma" w:hAnsi="Tahoma" w:cs="Tahoma"/>
          <w:sz w:val="24"/>
          <w:szCs w:val="24"/>
        </w:rPr>
        <w:fldChar w:fldCharType="end"/>
      </w:r>
      <w:r w:rsidR="008449C8" w:rsidRPr="001B6ED8">
        <w:rPr>
          <w:rFonts w:ascii="Tahoma" w:hAnsi="Tahoma" w:cs="Tahoma"/>
          <w:sz w:val="24"/>
          <w:szCs w:val="24"/>
        </w:rPr>
        <w:t>.</w:t>
      </w:r>
      <w:r w:rsidR="00EC3C32" w:rsidRPr="001B6ED8">
        <w:rPr>
          <w:rFonts w:ascii="Tahoma" w:hAnsi="Tahoma" w:cs="Tahoma"/>
          <w:sz w:val="24"/>
          <w:szCs w:val="24"/>
        </w:rPr>
        <w:t xml:space="preserve"> There were also paid professional opportunities for Photojournalism students to provide </w:t>
      </w:r>
      <w:r w:rsidR="00CE1C36" w:rsidRPr="001B6ED8">
        <w:rPr>
          <w:rFonts w:ascii="Tahoma" w:hAnsi="Tahoma" w:cs="Tahoma"/>
          <w:sz w:val="24"/>
          <w:szCs w:val="24"/>
        </w:rPr>
        <w:t xml:space="preserve">official </w:t>
      </w:r>
      <w:r w:rsidR="00EC3C32" w:rsidRPr="001B6ED8">
        <w:rPr>
          <w:rFonts w:ascii="Tahoma" w:hAnsi="Tahoma" w:cs="Tahoma"/>
          <w:sz w:val="24"/>
          <w:szCs w:val="24"/>
        </w:rPr>
        <w:t>photographs of events</w:t>
      </w:r>
      <w:r w:rsidR="00CE1C36" w:rsidRPr="001B6ED8">
        <w:rPr>
          <w:rFonts w:ascii="Tahoma" w:hAnsi="Tahoma" w:cs="Tahoma"/>
          <w:sz w:val="24"/>
          <w:szCs w:val="24"/>
        </w:rPr>
        <w:t xml:space="preserve"> during the project</w:t>
      </w:r>
      <w:r w:rsidR="00EC3C32" w:rsidRPr="001B6ED8">
        <w:rPr>
          <w:rFonts w:ascii="Tahoma" w:hAnsi="Tahoma" w:cs="Tahoma"/>
          <w:sz w:val="24"/>
          <w:szCs w:val="24"/>
        </w:rPr>
        <w:t>.</w:t>
      </w:r>
    </w:p>
    <w:p w:rsidR="00EC3C32" w:rsidRPr="001B6ED8" w:rsidRDefault="00EC3C32" w:rsidP="00351480">
      <w:pPr>
        <w:spacing w:before="100" w:beforeAutospacing="1" w:after="0" w:line="360" w:lineRule="auto"/>
        <w:rPr>
          <w:rFonts w:ascii="Tahoma" w:hAnsi="Tahoma" w:cs="Tahoma"/>
          <w:sz w:val="24"/>
          <w:szCs w:val="24"/>
        </w:rPr>
      </w:pPr>
      <w:r w:rsidRPr="001B6ED8">
        <w:rPr>
          <w:rFonts w:ascii="Tahoma" w:hAnsi="Tahoma" w:cs="Tahoma"/>
          <w:sz w:val="24"/>
          <w:szCs w:val="24"/>
        </w:rPr>
        <w:t xml:space="preserve">These extra-curricular activities enabled students to work with arts venues and volunteer groups across the region; building skills; sharing knowledge; connecting with the wider community and taking pride in the region’s heritage. </w:t>
      </w:r>
    </w:p>
    <w:p w:rsidR="00EC3C32" w:rsidRPr="001B6ED8" w:rsidRDefault="00EC3C32" w:rsidP="00351480">
      <w:pPr>
        <w:spacing w:before="100" w:beforeAutospacing="1" w:after="0" w:line="360" w:lineRule="auto"/>
        <w:rPr>
          <w:rFonts w:ascii="Tahoma" w:hAnsi="Tahoma" w:cs="Tahoma"/>
          <w:sz w:val="24"/>
          <w:szCs w:val="24"/>
        </w:rPr>
      </w:pPr>
      <w:r w:rsidRPr="001B6ED8">
        <w:rPr>
          <w:rFonts w:ascii="Tahoma" w:hAnsi="Tahoma" w:cs="Tahoma"/>
          <w:sz w:val="24"/>
          <w:szCs w:val="24"/>
        </w:rPr>
        <w:t xml:space="preserve">Working across disciplines was more challenging. However, the broad scope of the overall project opened opportunities across several disciplines. Initially these opportunities were identified by the author and working partnerships were sought within the University across disciplines. Again, this worked best where there was a clear </w:t>
      </w:r>
      <w:r w:rsidR="00AC1570">
        <w:rPr>
          <w:rFonts w:ascii="Tahoma" w:hAnsi="Tahoma" w:cs="Tahoma"/>
          <w:sz w:val="24"/>
          <w:szCs w:val="24"/>
        </w:rPr>
        <w:t>‘</w:t>
      </w:r>
      <w:r w:rsidRPr="001B6ED8">
        <w:rPr>
          <w:rFonts w:ascii="Tahoma" w:hAnsi="Tahoma" w:cs="Tahoma"/>
          <w:sz w:val="24"/>
          <w:szCs w:val="24"/>
        </w:rPr>
        <w:t>win-win</w:t>
      </w:r>
      <w:r w:rsidR="00AC1570">
        <w:rPr>
          <w:rFonts w:ascii="Tahoma" w:hAnsi="Tahoma" w:cs="Tahoma"/>
          <w:sz w:val="24"/>
          <w:szCs w:val="24"/>
        </w:rPr>
        <w:t>’</w:t>
      </w:r>
      <w:r w:rsidRPr="001B6ED8">
        <w:rPr>
          <w:rFonts w:ascii="Tahoma" w:hAnsi="Tahoma" w:cs="Tahoma"/>
          <w:sz w:val="24"/>
          <w:szCs w:val="24"/>
        </w:rPr>
        <w:t xml:space="preserve"> situation. For example, the work placement opportunities with the project team </w:t>
      </w:r>
      <w:r w:rsidR="008A13F5" w:rsidRPr="001B6ED8">
        <w:rPr>
          <w:rFonts w:ascii="Tahoma" w:hAnsi="Tahoma" w:cs="Tahoma"/>
          <w:sz w:val="24"/>
          <w:szCs w:val="24"/>
        </w:rPr>
        <w:t>were also made available</w:t>
      </w:r>
      <w:r w:rsidRPr="001B6ED8">
        <w:rPr>
          <w:rFonts w:ascii="Tahoma" w:hAnsi="Tahoma" w:cs="Tahoma"/>
          <w:sz w:val="24"/>
          <w:szCs w:val="24"/>
        </w:rPr>
        <w:t xml:space="preserve"> to other schools who had Work Placement modules at Levels 6 and 7. </w:t>
      </w:r>
    </w:p>
    <w:p w:rsidR="008A13F5" w:rsidRPr="001B6ED8" w:rsidRDefault="008A13F5" w:rsidP="00351480">
      <w:pPr>
        <w:spacing w:before="100" w:beforeAutospacing="1" w:after="0" w:line="360" w:lineRule="auto"/>
        <w:rPr>
          <w:rFonts w:ascii="Tahoma" w:hAnsi="Tahoma" w:cs="Tahoma"/>
          <w:sz w:val="24"/>
          <w:szCs w:val="24"/>
        </w:rPr>
      </w:pPr>
      <w:r w:rsidRPr="001B6ED8">
        <w:rPr>
          <w:rFonts w:ascii="Tahoma" w:hAnsi="Tahoma" w:cs="Tahoma"/>
          <w:sz w:val="24"/>
          <w:szCs w:val="24"/>
        </w:rPr>
        <w:t xml:space="preserve">The overall aim of the project for raising awareness of Newcastle-under-Lyme’s circus heritage fitted well with work </w:t>
      </w:r>
      <w:r w:rsidR="00AC1570">
        <w:rPr>
          <w:rFonts w:ascii="Tahoma" w:hAnsi="Tahoma" w:cs="Tahoma"/>
          <w:sz w:val="24"/>
          <w:szCs w:val="24"/>
        </w:rPr>
        <w:t xml:space="preserve">that </w:t>
      </w:r>
      <w:r w:rsidRPr="001B6ED8">
        <w:rPr>
          <w:rFonts w:ascii="Tahoma" w:hAnsi="Tahoma" w:cs="Tahoma"/>
          <w:sz w:val="24"/>
          <w:szCs w:val="24"/>
        </w:rPr>
        <w:t xml:space="preserve">tourism </w:t>
      </w:r>
      <w:r w:rsidR="00BB6E6D" w:rsidRPr="001B6ED8">
        <w:rPr>
          <w:rFonts w:ascii="Tahoma" w:hAnsi="Tahoma" w:cs="Tahoma"/>
          <w:sz w:val="24"/>
          <w:szCs w:val="24"/>
        </w:rPr>
        <w:t xml:space="preserve">management </w:t>
      </w:r>
      <w:r w:rsidRPr="001B6ED8">
        <w:rPr>
          <w:rFonts w:ascii="Tahoma" w:hAnsi="Tahoma" w:cs="Tahoma"/>
          <w:sz w:val="24"/>
          <w:szCs w:val="24"/>
        </w:rPr>
        <w:t xml:space="preserve">students </w:t>
      </w:r>
      <w:r w:rsidR="00B4603D" w:rsidRPr="001B6ED8">
        <w:rPr>
          <w:rFonts w:ascii="Tahoma" w:hAnsi="Tahoma" w:cs="Tahoma"/>
          <w:sz w:val="24"/>
          <w:szCs w:val="24"/>
        </w:rPr>
        <w:t xml:space="preserve">were required to do </w:t>
      </w:r>
      <w:r w:rsidR="00CE1C36" w:rsidRPr="001B6ED8">
        <w:rPr>
          <w:rFonts w:ascii="Tahoma" w:hAnsi="Tahoma" w:cs="Tahoma"/>
          <w:sz w:val="24"/>
          <w:szCs w:val="24"/>
        </w:rPr>
        <w:t>in relation to on</w:t>
      </w:r>
      <w:r w:rsidR="00BB6E6D" w:rsidRPr="001B6ED8">
        <w:rPr>
          <w:rFonts w:ascii="Tahoma" w:hAnsi="Tahoma" w:cs="Tahoma"/>
          <w:sz w:val="24"/>
          <w:szCs w:val="24"/>
        </w:rPr>
        <w:t>e</w:t>
      </w:r>
      <w:r w:rsidR="00CE1C36" w:rsidRPr="001B6ED8">
        <w:rPr>
          <w:rFonts w:ascii="Tahoma" w:hAnsi="Tahoma" w:cs="Tahoma"/>
          <w:sz w:val="24"/>
          <w:szCs w:val="24"/>
        </w:rPr>
        <w:t xml:space="preserve"> of their assessments on marketing. The </w:t>
      </w:r>
      <w:r w:rsidR="00BB6E6D" w:rsidRPr="001B6ED8">
        <w:rPr>
          <w:rFonts w:ascii="Tahoma" w:hAnsi="Tahoma" w:cs="Tahoma"/>
          <w:sz w:val="24"/>
          <w:szCs w:val="24"/>
        </w:rPr>
        <w:t xml:space="preserve">author </w:t>
      </w:r>
      <w:r w:rsidR="00CE1C36" w:rsidRPr="001B6ED8">
        <w:rPr>
          <w:rFonts w:ascii="Tahoma" w:hAnsi="Tahoma" w:cs="Tahoma"/>
          <w:sz w:val="24"/>
          <w:szCs w:val="24"/>
        </w:rPr>
        <w:t xml:space="preserve">approached a member of staff in this discipline who embedded </w:t>
      </w:r>
      <w:r w:rsidR="00BB6E6D" w:rsidRPr="001B6ED8">
        <w:rPr>
          <w:rFonts w:ascii="Tahoma" w:hAnsi="Tahoma" w:cs="Tahoma"/>
          <w:sz w:val="24"/>
          <w:szCs w:val="24"/>
        </w:rPr>
        <w:t>aspects of the project</w:t>
      </w:r>
      <w:r w:rsidR="00CE1C36" w:rsidRPr="001B6ED8">
        <w:rPr>
          <w:rFonts w:ascii="Tahoma" w:hAnsi="Tahoma" w:cs="Tahoma"/>
          <w:sz w:val="24"/>
          <w:szCs w:val="24"/>
        </w:rPr>
        <w:t xml:space="preserve"> into a Level 6 module</w:t>
      </w:r>
      <w:r w:rsidR="00401CD1" w:rsidRPr="001B6ED8">
        <w:rPr>
          <w:rFonts w:ascii="Tahoma" w:hAnsi="Tahoma" w:cs="Tahoma"/>
          <w:sz w:val="24"/>
          <w:szCs w:val="24"/>
        </w:rPr>
        <w:t>.</w:t>
      </w:r>
      <w:r w:rsidRPr="001B6ED8">
        <w:rPr>
          <w:rFonts w:ascii="Tahoma" w:hAnsi="Tahoma" w:cs="Tahoma"/>
          <w:sz w:val="24"/>
          <w:szCs w:val="24"/>
        </w:rPr>
        <w:t xml:space="preserve"> </w:t>
      </w:r>
    </w:p>
    <w:p w:rsidR="008A13F5" w:rsidRPr="001B6ED8" w:rsidRDefault="008A13F5" w:rsidP="00351480">
      <w:pPr>
        <w:spacing w:before="100" w:beforeAutospacing="1" w:after="0" w:line="360" w:lineRule="auto"/>
        <w:rPr>
          <w:rFonts w:ascii="Tahoma" w:hAnsi="Tahoma" w:cs="Tahoma"/>
          <w:sz w:val="24"/>
          <w:szCs w:val="24"/>
        </w:rPr>
      </w:pPr>
      <w:r w:rsidRPr="001B6ED8">
        <w:rPr>
          <w:rFonts w:ascii="Tahoma" w:hAnsi="Tahoma" w:cs="Tahoma"/>
          <w:sz w:val="24"/>
          <w:szCs w:val="24"/>
        </w:rPr>
        <w:t xml:space="preserve">Opportunities for extracurricular activities also became available for drama, fashion/textile, tourism, and history students, and the number of students involved in these </w:t>
      </w:r>
      <w:r w:rsidR="00401CD1" w:rsidRPr="001B6ED8">
        <w:rPr>
          <w:rFonts w:ascii="Tahoma" w:hAnsi="Tahoma" w:cs="Tahoma"/>
          <w:sz w:val="24"/>
          <w:szCs w:val="24"/>
        </w:rPr>
        <w:t xml:space="preserve">extracurricular </w:t>
      </w:r>
      <w:r w:rsidRPr="001B6ED8">
        <w:rPr>
          <w:rFonts w:ascii="Tahoma" w:hAnsi="Tahoma" w:cs="Tahoma"/>
          <w:sz w:val="24"/>
          <w:szCs w:val="24"/>
        </w:rPr>
        <w:t xml:space="preserve">activities more than doubled those engaged formally on the project. </w:t>
      </w:r>
    </w:p>
    <w:p w:rsidR="00AC1570" w:rsidRDefault="00D02A3D" w:rsidP="00351480">
      <w:pPr>
        <w:spacing w:before="100" w:beforeAutospacing="1" w:after="0" w:line="360" w:lineRule="auto"/>
        <w:rPr>
          <w:rFonts w:ascii="Tahoma" w:hAnsi="Tahoma" w:cs="Tahoma"/>
          <w:sz w:val="24"/>
          <w:szCs w:val="24"/>
        </w:rPr>
      </w:pPr>
      <w:r w:rsidRPr="001B6ED8">
        <w:rPr>
          <w:rFonts w:ascii="Tahoma" w:hAnsi="Tahoma" w:cs="Tahoma"/>
          <w:sz w:val="24"/>
          <w:szCs w:val="24"/>
        </w:rPr>
        <w:t>The opportunities created for teaching and student/community engagement were not directly related to the research outcomes in terms of the historical research on Astley. However, the multi-partner nature of the project provided opportunities for students to build an awareness of th</w:t>
      </w:r>
      <w:r w:rsidR="00401CD1" w:rsidRPr="001B6ED8">
        <w:rPr>
          <w:rFonts w:ascii="Tahoma" w:hAnsi="Tahoma" w:cs="Tahoma"/>
          <w:sz w:val="24"/>
          <w:szCs w:val="24"/>
        </w:rPr>
        <w:t>e research</w:t>
      </w:r>
      <w:r w:rsidRPr="001B6ED8">
        <w:rPr>
          <w:rFonts w:ascii="Tahoma" w:hAnsi="Tahoma" w:cs="Tahoma"/>
          <w:sz w:val="24"/>
          <w:szCs w:val="24"/>
        </w:rPr>
        <w:t xml:space="preserve"> aspect of the </w:t>
      </w:r>
      <w:r w:rsidR="00AC1570">
        <w:rPr>
          <w:rFonts w:ascii="Tahoma" w:hAnsi="Tahoma" w:cs="Tahoma"/>
          <w:sz w:val="24"/>
          <w:szCs w:val="24"/>
        </w:rPr>
        <w:lastRenderedPageBreak/>
        <w:t>project</w:t>
      </w:r>
      <w:r w:rsidRPr="001B6ED8">
        <w:rPr>
          <w:rFonts w:ascii="Tahoma" w:hAnsi="Tahoma" w:cs="Tahoma"/>
          <w:sz w:val="24"/>
          <w:szCs w:val="24"/>
        </w:rPr>
        <w:t xml:space="preserve">, as well as </w:t>
      </w:r>
      <w:r w:rsidR="00401CD1" w:rsidRPr="001B6ED8">
        <w:rPr>
          <w:rFonts w:ascii="Tahoma" w:hAnsi="Tahoma" w:cs="Tahoma"/>
          <w:sz w:val="24"/>
          <w:szCs w:val="24"/>
        </w:rPr>
        <w:t xml:space="preserve">developing </w:t>
      </w:r>
      <w:r w:rsidRPr="001B6ED8">
        <w:rPr>
          <w:rFonts w:ascii="Tahoma" w:hAnsi="Tahoma" w:cs="Tahoma"/>
          <w:sz w:val="24"/>
          <w:szCs w:val="24"/>
        </w:rPr>
        <w:t>a greater cultural awareness of the surrounding area.</w:t>
      </w:r>
    </w:p>
    <w:p w:rsidR="005D1DF1" w:rsidRPr="001B6ED8" w:rsidRDefault="00D02A3D" w:rsidP="00351480">
      <w:pPr>
        <w:spacing w:before="100" w:beforeAutospacing="1" w:after="0" w:line="360" w:lineRule="auto"/>
        <w:rPr>
          <w:rFonts w:ascii="Tahoma" w:hAnsi="Tahoma" w:cs="Tahoma"/>
          <w:sz w:val="24"/>
          <w:szCs w:val="24"/>
        </w:rPr>
      </w:pPr>
      <w:r w:rsidRPr="001B6ED8">
        <w:rPr>
          <w:rFonts w:ascii="Tahoma" w:hAnsi="Tahoma" w:cs="Tahoma"/>
          <w:sz w:val="24"/>
          <w:szCs w:val="24"/>
        </w:rPr>
        <w:t xml:space="preserve">Academic </w:t>
      </w:r>
      <w:proofErr w:type="gramStart"/>
      <w:r w:rsidRPr="001B6ED8">
        <w:rPr>
          <w:rFonts w:ascii="Tahoma" w:hAnsi="Tahoma" w:cs="Tahoma"/>
          <w:sz w:val="24"/>
          <w:szCs w:val="24"/>
        </w:rPr>
        <w:t>staff</w:t>
      </w:r>
      <w:r w:rsidR="00D972E3" w:rsidRPr="001B6ED8">
        <w:rPr>
          <w:rFonts w:ascii="Tahoma" w:hAnsi="Tahoma" w:cs="Tahoma"/>
          <w:sz w:val="24"/>
          <w:szCs w:val="24"/>
        </w:rPr>
        <w:t xml:space="preserve"> are</w:t>
      </w:r>
      <w:proofErr w:type="gramEnd"/>
      <w:r w:rsidR="00D972E3" w:rsidRPr="001B6ED8">
        <w:rPr>
          <w:rFonts w:ascii="Tahoma" w:hAnsi="Tahoma" w:cs="Tahoma"/>
          <w:sz w:val="24"/>
          <w:szCs w:val="24"/>
        </w:rPr>
        <w:t xml:space="preserve"> often looking for fresh, topical ideas </w:t>
      </w:r>
      <w:r w:rsidRPr="001B6ED8">
        <w:rPr>
          <w:rFonts w:ascii="Tahoma" w:hAnsi="Tahoma" w:cs="Tahoma"/>
          <w:sz w:val="24"/>
          <w:szCs w:val="24"/>
        </w:rPr>
        <w:t xml:space="preserve">to bring </w:t>
      </w:r>
      <w:r w:rsidR="00AC1570">
        <w:rPr>
          <w:rFonts w:ascii="Tahoma" w:hAnsi="Tahoma" w:cs="Tahoma"/>
          <w:sz w:val="24"/>
          <w:szCs w:val="24"/>
        </w:rPr>
        <w:t>in</w:t>
      </w:r>
      <w:r w:rsidRPr="001B6ED8">
        <w:rPr>
          <w:rFonts w:ascii="Tahoma" w:hAnsi="Tahoma" w:cs="Tahoma"/>
          <w:sz w:val="24"/>
          <w:szCs w:val="24"/>
        </w:rPr>
        <w:t xml:space="preserve">to their teaching </w:t>
      </w:r>
      <w:r w:rsidR="00D972E3" w:rsidRPr="001B6ED8">
        <w:rPr>
          <w:rFonts w:ascii="Tahoma" w:hAnsi="Tahoma" w:cs="Tahoma"/>
          <w:sz w:val="24"/>
          <w:szCs w:val="24"/>
        </w:rPr>
        <w:t>and the project provided opportunities for new relevant content in several teaching areas. However, this relied on the enthusiasm of individual staff members to embrace these opportunit</w:t>
      </w:r>
      <w:r w:rsidR="00AC1570">
        <w:rPr>
          <w:rFonts w:ascii="Tahoma" w:hAnsi="Tahoma" w:cs="Tahoma"/>
          <w:sz w:val="24"/>
          <w:szCs w:val="24"/>
        </w:rPr>
        <w:t>ies</w:t>
      </w:r>
      <w:r w:rsidR="00D972E3" w:rsidRPr="001B6ED8">
        <w:rPr>
          <w:rFonts w:ascii="Tahoma" w:hAnsi="Tahoma" w:cs="Tahoma"/>
          <w:sz w:val="24"/>
          <w:szCs w:val="24"/>
        </w:rPr>
        <w:t xml:space="preserve">. </w:t>
      </w:r>
      <w:r w:rsidR="005D1DF1" w:rsidRPr="001B6ED8">
        <w:rPr>
          <w:rFonts w:ascii="Tahoma" w:hAnsi="Tahoma" w:cs="Tahoma"/>
          <w:sz w:val="24"/>
          <w:szCs w:val="24"/>
        </w:rPr>
        <w:t xml:space="preserve">In some cases, due to already heavy workloads, staff were unable to consider or make their students aware of any additional opportunities. </w:t>
      </w:r>
    </w:p>
    <w:p w:rsidR="00D972E3" w:rsidRPr="005D1DF1" w:rsidRDefault="005D1DF1" w:rsidP="00351480">
      <w:pPr>
        <w:pStyle w:val="Bullet"/>
        <w:numPr>
          <w:ilvl w:val="0"/>
          <w:numId w:val="0"/>
        </w:numPr>
        <w:rPr>
          <w:rFonts w:ascii="Arial" w:hAnsi="Arial" w:cs="Arial"/>
          <w:sz w:val="24"/>
          <w:szCs w:val="24"/>
        </w:rPr>
      </w:pPr>
      <w:r w:rsidRPr="001B6ED8">
        <w:rPr>
          <w:rFonts w:ascii="Tahoma" w:hAnsi="Tahoma" w:cs="Tahoma"/>
          <w:sz w:val="24"/>
          <w:szCs w:val="24"/>
        </w:rPr>
        <w:t xml:space="preserve">By the end of the project more than 200 staff and students were involved in the arts, culture and voluntary activities in the region through the Philip Astley Project. </w:t>
      </w:r>
      <w:r w:rsidR="00D02A3D" w:rsidRPr="001B6ED8">
        <w:rPr>
          <w:rFonts w:ascii="Tahoma" w:hAnsi="Tahoma" w:cs="Tahoma"/>
          <w:sz w:val="24"/>
          <w:szCs w:val="24"/>
        </w:rPr>
        <w:t>Viewing the benefit of this type of cultural</w:t>
      </w:r>
      <w:r w:rsidRPr="001B6ED8">
        <w:rPr>
          <w:rFonts w:ascii="Tahoma" w:hAnsi="Tahoma" w:cs="Tahoma"/>
          <w:sz w:val="24"/>
          <w:szCs w:val="24"/>
        </w:rPr>
        <w:t>/community</w:t>
      </w:r>
      <w:r w:rsidR="00D02A3D" w:rsidRPr="001B6ED8">
        <w:rPr>
          <w:rFonts w:ascii="Tahoma" w:hAnsi="Tahoma" w:cs="Tahoma"/>
          <w:sz w:val="24"/>
          <w:szCs w:val="24"/>
        </w:rPr>
        <w:t xml:space="preserve"> engagement within a broader perspective of widening participation and the civic university could help staff embarking on similar projects to gain support</w:t>
      </w:r>
      <w:r w:rsidRPr="001B6ED8">
        <w:rPr>
          <w:rFonts w:ascii="Tahoma" w:hAnsi="Tahoma" w:cs="Tahoma"/>
          <w:sz w:val="24"/>
          <w:szCs w:val="24"/>
        </w:rPr>
        <w:t>.</w:t>
      </w:r>
      <w:r w:rsidR="00D02A3D" w:rsidRPr="001B6ED8">
        <w:rPr>
          <w:rFonts w:ascii="Tahoma" w:hAnsi="Tahoma" w:cs="Tahoma"/>
          <w:sz w:val="24"/>
          <w:szCs w:val="24"/>
        </w:rPr>
        <w:t xml:space="preserve"> </w:t>
      </w:r>
      <w:r w:rsidRPr="001B6ED8">
        <w:rPr>
          <w:rFonts w:ascii="Tahoma" w:hAnsi="Tahoma" w:cs="Tahoma"/>
          <w:sz w:val="24"/>
          <w:szCs w:val="24"/>
        </w:rPr>
        <w:t>R</w:t>
      </w:r>
      <w:r w:rsidR="00D02A3D" w:rsidRPr="001B6ED8">
        <w:rPr>
          <w:rFonts w:ascii="Tahoma" w:hAnsi="Tahoma" w:cs="Tahoma"/>
          <w:sz w:val="24"/>
          <w:szCs w:val="24"/>
        </w:rPr>
        <w:t xml:space="preserve">ecognition of the potential impact and benefits </w:t>
      </w:r>
      <w:r w:rsidRPr="001B6ED8">
        <w:rPr>
          <w:rFonts w:ascii="Tahoma" w:hAnsi="Tahoma" w:cs="Tahoma"/>
          <w:sz w:val="24"/>
          <w:szCs w:val="24"/>
        </w:rPr>
        <w:t xml:space="preserve">of student cultural/community engagement </w:t>
      </w:r>
      <w:r w:rsidR="00D02A3D" w:rsidRPr="001B6ED8">
        <w:rPr>
          <w:rFonts w:ascii="Tahoma" w:hAnsi="Tahoma" w:cs="Tahoma"/>
          <w:sz w:val="24"/>
          <w:szCs w:val="24"/>
        </w:rPr>
        <w:t>beyond a single research project or discipline</w:t>
      </w:r>
      <w:r w:rsidRPr="001B6ED8">
        <w:rPr>
          <w:rFonts w:ascii="Tahoma" w:hAnsi="Tahoma" w:cs="Tahoma"/>
          <w:sz w:val="24"/>
          <w:szCs w:val="24"/>
        </w:rPr>
        <w:t xml:space="preserve"> could influence the development of institution-wide frameworks or networks of support for this type of work.</w:t>
      </w:r>
    </w:p>
    <w:p w:rsidR="005D1DF1" w:rsidRPr="005B37B4" w:rsidRDefault="005D1DF1" w:rsidP="00351480">
      <w:pPr>
        <w:spacing w:before="100" w:beforeAutospacing="1" w:after="0" w:line="360" w:lineRule="auto"/>
        <w:rPr>
          <w:rFonts w:ascii="Tahoma" w:hAnsi="Tahoma" w:cs="Tahoma"/>
          <w:sz w:val="24"/>
          <w:szCs w:val="24"/>
        </w:rPr>
      </w:pPr>
    </w:p>
    <w:p w:rsidR="009D68B3" w:rsidRPr="005B37B4" w:rsidRDefault="009D68B3" w:rsidP="00351480">
      <w:pPr>
        <w:spacing w:line="360" w:lineRule="auto"/>
        <w:rPr>
          <w:rFonts w:ascii="Tahoma" w:hAnsi="Tahoma" w:cs="Tahoma"/>
          <w:b/>
          <w:sz w:val="28"/>
          <w:szCs w:val="28"/>
        </w:rPr>
      </w:pPr>
      <w:r w:rsidRPr="006E0233">
        <w:rPr>
          <w:rFonts w:ascii="Tahoma" w:hAnsi="Tahoma" w:cs="Tahoma"/>
          <w:b/>
          <w:sz w:val="28"/>
          <w:szCs w:val="28"/>
        </w:rPr>
        <w:t>Impact</w:t>
      </w:r>
    </w:p>
    <w:p w:rsidR="00427B3E" w:rsidRDefault="009D68B3" w:rsidP="00351480">
      <w:pPr>
        <w:spacing w:line="360" w:lineRule="auto"/>
        <w:rPr>
          <w:rFonts w:ascii="Tahoma" w:hAnsi="Tahoma" w:cs="Tahoma"/>
          <w:sz w:val="24"/>
          <w:szCs w:val="24"/>
        </w:rPr>
      </w:pPr>
      <w:r w:rsidRPr="005B37B4">
        <w:rPr>
          <w:rFonts w:ascii="Tahoma" w:hAnsi="Tahoma" w:cs="Tahoma"/>
          <w:sz w:val="24"/>
          <w:szCs w:val="24"/>
        </w:rPr>
        <w:t>During the 250</w:t>
      </w:r>
      <w:r w:rsidRPr="00427B3E">
        <w:rPr>
          <w:rFonts w:ascii="Tahoma" w:hAnsi="Tahoma" w:cs="Tahoma"/>
          <w:sz w:val="24"/>
          <w:szCs w:val="24"/>
          <w:vertAlign w:val="superscript"/>
        </w:rPr>
        <w:t>th</w:t>
      </w:r>
      <w:r w:rsidRPr="005B37B4">
        <w:rPr>
          <w:rFonts w:ascii="Tahoma" w:hAnsi="Tahoma" w:cs="Tahoma"/>
          <w:sz w:val="24"/>
          <w:szCs w:val="24"/>
        </w:rPr>
        <w:t xml:space="preserve"> </w:t>
      </w:r>
      <w:r w:rsidR="00427B3E">
        <w:rPr>
          <w:rFonts w:ascii="Tahoma" w:hAnsi="Tahoma" w:cs="Tahoma"/>
          <w:sz w:val="24"/>
          <w:szCs w:val="24"/>
        </w:rPr>
        <w:t xml:space="preserve">year of circus </w:t>
      </w:r>
      <w:r w:rsidRPr="005B37B4">
        <w:rPr>
          <w:rFonts w:ascii="Tahoma" w:hAnsi="Tahoma" w:cs="Tahoma"/>
          <w:sz w:val="24"/>
          <w:szCs w:val="24"/>
        </w:rPr>
        <w:t xml:space="preserve">anniversary celebrations the </w:t>
      </w:r>
      <w:r w:rsidR="00CD32A8">
        <w:rPr>
          <w:rFonts w:ascii="Tahoma" w:hAnsi="Tahoma" w:cs="Tahoma"/>
          <w:sz w:val="24"/>
          <w:szCs w:val="24"/>
        </w:rPr>
        <w:t xml:space="preserve">Philip </w:t>
      </w:r>
      <w:proofErr w:type="spellStart"/>
      <w:r w:rsidR="00CD32A8">
        <w:rPr>
          <w:rFonts w:ascii="Tahoma" w:hAnsi="Tahoma" w:cs="Tahoma"/>
          <w:sz w:val="24"/>
          <w:szCs w:val="24"/>
        </w:rPr>
        <w:t>Astley</w:t>
      </w:r>
      <w:proofErr w:type="spellEnd"/>
      <w:r w:rsidR="00CD32A8">
        <w:rPr>
          <w:rFonts w:ascii="Tahoma" w:hAnsi="Tahoma" w:cs="Tahoma"/>
          <w:sz w:val="24"/>
          <w:szCs w:val="24"/>
        </w:rPr>
        <w:t xml:space="preserve"> P</w:t>
      </w:r>
      <w:r w:rsidRPr="005B37B4">
        <w:rPr>
          <w:rFonts w:ascii="Tahoma" w:hAnsi="Tahoma" w:cs="Tahoma"/>
          <w:sz w:val="24"/>
          <w:szCs w:val="24"/>
        </w:rPr>
        <w:t xml:space="preserve">roject engaged 29,000 people across 47 separate events in the local area, including circus workshops, talks, school events, an exhibition, town trail and a family festival. </w:t>
      </w:r>
      <w:r w:rsidR="006942FA" w:rsidRPr="005B37B4">
        <w:rPr>
          <w:rFonts w:ascii="Tahoma" w:hAnsi="Tahoma" w:cs="Tahoma"/>
          <w:sz w:val="24"/>
          <w:szCs w:val="24"/>
        </w:rPr>
        <w:t xml:space="preserve">The exhibition "Philip Astley: His Life and Legacy” at the Brampton Museum and Art Gallery, was visited by 16,700 people – 100 people were invited guests at an opening event with a further 16,600 public visitors to the special exhibition. An independent evaluation report indicates 60% of visitors had not taken part in other organised Astley activities </w:t>
      </w:r>
      <w:r w:rsidR="003A5112" w:rsidRPr="005B37B4">
        <w:rPr>
          <w:rFonts w:ascii="Tahoma" w:hAnsi="Tahoma" w:cs="Tahoma"/>
          <w:sz w:val="24"/>
          <w:szCs w:val="24"/>
        </w:rPr>
        <w:fldChar w:fldCharType="begin" w:fldLock="1"/>
      </w:r>
      <w:r w:rsidR="001F7964">
        <w:rPr>
          <w:rFonts w:ascii="Tahoma" w:hAnsi="Tahoma" w:cs="Tahoma"/>
          <w:sz w:val="24"/>
          <w:szCs w:val="24"/>
        </w:rPr>
        <w:instrText>ADDIN CSL_CITATION {"citationItems":[{"id":"ITEM-1","itemData":{"author":[{"dropping-particle":"","family":"Papiernik-Bloor","given":"Zoe","non-dropping-particle":"","parse-names":false,"suffix":""},{"dropping-particle":"","family":"Cooke","given":"Peta","non-dropping-particle":"","parse-names":false,"suffix":""}],"id":"ITEM-1","issued":{"date-parts":[["2018"]]},"publisher-place":"Manchester","title":"Staffordshire University The Philip Astley Project Evaluation Report","type":"report"},"uris":["http://www.mendeley.com/documents/?uuid=c7bb8481-c6b8-4ca2-8c84-fbd9e1f72e73"]}],"mendeley":{"formattedCitation":"(Papiernik-Bloor and Cooke, 2018)","plainTextFormattedCitation":"(Papiernik-Bloor and Cooke, 2018)","previouslyFormattedCitation":"(Papiernik-Bloor and Cooke, 2018)"},"properties":{"noteIndex":0},"schema":"https://github.com/citation-style-language/schema/raw/master/csl-citation.json"}</w:instrText>
      </w:r>
      <w:r w:rsidR="003A5112" w:rsidRPr="005B37B4">
        <w:rPr>
          <w:rFonts w:ascii="Tahoma" w:hAnsi="Tahoma" w:cs="Tahoma"/>
          <w:sz w:val="24"/>
          <w:szCs w:val="24"/>
        </w:rPr>
        <w:fldChar w:fldCharType="separate"/>
      </w:r>
      <w:r w:rsidR="006942FA" w:rsidRPr="005B37B4">
        <w:rPr>
          <w:rFonts w:ascii="Tahoma" w:hAnsi="Tahoma" w:cs="Tahoma"/>
          <w:noProof/>
          <w:sz w:val="24"/>
          <w:szCs w:val="24"/>
        </w:rPr>
        <w:t>(Papiernik-Bloor and Cooke, 2018)</w:t>
      </w:r>
      <w:r w:rsidR="003A5112" w:rsidRPr="005B37B4">
        <w:rPr>
          <w:rFonts w:ascii="Tahoma" w:hAnsi="Tahoma" w:cs="Tahoma"/>
          <w:sz w:val="24"/>
          <w:szCs w:val="24"/>
        </w:rPr>
        <w:fldChar w:fldCharType="end"/>
      </w:r>
      <w:r w:rsidR="006942FA" w:rsidRPr="005B37B4">
        <w:rPr>
          <w:rFonts w:ascii="Tahoma" w:hAnsi="Tahoma" w:cs="Tahoma"/>
          <w:sz w:val="24"/>
          <w:szCs w:val="24"/>
        </w:rPr>
        <w:t>. Visitor comments included:</w:t>
      </w:r>
    </w:p>
    <w:p w:rsidR="00427B3E" w:rsidRDefault="006942FA" w:rsidP="00351480">
      <w:pPr>
        <w:spacing w:before="240" w:after="240" w:line="360" w:lineRule="auto"/>
        <w:ind w:left="851" w:right="851"/>
        <w:rPr>
          <w:rFonts w:ascii="Tahoma" w:hAnsi="Tahoma" w:cs="Tahoma"/>
          <w:sz w:val="24"/>
          <w:szCs w:val="24"/>
        </w:rPr>
      </w:pPr>
      <w:r w:rsidRPr="005B37B4">
        <w:rPr>
          <w:rFonts w:ascii="Tahoma" w:hAnsi="Tahoma" w:cs="Tahoma"/>
          <w:sz w:val="24"/>
          <w:szCs w:val="24"/>
        </w:rPr>
        <w:lastRenderedPageBreak/>
        <w:t xml:space="preserve"> </w:t>
      </w:r>
      <w:r w:rsidR="00427B3E">
        <w:rPr>
          <w:rFonts w:ascii="Tahoma" w:hAnsi="Tahoma" w:cs="Tahoma"/>
          <w:sz w:val="24"/>
          <w:szCs w:val="24"/>
        </w:rPr>
        <w:t>“</w:t>
      </w:r>
      <w:r w:rsidRPr="005B37B4">
        <w:rPr>
          <w:rFonts w:ascii="Tahoma" w:hAnsi="Tahoma" w:cs="Tahoma"/>
          <w:sz w:val="24"/>
          <w:szCs w:val="24"/>
        </w:rPr>
        <w:t>Interesting to learn about his every-day life and the local connection. Thought it was interesting how it was weaved into the history of Newcastle</w:t>
      </w:r>
      <w:r w:rsidR="00427B3E">
        <w:rPr>
          <w:rFonts w:ascii="Tahoma" w:hAnsi="Tahoma" w:cs="Tahoma"/>
          <w:sz w:val="24"/>
          <w:szCs w:val="24"/>
        </w:rPr>
        <w:t>”.</w:t>
      </w:r>
    </w:p>
    <w:p w:rsidR="007909E1" w:rsidRPr="005B37B4" w:rsidRDefault="00427B3E" w:rsidP="00351480">
      <w:pPr>
        <w:spacing w:before="240" w:after="240" w:line="360" w:lineRule="auto"/>
        <w:ind w:left="851" w:right="851"/>
        <w:rPr>
          <w:rFonts w:ascii="Tahoma" w:hAnsi="Tahoma" w:cs="Tahoma"/>
          <w:sz w:val="24"/>
          <w:szCs w:val="24"/>
        </w:rPr>
      </w:pPr>
      <w:r>
        <w:rPr>
          <w:rFonts w:ascii="Tahoma" w:hAnsi="Tahoma" w:cs="Tahoma"/>
          <w:sz w:val="24"/>
          <w:szCs w:val="24"/>
        </w:rPr>
        <w:t>“</w:t>
      </w:r>
      <w:r w:rsidR="006942FA" w:rsidRPr="005B37B4">
        <w:rPr>
          <w:rFonts w:ascii="Tahoma" w:hAnsi="Tahoma" w:cs="Tahoma"/>
          <w:sz w:val="24"/>
          <w:szCs w:val="24"/>
        </w:rPr>
        <w:t>The council should encourage people more with exhibitions like this one, especially about local people. I did not know about Philip Astley until now (I am 40!)</w:t>
      </w:r>
      <w:r>
        <w:rPr>
          <w:rFonts w:ascii="Tahoma" w:hAnsi="Tahoma" w:cs="Tahoma"/>
          <w:sz w:val="24"/>
          <w:szCs w:val="24"/>
        </w:rPr>
        <w:t>”</w:t>
      </w:r>
      <w:r w:rsidR="006942FA" w:rsidRPr="005B37B4">
        <w:rPr>
          <w:rFonts w:ascii="Tahoma" w:hAnsi="Tahoma" w:cs="Tahoma"/>
          <w:sz w:val="24"/>
          <w:szCs w:val="24"/>
        </w:rPr>
        <w:t xml:space="preserve">. </w:t>
      </w:r>
    </w:p>
    <w:p w:rsidR="009D68B3" w:rsidRPr="005B37B4" w:rsidRDefault="009D68B3" w:rsidP="00351480">
      <w:pPr>
        <w:spacing w:line="360" w:lineRule="auto"/>
        <w:rPr>
          <w:rFonts w:ascii="Tahoma" w:hAnsi="Tahoma" w:cs="Tahoma"/>
          <w:sz w:val="24"/>
          <w:szCs w:val="24"/>
        </w:rPr>
      </w:pPr>
      <w:r w:rsidRPr="005B37B4">
        <w:rPr>
          <w:rFonts w:ascii="Tahoma" w:hAnsi="Tahoma" w:cs="Tahoma"/>
          <w:sz w:val="24"/>
          <w:szCs w:val="24"/>
        </w:rPr>
        <w:t>In addition to</w:t>
      </w:r>
      <w:r w:rsidR="00C458AF">
        <w:rPr>
          <w:rFonts w:ascii="Tahoma" w:hAnsi="Tahoma" w:cs="Tahoma"/>
          <w:sz w:val="24"/>
          <w:szCs w:val="24"/>
        </w:rPr>
        <w:t xml:space="preserve"> engagement via</w:t>
      </w:r>
      <w:r w:rsidRPr="005B37B4">
        <w:rPr>
          <w:rFonts w:ascii="Tahoma" w:hAnsi="Tahoma" w:cs="Tahoma"/>
          <w:sz w:val="24"/>
          <w:szCs w:val="24"/>
        </w:rPr>
        <w:t xml:space="preserve"> direct activities, the project reached more than a million people via mainstream media, social media, a dedicated website and online resource packs.</w:t>
      </w:r>
    </w:p>
    <w:p w:rsidR="009D68B3" w:rsidRPr="005B37B4" w:rsidRDefault="009D68B3" w:rsidP="00351480">
      <w:pPr>
        <w:spacing w:before="120" w:after="120" w:line="360" w:lineRule="auto"/>
        <w:rPr>
          <w:rFonts w:ascii="Tahoma" w:hAnsi="Tahoma" w:cs="Tahoma"/>
          <w:sz w:val="24"/>
          <w:szCs w:val="24"/>
        </w:rPr>
      </w:pPr>
      <w:r w:rsidRPr="005B37B4">
        <w:rPr>
          <w:rFonts w:ascii="Tahoma" w:hAnsi="Tahoma" w:cs="Tahoma"/>
          <w:sz w:val="24"/>
          <w:szCs w:val="24"/>
        </w:rPr>
        <w:t>At the project’s completion, an independent evaluation found 56% of people in Newcastle-under-Lyme had heard of Astley compared to 11% when the project began</w:t>
      </w:r>
      <w:r w:rsidR="00C458AF">
        <w:rPr>
          <w:rFonts w:ascii="Tahoma" w:hAnsi="Tahoma" w:cs="Tahoma"/>
          <w:sz w:val="24"/>
          <w:szCs w:val="24"/>
        </w:rPr>
        <w:t xml:space="preserve"> </w:t>
      </w:r>
      <w:r w:rsidR="003A5112">
        <w:rPr>
          <w:rFonts w:ascii="Tahoma" w:hAnsi="Tahoma" w:cs="Tahoma"/>
          <w:sz w:val="24"/>
          <w:szCs w:val="24"/>
        </w:rPr>
        <w:fldChar w:fldCharType="begin" w:fldLock="1"/>
      </w:r>
      <w:r w:rsidR="00C458AF">
        <w:rPr>
          <w:rFonts w:ascii="Tahoma" w:hAnsi="Tahoma" w:cs="Tahoma"/>
          <w:sz w:val="24"/>
          <w:szCs w:val="24"/>
        </w:rPr>
        <w:instrText>ADDIN CSL_CITATION {"citationItems":[{"id":"ITEM-1","itemData":{"author":[{"dropping-particle":"","family":"Papiernik-Bloor","given":"Zoe","non-dropping-particle":"","parse-names":false,"suffix":""},{"dropping-particle":"","family":"Cooke","given":"Peta","non-dropping-particle":"","parse-names":false,"suffix":""}],"id":"ITEM-1","issued":{"date-parts":[["2018"]]},"publisher-place":"Manchester","title":"Staffordshire University The Philip Astley Project Evaluation Report","type":"report"},"uris":["http://www.mendeley.com/documents/?uuid=c7bb8481-c6b8-4ca2-8c84-fbd9e1f72e73"]}],"mendeley":{"formattedCitation":"(Papiernik-Bloor and Cooke, 2018)","plainTextFormattedCitation":"(Papiernik-Bloor and Cooke, 2018)"},"properties":{"noteIndex":0},"schema":"https://github.com/citation-style-language/schema/raw/master/csl-citation.json"}</w:instrText>
      </w:r>
      <w:r w:rsidR="003A5112">
        <w:rPr>
          <w:rFonts w:ascii="Tahoma" w:hAnsi="Tahoma" w:cs="Tahoma"/>
          <w:sz w:val="24"/>
          <w:szCs w:val="24"/>
        </w:rPr>
        <w:fldChar w:fldCharType="separate"/>
      </w:r>
      <w:r w:rsidR="00C458AF" w:rsidRPr="00C458AF">
        <w:rPr>
          <w:rFonts w:ascii="Tahoma" w:hAnsi="Tahoma" w:cs="Tahoma"/>
          <w:noProof/>
          <w:sz w:val="24"/>
          <w:szCs w:val="24"/>
        </w:rPr>
        <w:t>(Papiernik-Bloor and Cooke, 2018)</w:t>
      </w:r>
      <w:r w:rsidR="003A5112">
        <w:rPr>
          <w:rFonts w:ascii="Tahoma" w:hAnsi="Tahoma" w:cs="Tahoma"/>
          <w:sz w:val="24"/>
          <w:szCs w:val="24"/>
        </w:rPr>
        <w:fldChar w:fldCharType="end"/>
      </w:r>
      <w:r w:rsidRPr="005B37B4">
        <w:rPr>
          <w:rFonts w:ascii="Tahoma" w:hAnsi="Tahoma" w:cs="Tahoma"/>
          <w:sz w:val="24"/>
          <w:szCs w:val="24"/>
        </w:rPr>
        <w:t xml:space="preserve">. In addition to increasing town pride through increased awareness of its cultural heritage, the project also stimulated cultural tourism to the area with the Business Improvement District reporting footfall in the town </w:t>
      </w:r>
      <w:r w:rsidRPr="005B37B4">
        <w:rPr>
          <w:rFonts w:ascii="Tahoma" w:hAnsi="Tahoma" w:cs="Tahoma"/>
          <w:sz w:val="24"/>
          <w:szCs w:val="24"/>
        </w:rPr>
        <w:softHyphen/>
        <w:t xml:space="preserve">up 34.4% on the same period the previous year </w:t>
      </w:r>
      <w:r w:rsidR="003A5112" w:rsidRPr="005B37B4">
        <w:rPr>
          <w:rFonts w:ascii="Tahoma" w:hAnsi="Tahoma" w:cs="Tahoma"/>
          <w:sz w:val="24"/>
          <w:szCs w:val="24"/>
        </w:rPr>
        <w:fldChar w:fldCharType="begin" w:fldLock="1"/>
      </w:r>
      <w:r w:rsidR="008A0958">
        <w:rPr>
          <w:rFonts w:ascii="Tahoma" w:hAnsi="Tahoma" w:cs="Tahoma"/>
          <w:sz w:val="24"/>
          <w:szCs w:val="24"/>
        </w:rPr>
        <w:instrText>ADDIN CSL_CITATION {"citationItems":[{"id":"ITEM-1","itemData":{"URL":"http://eprints.staffs.ac.uk/5559//","accessed":{"date-parts":[["2020","1","26"]]},"author":[{"dropping-particle":"","family":"Thomason","given":"Carmel","non-dropping-particle":"","parse-names":false,"suffix":""}],"id":"ITEM-1","issue":"February","issued":{"date-parts":[["2019"]]},"page":"1-19","title":"The Philip Astley Project – Celebrating the father of modern-day circus. Project Report.","type":"webpage"},"uris":["http://www.mendeley.com/documents/?uuid=6c27683b-de88-45b8-a1aa-86b47402fdd4"]}],"mendeley":{"formattedCitation":"(Thomason, 2019)","plainTextFormattedCitation":"(Thomason, 2019)","previouslyFormattedCitation":"(Thomason, 2019)"},"properties":{"noteIndex":0},"schema":"https://github.com/citation-style-language/schema/raw/master/csl-citation.json"}</w:instrText>
      </w:r>
      <w:r w:rsidR="003A5112" w:rsidRPr="005B37B4">
        <w:rPr>
          <w:rFonts w:ascii="Tahoma" w:hAnsi="Tahoma" w:cs="Tahoma"/>
          <w:sz w:val="24"/>
          <w:szCs w:val="24"/>
        </w:rPr>
        <w:fldChar w:fldCharType="separate"/>
      </w:r>
      <w:r w:rsidRPr="005B37B4">
        <w:rPr>
          <w:rFonts w:ascii="Tahoma" w:hAnsi="Tahoma" w:cs="Tahoma"/>
          <w:noProof/>
          <w:sz w:val="24"/>
          <w:szCs w:val="24"/>
        </w:rPr>
        <w:t>(Thomason, 2019)</w:t>
      </w:r>
      <w:r w:rsidR="003A5112" w:rsidRPr="005B37B4">
        <w:rPr>
          <w:rFonts w:ascii="Tahoma" w:hAnsi="Tahoma" w:cs="Tahoma"/>
          <w:sz w:val="24"/>
          <w:szCs w:val="24"/>
        </w:rPr>
        <w:fldChar w:fldCharType="end"/>
      </w:r>
      <w:r w:rsidRPr="005B37B4">
        <w:rPr>
          <w:rFonts w:ascii="Tahoma" w:hAnsi="Tahoma" w:cs="Tahoma"/>
          <w:sz w:val="24"/>
          <w:szCs w:val="24"/>
        </w:rPr>
        <w:t xml:space="preserve">. </w:t>
      </w:r>
    </w:p>
    <w:p w:rsidR="009D68B3" w:rsidRPr="005B37B4" w:rsidRDefault="009D68B3" w:rsidP="00351480">
      <w:pPr>
        <w:spacing w:before="240" w:after="240" w:line="360" w:lineRule="auto"/>
        <w:ind w:left="851" w:right="851"/>
        <w:rPr>
          <w:rFonts w:ascii="Tahoma" w:hAnsi="Tahoma" w:cs="Tahoma"/>
          <w:sz w:val="24"/>
          <w:szCs w:val="24"/>
        </w:rPr>
      </w:pPr>
      <w:r w:rsidRPr="005B37B4">
        <w:rPr>
          <w:rFonts w:ascii="Tahoma" w:hAnsi="Tahoma" w:cs="Tahoma"/>
          <w:sz w:val="24"/>
          <w:szCs w:val="24"/>
        </w:rPr>
        <w:t>“High Streets are changing and have been for some years now. They have become far less about retail and much more about experience and destinations. The events and projects we have supported in the town have been a direct link to the increase in footfall…There is more of a sense of pride amongst our businesses that they are able to promote the town and its heritage through events and better understanding….We hear more and more people talking about Phillip Astley than ever. It is my view that the project has educated the community and really put Newcastle-under-Lyme on the map nationally’’ – spokesperson for the Newcastle-under-Lyme Business Improvement District.</w:t>
      </w:r>
    </w:p>
    <w:p w:rsidR="009D68B3" w:rsidRPr="005B37B4" w:rsidRDefault="009D68B3" w:rsidP="00351480">
      <w:pPr>
        <w:spacing w:before="120" w:after="120" w:line="360" w:lineRule="auto"/>
        <w:rPr>
          <w:rFonts w:ascii="Tahoma" w:hAnsi="Tahoma" w:cs="Tahoma"/>
          <w:sz w:val="24"/>
          <w:szCs w:val="24"/>
        </w:rPr>
      </w:pPr>
      <w:r w:rsidRPr="005B37B4">
        <w:rPr>
          <w:rFonts w:ascii="Tahoma" w:hAnsi="Tahoma" w:cs="Tahoma"/>
          <w:sz w:val="24"/>
          <w:szCs w:val="24"/>
        </w:rPr>
        <w:lastRenderedPageBreak/>
        <w:t>Following from the work of the Philip Astley Project, the steering group member organisations founded the Philip Astley Project Community Interest Company (CIC) to further develop the heritage of Newcastle-under-Lyme and its circus connection.</w:t>
      </w:r>
    </w:p>
    <w:p w:rsidR="009D68B3" w:rsidRPr="005B37B4" w:rsidRDefault="009D68B3" w:rsidP="00351480">
      <w:pPr>
        <w:spacing w:before="240" w:after="240" w:line="360" w:lineRule="auto"/>
        <w:ind w:left="850" w:right="850"/>
        <w:rPr>
          <w:rFonts w:ascii="Tahoma" w:hAnsi="Tahoma" w:cs="Tahoma"/>
          <w:sz w:val="24"/>
          <w:szCs w:val="24"/>
        </w:rPr>
      </w:pPr>
      <w:r w:rsidRPr="005B37B4">
        <w:rPr>
          <w:rFonts w:ascii="Tahoma" w:hAnsi="Tahoma" w:cs="Tahoma"/>
          <w:sz w:val="24"/>
          <w:szCs w:val="24"/>
        </w:rPr>
        <w:t>“The people involved in the project from the start – it became something they really cared about…We want to keep the heritage trail going and develop more and more reasons for people to come here…people can now see the potential. It has brought people to the area who would never have come here before. People’s awareness and pride of Philip Astley has grown, and awareness and pride of the area has grown. People are exploring the place they have grown up in, which is great’’ – volunteer and steering group member.</w:t>
      </w:r>
    </w:p>
    <w:p w:rsidR="006942FA" w:rsidRPr="005B37B4" w:rsidRDefault="006942FA" w:rsidP="00351480">
      <w:pPr>
        <w:spacing w:line="360" w:lineRule="auto"/>
        <w:rPr>
          <w:rFonts w:ascii="Tahoma" w:hAnsi="Tahoma" w:cs="Tahoma"/>
          <w:sz w:val="24"/>
          <w:szCs w:val="24"/>
        </w:rPr>
      </w:pPr>
      <w:r w:rsidRPr="005B37B4">
        <w:rPr>
          <w:rFonts w:ascii="Tahoma" w:hAnsi="Tahoma" w:cs="Tahoma"/>
          <w:sz w:val="24"/>
          <w:szCs w:val="24"/>
        </w:rPr>
        <w:t>Demographic data demonstrated the research reached a broadly representational group of Newcastle-under-Lyme residents in terms of age, sex, ethnicity, disability and socio-economic group. However, relative to the rest of the UK this group has low cultural engagement.</w:t>
      </w:r>
    </w:p>
    <w:p w:rsidR="009D68B3" w:rsidRPr="005B37B4" w:rsidRDefault="006942FA" w:rsidP="00351480">
      <w:pPr>
        <w:spacing w:before="240" w:after="240" w:line="360" w:lineRule="auto"/>
        <w:ind w:right="850"/>
        <w:rPr>
          <w:rFonts w:ascii="Tahoma" w:hAnsi="Tahoma" w:cs="Tahoma"/>
          <w:sz w:val="24"/>
          <w:szCs w:val="24"/>
        </w:rPr>
      </w:pPr>
      <w:r w:rsidRPr="005B37B4">
        <w:rPr>
          <w:rFonts w:ascii="Tahoma" w:hAnsi="Tahoma" w:cs="Tahoma"/>
          <w:sz w:val="24"/>
          <w:szCs w:val="24"/>
        </w:rPr>
        <w:t xml:space="preserve">The project engaged younger people by influencing design and delivery of curricular and expanding extra-curricular activities at Staffordshire University. Students initially had ethical concerns due to outdated but strong perceptions of animal abuse in UK circuses. The research changed these attitudes. </w:t>
      </w:r>
    </w:p>
    <w:p w:rsidR="006942FA" w:rsidRDefault="006942FA" w:rsidP="00351480">
      <w:pPr>
        <w:spacing w:before="100" w:beforeAutospacing="1" w:after="0" w:line="360" w:lineRule="auto"/>
        <w:rPr>
          <w:rFonts w:ascii="Tahoma" w:hAnsi="Tahoma" w:cs="Tahoma"/>
          <w:sz w:val="24"/>
          <w:szCs w:val="24"/>
        </w:rPr>
      </w:pPr>
      <w:r w:rsidRPr="005B37B4">
        <w:rPr>
          <w:rFonts w:ascii="Tahoma" w:hAnsi="Tahoma" w:cs="Tahoma"/>
          <w:sz w:val="24"/>
          <w:szCs w:val="24"/>
        </w:rPr>
        <w:t xml:space="preserve">In connecting students to the wider community and heritage of the area, more than 200 students were directly involved with local arts and cultural organisations including: the Brampton Museum; Staffordshire Film Archive; </w:t>
      </w:r>
      <w:r w:rsidRPr="006E0233">
        <w:rPr>
          <w:rFonts w:ascii="Tahoma" w:hAnsi="Tahoma" w:cs="Tahoma"/>
          <w:sz w:val="24"/>
          <w:szCs w:val="24"/>
        </w:rPr>
        <w:t>New Vic Theatre</w:t>
      </w:r>
      <w:r w:rsidRPr="005B37B4">
        <w:rPr>
          <w:rFonts w:ascii="Tahoma" w:hAnsi="Tahoma" w:cs="Tahoma"/>
          <w:sz w:val="24"/>
          <w:szCs w:val="24"/>
        </w:rPr>
        <w:t xml:space="preserve">; No Fit State Circus; Appetite; and the Van Buren Organisation. This created work placement opportunities for students with the University project team as well as with its </w:t>
      </w:r>
      <w:r w:rsidR="00C458AF">
        <w:rPr>
          <w:rFonts w:ascii="Tahoma" w:hAnsi="Tahoma" w:cs="Tahoma"/>
          <w:sz w:val="24"/>
          <w:szCs w:val="24"/>
        </w:rPr>
        <w:t xml:space="preserve">project </w:t>
      </w:r>
      <w:r w:rsidRPr="005B37B4">
        <w:rPr>
          <w:rFonts w:ascii="Tahoma" w:hAnsi="Tahoma" w:cs="Tahoma"/>
          <w:sz w:val="24"/>
          <w:szCs w:val="24"/>
        </w:rPr>
        <w:t>partners.</w:t>
      </w:r>
    </w:p>
    <w:p w:rsidR="00DF2C36" w:rsidRDefault="00DF2C36" w:rsidP="00351480">
      <w:pPr>
        <w:spacing w:before="100" w:beforeAutospacing="1" w:after="0" w:line="360" w:lineRule="auto"/>
        <w:rPr>
          <w:rFonts w:ascii="Tahoma" w:hAnsi="Tahoma" w:cs="Tahoma"/>
          <w:sz w:val="24"/>
          <w:szCs w:val="24"/>
        </w:rPr>
      </w:pPr>
    </w:p>
    <w:p w:rsidR="00DB2041" w:rsidRPr="005B37B4" w:rsidRDefault="00DB2041" w:rsidP="00351480">
      <w:pPr>
        <w:spacing w:line="360" w:lineRule="auto"/>
        <w:rPr>
          <w:rFonts w:ascii="Tahoma" w:hAnsi="Tahoma" w:cs="Tahoma"/>
          <w:b/>
          <w:sz w:val="28"/>
          <w:szCs w:val="28"/>
        </w:rPr>
      </w:pPr>
      <w:r w:rsidRPr="005B37B4">
        <w:rPr>
          <w:rFonts w:ascii="Tahoma" w:hAnsi="Tahoma" w:cs="Tahoma"/>
          <w:b/>
          <w:sz w:val="28"/>
          <w:szCs w:val="28"/>
        </w:rPr>
        <w:lastRenderedPageBreak/>
        <w:t>Discussion</w:t>
      </w:r>
    </w:p>
    <w:p w:rsidR="000D56D9" w:rsidRPr="005B37B4" w:rsidRDefault="000D56D9" w:rsidP="00351480">
      <w:pPr>
        <w:spacing w:line="360" w:lineRule="auto"/>
        <w:rPr>
          <w:rFonts w:ascii="Tahoma" w:hAnsi="Tahoma" w:cs="Tahoma"/>
          <w:sz w:val="24"/>
          <w:szCs w:val="24"/>
        </w:rPr>
      </w:pPr>
      <w:r w:rsidRPr="005B37B4">
        <w:rPr>
          <w:rFonts w:ascii="Tahoma" w:hAnsi="Tahoma" w:cs="Tahoma"/>
          <w:sz w:val="24"/>
          <w:szCs w:val="24"/>
        </w:rPr>
        <w:t>Facilitation and curation of collaborative research is more likely to lead to a different type of research outcome from the traditional academic journal paper. However, as the case study of The Philip Astley Project demonstrates, co-production methods offer the potential for developing impactful work with benefits that can help universities to grow and become more effective in their civic role, as well as offering opportunities to widen participation in a way not directly linked to recruitment, but one which in the long-term may have positive benefits in this way.</w:t>
      </w:r>
    </w:p>
    <w:p w:rsidR="000D56D9" w:rsidRPr="005B37B4" w:rsidRDefault="000D56D9" w:rsidP="00351480">
      <w:pPr>
        <w:spacing w:line="360" w:lineRule="auto"/>
        <w:rPr>
          <w:rFonts w:ascii="Tahoma" w:hAnsi="Tahoma" w:cs="Tahoma"/>
          <w:sz w:val="24"/>
          <w:szCs w:val="24"/>
        </w:rPr>
      </w:pPr>
      <w:r w:rsidRPr="005B37B4">
        <w:rPr>
          <w:rFonts w:ascii="Tahoma" w:hAnsi="Tahoma" w:cs="Tahoma"/>
          <w:sz w:val="24"/>
          <w:szCs w:val="24"/>
        </w:rPr>
        <w:t>By creating cross-</w:t>
      </w:r>
      <w:proofErr w:type="spellStart"/>
      <w:r w:rsidR="00837077" w:rsidRPr="005B37B4">
        <w:rPr>
          <w:rFonts w:ascii="Tahoma" w:hAnsi="Tahoma" w:cs="Tahoma"/>
          <w:sz w:val="24"/>
          <w:szCs w:val="24"/>
        </w:rPr>
        <w:t>over</w:t>
      </w:r>
      <w:r w:rsidR="00837077">
        <w:rPr>
          <w:rFonts w:ascii="Tahoma" w:hAnsi="Tahoma" w:cs="Tahoma"/>
          <w:sz w:val="24"/>
          <w:szCs w:val="24"/>
        </w:rPr>
        <w:t>s</w:t>
      </w:r>
      <w:proofErr w:type="spellEnd"/>
      <w:r w:rsidRPr="005B37B4">
        <w:rPr>
          <w:rFonts w:ascii="Tahoma" w:hAnsi="Tahoma" w:cs="Tahoma"/>
          <w:sz w:val="24"/>
          <w:szCs w:val="24"/>
        </w:rPr>
        <w:t xml:space="preserve"> between teaching, research and engagement the Philip Astley Project was able to begin working towards an idea of a whole university approach to community engagement. These are ambitious ideas that require more systematic exploration with specific focus on widening participation if we are to make stronger assertions about why greater integration of these areas matters and for whom. </w:t>
      </w:r>
      <w:r w:rsidR="00DF2C36">
        <w:rPr>
          <w:rFonts w:ascii="Tahoma" w:hAnsi="Tahoma" w:cs="Tahoma"/>
          <w:sz w:val="24"/>
          <w:szCs w:val="24"/>
        </w:rPr>
        <w:t>Furthermore, s</w:t>
      </w:r>
      <w:r w:rsidRPr="005B37B4">
        <w:rPr>
          <w:rFonts w:ascii="Tahoma" w:hAnsi="Tahoma" w:cs="Tahoma"/>
          <w:sz w:val="24"/>
          <w:szCs w:val="24"/>
        </w:rPr>
        <w:t xml:space="preserve">trategic university-wide embracing of community engagement via such projects could have the potential to be transformative in strengthening a university’s civic role and its stakeholder ties. </w:t>
      </w:r>
      <w:r w:rsidR="00DF2C36">
        <w:rPr>
          <w:rFonts w:ascii="Tahoma" w:hAnsi="Tahoma" w:cs="Tahoma"/>
          <w:sz w:val="24"/>
          <w:szCs w:val="24"/>
        </w:rPr>
        <w:t>While t</w:t>
      </w:r>
      <w:r w:rsidRPr="005B37B4">
        <w:rPr>
          <w:rFonts w:ascii="Tahoma" w:hAnsi="Tahoma" w:cs="Tahoma"/>
          <w:sz w:val="24"/>
          <w:szCs w:val="24"/>
        </w:rPr>
        <w:t>his paper has highlighted potential</w:t>
      </w:r>
      <w:r w:rsidR="00DF2C36">
        <w:rPr>
          <w:rFonts w:ascii="Tahoma" w:hAnsi="Tahoma" w:cs="Tahoma"/>
          <w:sz w:val="24"/>
          <w:szCs w:val="24"/>
        </w:rPr>
        <w:t xml:space="preserve">, </w:t>
      </w:r>
      <w:r w:rsidRPr="005B37B4">
        <w:rPr>
          <w:rFonts w:ascii="Tahoma" w:hAnsi="Tahoma" w:cs="Tahoma"/>
          <w:sz w:val="24"/>
          <w:szCs w:val="24"/>
        </w:rPr>
        <w:t xml:space="preserve">exploring the actual impact of </w:t>
      </w:r>
      <w:r w:rsidR="00237CF0">
        <w:rPr>
          <w:rFonts w:ascii="Tahoma" w:hAnsi="Tahoma" w:cs="Tahoma"/>
          <w:sz w:val="24"/>
          <w:szCs w:val="24"/>
        </w:rPr>
        <w:t xml:space="preserve">collaborative projects, </w:t>
      </w:r>
      <w:r w:rsidRPr="005B37B4">
        <w:rPr>
          <w:rFonts w:ascii="Tahoma" w:hAnsi="Tahoma" w:cs="Tahoma"/>
          <w:sz w:val="24"/>
          <w:szCs w:val="24"/>
        </w:rPr>
        <w:t xml:space="preserve">co-production research </w:t>
      </w:r>
      <w:r w:rsidR="00237CF0">
        <w:rPr>
          <w:rFonts w:ascii="Tahoma" w:hAnsi="Tahoma" w:cs="Tahoma"/>
          <w:sz w:val="24"/>
          <w:szCs w:val="24"/>
        </w:rPr>
        <w:t>methods and student–community engagement</w:t>
      </w:r>
      <w:r w:rsidRPr="005B37B4">
        <w:rPr>
          <w:rFonts w:ascii="Tahoma" w:hAnsi="Tahoma" w:cs="Tahoma"/>
          <w:sz w:val="24"/>
          <w:szCs w:val="24"/>
        </w:rPr>
        <w:t xml:space="preserve"> on widening participation requires a longer-term research strategy. </w:t>
      </w:r>
      <w:r w:rsidR="00237CF0">
        <w:rPr>
          <w:rFonts w:ascii="Tahoma" w:hAnsi="Tahoma" w:cs="Tahoma"/>
          <w:sz w:val="24"/>
          <w:szCs w:val="24"/>
        </w:rPr>
        <w:t xml:space="preserve">A longer-term research strategy is also required to evidence the impact of similar projects on </w:t>
      </w:r>
      <w:r w:rsidR="00237CF0" w:rsidRPr="00237CF0">
        <w:rPr>
          <w:rFonts w:ascii="Tahoma" w:hAnsi="Tahoma" w:cs="Tahoma"/>
          <w:sz w:val="24"/>
          <w:szCs w:val="24"/>
        </w:rPr>
        <w:t xml:space="preserve">the perception of </w:t>
      </w:r>
      <w:r w:rsidR="00237CF0">
        <w:rPr>
          <w:rFonts w:ascii="Tahoma" w:hAnsi="Tahoma" w:cs="Tahoma"/>
          <w:sz w:val="24"/>
          <w:szCs w:val="24"/>
        </w:rPr>
        <w:t>a u</w:t>
      </w:r>
      <w:r w:rsidR="00237CF0" w:rsidRPr="00237CF0">
        <w:rPr>
          <w:rFonts w:ascii="Tahoma" w:hAnsi="Tahoma" w:cs="Tahoma"/>
          <w:sz w:val="24"/>
          <w:szCs w:val="24"/>
        </w:rPr>
        <w:t>niversity</w:t>
      </w:r>
      <w:r w:rsidR="00237CF0">
        <w:rPr>
          <w:rFonts w:ascii="Tahoma" w:hAnsi="Tahoma" w:cs="Tahoma"/>
          <w:sz w:val="24"/>
          <w:szCs w:val="24"/>
        </w:rPr>
        <w:t>’s value</w:t>
      </w:r>
      <w:r w:rsidR="00237CF0" w:rsidRPr="00237CF0">
        <w:rPr>
          <w:rFonts w:ascii="Tahoma" w:hAnsi="Tahoma" w:cs="Tahoma"/>
          <w:sz w:val="24"/>
          <w:szCs w:val="24"/>
        </w:rPr>
        <w:t xml:space="preserve"> to its surrounding region</w:t>
      </w:r>
      <w:r w:rsidR="00237CF0">
        <w:rPr>
          <w:rFonts w:ascii="Tahoma" w:hAnsi="Tahoma" w:cs="Tahoma"/>
          <w:sz w:val="24"/>
          <w:szCs w:val="24"/>
        </w:rPr>
        <w:t>.</w:t>
      </w:r>
      <w:r w:rsidR="00237CF0" w:rsidRPr="00237CF0">
        <w:rPr>
          <w:rFonts w:ascii="Tahoma" w:hAnsi="Tahoma" w:cs="Tahoma"/>
          <w:sz w:val="24"/>
          <w:szCs w:val="24"/>
        </w:rPr>
        <w:t xml:space="preserve"> </w:t>
      </w:r>
      <w:r w:rsidRPr="005B37B4">
        <w:rPr>
          <w:rFonts w:ascii="Tahoma" w:hAnsi="Tahoma" w:cs="Tahoma"/>
          <w:sz w:val="24"/>
          <w:szCs w:val="24"/>
        </w:rPr>
        <w:t xml:space="preserve">The impact and reach of The Philip Astley Project suggest </w:t>
      </w:r>
      <w:r w:rsidR="00237CF0">
        <w:rPr>
          <w:rFonts w:ascii="Tahoma" w:hAnsi="Tahoma" w:cs="Tahoma"/>
          <w:sz w:val="24"/>
          <w:szCs w:val="24"/>
        </w:rPr>
        <w:t>this</w:t>
      </w:r>
      <w:r w:rsidRPr="005B37B4">
        <w:rPr>
          <w:rFonts w:ascii="Tahoma" w:hAnsi="Tahoma" w:cs="Tahoma"/>
          <w:sz w:val="24"/>
          <w:szCs w:val="24"/>
        </w:rPr>
        <w:t xml:space="preserve"> </w:t>
      </w:r>
      <w:r w:rsidR="00DF2C36">
        <w:rPr>
          <w:rFonts w:ascii="Tahoma" w:hAnsi="Tahoma" w:cs="Tahoma"/>
          <w:sz w:val="24"/>
          <w:szCs w:val="24"/>
        </w:rPr>
        <w:t xml:space="preserve">approach </w:t>
      </w:r>
      <w:r w:rsidRPr="005B37B4">
        <w:rPr>
          <w:rFonts w:ascii="Tahoma" w:hAnsi="Tahoma" w:cs="Tahoma"/>
          <w:sz w:val="24"/>
          <w:szCs w:val="24"/>
        </w:rPr>
        <w:t xml:space="preserve">is worth exploring. </w:t>
      </w:r>
    </w:p>
    <w:p w:rsidR="00B40978" w:rsidRDefault="00C55147" w:rsidP="00351480">
      <w:pPr>
        <w:spacing w:line="360" w:lineRule="auto"/>
        <w:rPr>
          <w:rFonts w:ascii="Tahoma" w:hAnsi="Tahoma" w:cs="Tahoma"/>
          <w:sz w:val="24"/>
          <w:szCs w:val="24"/>
        </w:rPr>
      </w:pPr>
      <w:r w:rsidRPr="005B37B4">
        <w:rPr>
          <w:rFonts w:ascii="Tahoma" w:hAnsi="Tahoma" w:cs="Tahoma"/>
          <w:sz w:val="24"/>
          <w:szCs w:val="24"/>
        </w:rPr>
        <w:t>Co-production research is a dynamic method, which relies upon inclusion and respect between practitioner</w:t>
      </w:r>
      <w:r w:rsidR="00974518" w:rsidRPr="005B37B4">
        <w:rPr>
          <w:rFonts w:ascii="Tahoma" w:hAnsi="Tahoma" w:cs="Tahoma"/>
          <w:sz w:val="24"/>
          <w:szCs w:val="24"/>
        </w:rPr>
        <w:t>s from a range of backgrounds</w:t>
      </w:r>
      <w:r w:rsidR="00B40978" w:rsidRPr="005B37B4">
        <w:rPr>
          <w:rFonts w:ascii="Tahoma" w:hAnsi="Tahoma" w:cs="Tahoma"/>
          <w:sz w:val="24"/>
          <w:szCs w:val="24"/>
        </w:rPr>
        <w:t xml:space="preserve"> and experience</w:t>
      </w:r>
      <w:r w:rsidRPr="005B37B4">
        <w:rPr>
          <w:rFonts w:ascii="Tahoma" w:hAnsi="Tahoma" w:cs="Tahoma"/>
          <w:sz w:val="24"/>
          <w:szCs w:val="24"/>
        </w:rPr>
        <w:t xml:space="preserve">. It opens the boundaries of knowledge by embracing an openness to bi-directional knowledge creation. </w:t>
      </w:r>
      <w:r w:rsidR="007448DF" w:rsidRPr="005B37B4">
        <w:rPr>
          <w:rFonts w:ascii="Tahoma" w:hAnsi="Tahoma" w:cs="Tahoma"/>
          <w:sz w:val="24"/>
          <w:szCs w:val="24"/>
        </w:rPr>
        <w:t>This involves a rethinking of the traditional academic’s role in knowledge creation.</w:t>
      </w:r>
      <w:r w:rsidR="00B40978" w:rsidRPr="005B37B4">
        <w:rPr>
          <w:rFonts w:ascii="Tahoma" w:hAnsi="Tahoma" w:cs="Tahoma"/>
          <w:sz w:val="24"/>
          <w:szCs w:val="24"/>
        </w:rPr>
        <w:t xml:space="preserve"> In terms of widening participation, it also moves away from a traditional view of reaching out to those excluded from higher education to one which acknowledges and embraces that those </w:t>
      </w:r>
      <w:r w:rsidR="00B40978" w:rsidRPr="005B37B4">
        <w:rPr>
          <w:rFonts w:ascii="Tahoma" w:hAnsi="Tahoma" w:cs="Tahoma"/>
          <w:sz w:val="24"/>
          <w:szCs w:val="24"/>
        </w:rPr>
        <w:lastRenderedPageBreak/>
        <w:t>traditional</w:t>
      </w:r>
      <w:r w:rsidR="00692F35" w:rsidRPr="005B37B4">
        <w:rPr>
          <w:rFonts w:ascii="Tahoma" w:hAnsi="Tahoma" w:cs="Tahoma"/>
          <w:sz w:val="24"/>
          <w:szCs w:val="24"/>
        </w:rPr>
        <w:t>ly</w:t>
      </w:r>
      <w:r w:rsidR="00B40978" w:rsidRPr="005B37B4">
        <w:rPr>
          <w:rFonts w:ascii="Tahoma" w:hAnsi="Tahoma" w:cs="Tahoma"/>
          <w:sz w:val="24"/>
          <w:szCs w:val="24"/>
        </w:rPr>
        <w:t xml:space="preserve"> excluded also</w:t>
      </w:r>
      <w:r w:rsidR="00692F35" w:rsidRPr="005B37B4">
        <w:rPr>
          <w:rFonts w:ascii="Tahoma" w:hAnsi="Tahoma" w:cs="Tahoma"/>
          <w:sz w:val="24"/>
          <w:szCs w:val="24"/>
        </w:rPr>
        <w:t xml:space="preserve"> have</w:t>
      </w:r>
      <w:r w:rsidR="00B40978" w:rsidRPr="005B37B4">
        <w:rPr>
          <w:rFonts w:ascii="Tahoma" w:hAnsi="Tahoma" w:cs="Tahoma"/>
          <w:sz w:val="24"/>
          <w:szCs w:val="24"/>
        </w:rPr>
        <w:t xml:space="preserve"> knowledge that can be useful to universities. This counteracts a view of universities as ivory towers and </w:t>
      </w:r>
      <w:r w:rsidR="00837077">
        <w:rPr>
          <w:rFonts w:ascii="Tahoma" w:hAnsi="Tahoma" w:cs="Tahoma"/>
          <w:sz w:val="24"/>
          <w:szCs w:val="24"/>
        </w:rPr>
        <w:t xml:space="preserve">it </w:t>
      </w:r>
      <w:r w:rsidR="00B40978" w:rsidRPr="005B37B4">
        <w:rPr>
          <w:rFonts w:ascii="Tahoma" w:hAnsi="Tahoma" w:cs="Tahoma"/>
          <w:sz w:val="24"/>
          <w:szCs w:val="24"/>
        </w:rPr>
        <w:t xml:space="preserve">has </w:t>
      </w:r>
      <w:r w:rsidR="00837077">
        <w:rPr>
          <w:rFonts w:ascii="Tahoma" w:hAnsi="Tahoma" w:cs="Tahoma"/>
          <w:sz w:val="24"/>
          <w:szCs w:val="24"/>
        </w:rPr>
        <w:t xml:space="preserve">also </w:t>
      </w:r>
      <w:r w:rsidR="00B40978" w:rsidRPr="005B37B4">
        <w:rPr>
          <w:rFonts w:ascii="Tahoma" w:hAnsi="Tahoma" w:cs="Tahoma"/>
          <w:sz w:val="24"/>
          <w:szCs w:val="24"/>
        </w:rPr>
        <w:t>the potential to enable wider participation by making people feel universities are accessible spaces</w:t>
      </w:r>
      <w:r w:rsidR="00837077">
        <w:rPr>
          <w:rFonts w:ascii="Tahoma" w:hAnsi="Tahoma" w:cs="Tahoma"/>
          <w:sz w:val="24"/>
          <w:szCs w:val="24"/>
        </w:rPr>
        <w:t xml:space="preserve"> which</w:t>
      </w:r>
      <w:r w:rsidR="00B40978" w:rsidRPr="005B37B4">
        <w:rPr>
          <w:rFonts w:ascii="Tahoma" w:hAnsi="Tahoma" w:cs="Tahoma"/>
          <w:sz w:val="24"/>
          <w:szCs w:val="24"/>
        </w:rPr>
        <w:t xml:space="preserve"> contribut</w:t>
      </w:r>
      <w:r w:rsidR="00837077">
        <w:rPr>
          <w:rFonts w:ascii="Tahoma" w:hAnsi="Tahoma" w:cs="Tahoma"/>
          <w:sz w:val="24"/>
          <w:szCs w:val="24"/>
        </w:rPr>
        <w:t>e</w:t>
      </w:r>
      <w:r w:rsidR="00B40978" w:rsidRPr="005B37B4">
        <w:rPr>
          <w:rFonts w:ascii="Tahoma" w:hAnsi="Tahoma" w:cs="Tahoma"/>
          <w:sz w:val="24"/>
          <w:szCs w:val="24"/>
        </w:rPr>
        <w:t xml:space="preserve"> positively to the areas </w:t>
      </w:r>
      <w:r w:rsidR="00837077">
        <w:rPr>
          <w:rFonts w:ascii="Tahoma" w:hAnsi="Tahoma" w:cs="Tahoma"/>
          <w:sz w:val="24"/>
          <w:szCs w:val="24"/>
        </w:rPr>
        <w:t>where</w:t>
      </w:r>
      <w:r w:rsidR="00B40978" w:rsidRPr="005B37B4">
        <w:rPr>
          <w:rFonts w:ascii="Tahoma" w:hAnsi="Tahoma" w:cs="Tahoma"/>
          <w:sz w:val="24"/>
          <w:szCs w:val="24"/>
        </w:rPr>
        <w:t xml:space="preserve"> they are located and to which the public too can contribute.</w:t>
      </w:r>
      <w:r w:rsidR="00237CF0">
        <w:rPr>
          <w:rFonts w:ascii="Tahoma" w:hAnsi="Tahoma" w:cs="Tahoma"/>
          <w:sz w:val="24"/>
          <w:szCs w:val="24"/>
        </w:rPr>
        <w:t xml:space="preserve"> </w:t>
      </w:r>
    </w:p>
    <w:p w:rsidR="00237CF0" w:rsidRDefault="00237CF0" w:rsidP="00351480">
      <w:pPr>
        <w:spacing w:line="360" w:lineRule="auto"/>
        <w:rPr>
          <w:rFonts w:ascii="Tahoma" w:hAnsi="Tahoma" w:cs="Tahoma"/>
          <w:sz w:val="24"/>
          <w:szCs w:val="24"/>
        </w:rPr>
      </w:pPr>
      <w:r>
        <w:rPr>
          <w:rFonts w:ascii="Tahoma" w:hAnsi="Tahoma" w:cs="Tahoma"/>
          <w:sz w:val="24"/>
          <w:szCs w:val="24"/>
        </w:rPr>
        <w:t>This bi-directional knowledge exchange</w:t>
      </w:r>
      <w:r w:rsidR="00A84765">
        <w:rPr>
          <w:rFonts w:ascii="Tahoma" w:hAnsi="Tahoma" w:cs="Tahoma"/>
          <w:sz w:val="24"/>
          <w:szCs w:val="24"/>
        </w:rPr>
        <w:t xml:space="preserve">, as outlined </w:t>
      </w:r>
      <w:r w:rsidR="00A84765" w:rsidRPr="00837077">
        <w:rPr>
          <w:rFonts w:ascii="Tahoma" w:hAnsi="Tahoma" w:cs="Tahoma"/>
          <w:sz w:val="24"/>
          <w:szCs w:val="24"/>
        </w:rPr>
        <w:t>in Culture 3.0 theories</w:t>
      </w:r>
      <w:r w:rsidR="00A84765">
        <w:rPr>
          <w:rFonts w:ascii="Tahoma" w:hAnsi="Tahoma" w:cs="Tahoma"/>
          <w:sz w:val="24"/>
          <w:szCs w:val="24"/>
        </w:rPr>
        <w:t xml:space="preserve">, has the advantage of increasing engagement with the new knowledge created. This was particularly beneficial in this case study where the research output was aimed at a general audience and where high public engagement was a central aim. As a longer-term view it would be interesting to follow-up with participants in this and similar projects, to find out if their involvement with </w:t>
      </w:r>
      <w:r w:rsidR="007870A1">
        <w:rPr>
          <w:rFonts w:ascii="Tahoma" w:hAnsi="Tahoma" w:cs="Tahoma"/>
          <w:sz w:val="24"/>
          <w:szCs w:val="24"/>
        </w:rPr>
        <w:t>Staffordshire</w:t>
      </w:r>
      <w:r w:rsidR="00A84765">
        <w:rPr>
          <w:rFonts w:ascii="Tahoma" w:hAnsi="Tahoma" w:cs="Tahoma"/>
          <w:sz w:val="24"/>
          <w:szCs w:val="24"/>
        </w:rPr>
        <w:t xml:space="preserve"> University changed their perception of higher education and/or influenced a decision for themselves or someone close to them to enter higher education at a future date.</w:t>
      </w:r>
    </w:p>
    <w:p w:rsidR="00837077" w:rsidRDefault="00837077" w:rsidP="00351480">
      <w:pPr>
        <w:spacing w:line="360" w:lineRule="auto"/>
        <w:rPr>
          <w:rFonts w:ascii="Tahoma" w:hAnsi="Tahoma" w:cs="Tahoma"/>
          <w:sz w:val="24"/>
          <w:szCs w:val="24"/>
        </w:rPr>
      </w:pPr>
    </w:p>
    <w:p w:rsidR="00510678" w:rsidRPr="005B37B4" w:rsidRDefault="00510678" w:rsidP="00351480">
      <w:pPr>
        <w:spacing w:line="360" w:lineRule="auto"/>
        <w:rPr>
          <w:rFonts w:ascii="Tahoma" w:hAnsi="Tahoma" w:cs="Tahoma"/>
          <w:b/>
          <w:sz w:val="28"/>
          <w:szCs w:val="28"/>
        </w:rPr>
      </w:pPr>
      <w:r w:rsidRPr="005B37B4">
        <w:rPr>
          <w:rFonts w:ascii="Tahoma" w:hAnsi="Tahoma" w:cs="Tahoma"/>
          <w:b/>
          <w:sz w:val="28"/>
          <w:szCs w:val="28"/>
        </w:rPr>
        <w:t>Concluding thoughts</w:t>
      </w:r>
    </w:p>
    <w:p w:rsidR="00C55147" w:rsidRPr="005B37B4" w:rsidRDefault="00970B7C" w:rsidP="00351480">
      <w:pPr>
        <w:spacing w:line="360" w:lineRule="auto"/>
        <w:rPr>
          <w:rFonts w:ascii="Tahoma" w:hAnsi="Tahoma" w:cs="Tahoma"/>
          <w:sz w:val="24"/>
          <w:szCs w:val="24"/>
        </w:rPr>
      </w:pPr>
      <w:r w:rsidRPr="005B37B4">
        <w:rPr>
          <w:rFonts w:ascii="Tahoma" w:hAnsi="Tahoma" w:cs="Tahoma"/>
          <w:sz w:val="24"/>
          <w:szCs w:val="24"/>
        </w:rPr>
        <w:t xml:space="preserve">This paper looked at </w:t>
      </w:r>
      <w:r w:rsidR="00A92062">
        <w:rPr>
          <w:rFonts w:ascii="Tahoma" w:hAnsi="Tahoma" w:cs="Tahoma"/>
          <w:sz w:val="24"/>
          <w:szCs w:val="24"/>
        </w:rPr>
        <w:t>h</w:t>
      </w:r>
      <w:r w:rsidRPr="005B37B4">
        <w:rPr>
          <w:rFonts w:ascii="Tahoma" w:hAnsi="Tahoma" w:cs="Tahoma"/>
          <w:sz w:val="24"/>
          <w:szCs w:val="24"/>
        </w:rPr>
        <w:t xml:space="preserve">igher </w:t>
      </w:r>
      <w:r w:rsidR="00A92062">
        <w:rPr>
          <w:rFonts w:ascii="Tahoma" w:hAnsi="Tahoma" w:cs="Tahoma"/>
          <w:sz w:val="24"/>
          <w:szCs w:val="24"/>
        </w:rPr>
        <w:t>e</w:t>
      </w:r>
      <w:r w:rsidRPr="005B37B4">
        <w:rPr>
          <w:rFonts w:ascii="Tahoma" w:hAnsi="Tahoma" w:cs="Tahoma"/>
          <w:sz w:val="24"/>
          <w:szCs w:val="24"/>
        </w:rPr>
        <w:t>ducation agendas of widening participation and the civic university through the lens of co-ownership and co-production as described in the Culture 3.0 concept</w:t>
      </w:r>
      <w:r w:rsidR="002D557C" w:rsidRPr="005B37B4">
        <w:rPr>
          <w:rFonts w:ascii="Tahoma" w:hAnsi="Tahoma" w:cs="Tahoma"/>
          <w:sz w:val="24"/>
          <w:szCs w:val="24"/>
        </w:rPr>
        <w:t>ualisation</w:t>
      </w:r>
      <w:r w:rsidR="007870A1">
        <w:rPr>
          <w:rFonts w:ascii="Tahoma" w:hAnsi="Tahoma" w:cs="Tahoma"/>
          <w:sz w:val="24"/>
          <w:szCs w:val="24"/>
        </w:rPr>
        <w:t xml:space="preserve"> (</w:t>
      </w:r>
      <w:r w:rsidR="007870A1" w:rsidRPr="00C458AF">
        <w:rPr>
          <w:rFonts w:ascii="Tahoma" w:hAnsi="Tahoma" w:cs="Tahoma"/>
          <w:noProof/>
          <w:sz w:val="24"/>
          <w:szCs w:val="24"/>
        </w:rPr>
        <w:t>Boehm, 2016)</w:t>
      </w:r>
      <w:r w:rsidR="002D557C" w:rsidRPr="005B37B4">
        <w:rPr>
          <w:rFonts w:ascii="Tahoma" w:hAnsi="Tahoma" w:cs="Tahoma"/>
          <w:sz w:val="24"/>
          <w:szCs w:val="24"/>
        </w:rPr>
        <w:t xml:space="preserve">. </w:t>
      </w:r>
      <w:r w:rsidRPr="005B37B4">
        <w:rPr>
          <w:rFonts w:ascii="Tahoma" w:hAnsi="Tahoma" w:cs="Tahoma"/>
          <w:sz w:val="24"/>
          <w:szCs w:val="24"/>
        </w:rPr>
        <w:t xml:space="preserve">Public engagement and co-production were at the heart of the research strategy for </w:t>
      </w:r>
      <w:r w:rsidR="008146D4" w:rsidRPr="005B37B4">
        <w:rPr>
          <w:rFonts w:ascii="Tahoma" w:hAnsi="Tahoma" w:cs="Tahoma"/>
          <w:sz w:val="24"/>
          <w:szCs w:val="24"/>
        </w:rPr>
        <w:t>T</w:t>
      </w:r>
      <w:r w:rsidRPr="005B37B4">
        <w:rPr>
          <w:rFonts w:ascii="Tahoma" w:hAnsi="Tahoma" w:cs="Tahoma"/>
          <w:sz w:val="24"/>
          <w:szCs w:val="24"/>
        </w:rPr>
        <w:t>he Philip Astley Project.</w:t>
      </w:r>
      <w:r w:rsidR="002D557C" w:rsidRPr="005B37B4">
        <w:rPr>
          <w:rFonts w:ascii="Tahoma" w:hAnsi="Tahoma" w:cs="Tahoma"/>
          <w:sz w:val="24"/>
          <w:szCs w:val="24"/>
        </w:rPr>
        <w:t xml:space="preserve"> This allowed researchers to develop new effective and impactful methods due to the immediacy of involving communities in the methodology of a project and being responsive to bi-directional knowledge transfer that was applied immediately for inherent impact. </w:t>
      </w:r>
    </w:p>
    <w:p w:rsidR="00A92062" w:rsidRDefault="002D557C" w:rsidP="00351480">
      <w:pPr>
        <w:spacing w:line="360" w:lineRule="auto"/>
        <w:rPr>
          <w:rFonts w:ascii="Tahoma" w:hAnsi="Tahoma" w:cs="Tahoma"/>
          <w:sz w:val="24"/>
          <w:szCs w:val="24"/>
        </w:rPr>
      </w:pPr>
      <w:r w:rsidRPr="005B37B4">
        <w:rPr>
          <w:rFonts w:ascii="Tahoma" w:hAnsi="Tahoma" w:cs="Tahoma"/>
          <w:sz w:val="24"/>
          <w:szCs w:val="24"/>
        </w:rPr>
        <w:t xml:space="preserve">The deep level of involvement from community members and diverse stakeholders created a strong commitment to the project that helped drive a wider impact. </w:t>
      </w:r>
      <w:r w:rsidR="00A92062">
        <w:rPr>
          <w:rFonts w:ascii="Tahoma" w:hAnsi="Tahoma" w:cs="Tahoma"/>
          <w:sz w:val="24"/>
          <w:szCs w:val="24"/>
        </w:rPr>
        <w:t>The scale of the project and strength of the partnerships also offered opportunities for students to engage more fully in the cultural life of the area.</w:t>
      </w:r>
    </w:p>
    <w:p w:rsidR="00F311E2" w:rsidRDefault="002D557C" w:rsidP="00351480">
      <w:pPr>
        <w:spacing w:line="360" w:lineRule="auto"/>
        <w:rPr>
          <w:rFonts w:ascii="Tahoma" w:hAnsi="Tahoma" w:cs="Tahoma"/>
          <w:sz w:val="24"/>
          <w:szCs w:val="24"/>
        </w:rPr>
      </w:pPr>
      <w:r w:rsidRPr="005B37B4">
        <w:rPr>
          <w:rFonts w:ascii="Tahoma" w:hAnsi="Tahoma" w:cs="Tahoma"/>
          <w:sz w:val="24"/>
          <w:szCs w:val="24"/>
        </w:rPr>
        <w:lastRenderedPageBreak/>
        <w:t xml:space="preserve">More research is needed to give confirmative results on the long-term impact of such projects and their significance in expanding and strengthening a university’s civic role. However, the impact of the Philip Astley Project suggests there </w:t>
      </w:r>
      <w:r w:rsidR="001518B6" w:rsidRPr="005B37B4">
        <w:rPr>
          <w:rFonts w:ascii="Tahoma" w:hAnsi="Tahoma" w:cs="Tahoma"/>
          <w:sz w:val="24"/>
          <w:szCs w:val="24"/>
        </w:rPr>
        <w:t>could be</w:t>
      </w:r>
      <w:r w:rsidRPr="005B37B4">
        <w:rPr>
          <w:rFonts w:ascii="Tahoma" w:hAnsi="Tahoma" w:cs="Tahoma"/>
          <w:sz w:val="24"/>
          <w:szCs w:val="24"/>
        </w:rPr>
        <w:t xml:space="preserve"> great potential in exploring </w:t>
      </w:r>
      <w:r w:rsidR="001518B6" w:rsidRPr="005B37B4">
        <w:rPr>
          <w:rFonts w:ascii="Tahoma" w:hAnsi="Tahoma" w:cs="Tahoma"/>
          <w:sz w:val="24"/>
          <w:szCs w:val="24"/>
        </w:rPr>
        <w:t>a Culture 3.0 framework for universities looking to deepen their civic roles and create more impactful research in their immediate localities.</w:t>
      </w:r>
    </w:p>
    <w:p w:rsidR="007870A1" w:rsidRPr="005B37B4" w:rsidRDefault="007870A1" w:rsidP="00351480">
      <w:pPr>
        <w:spacing w:line="360" w:lineRule="auto"/>
        <w:rPr>
          <w:rFonts w:ascii="Tahoma" w:hAnsi="Tahoma" w:cs="Tahoma"/>
          <w:sz w:val="24"/>
          <w:szCs w:val="24"/>
        </w:rPr>
      </w:pPr>
    </w:p>
    <w:p w:rsidR="000B5A49" w:rsidRPr="005B37B4" w:rsidRDefault="000B5A49" w:rsidP="00351480">
      <w:pPr>
        <w:spacing w:line="360" w:lineRule="auto"/>
        <w:rPr>
          <w:rFonts w:ascii="Tahoma" w:hAnsi="Tahoma" w:cs="Tahoma"/>
          <w:b/>
          <w:sz w:val="28"/>
          <w:szCs w:val="28"/>
        </w:rPr>
      </w:pPr>
      <w:r w:rsidRPr="005B37B4">
        <w:rPr>
          <w:rFonts w:ascii="Tahoma" w:hAnsi="Tahoma" w:cs="Tahoma"/>
          <w:b/>
          <w:sz w:val="28"/>
          <w:szCs w:val="28"/>
        </w:rPr>
        <w:t>Declaration of interests</w:t>
      </w:r>
    </w:p>
    <w:p w:rsidR="00F311E2" w:rsidRPr="005B37B4" w:rsidRDefault="00F311E2" w:rsidP="00351480">
      <w:pPr>
        <w:spacing w:line="360" w:lineRule="auto"/>
        <w:rPr>
          <w:rFonts w:ascii="Tahoma" w:hAnsi="Tahoma" w:cs="Tahoma"/>
          <w:sz w:val="24"/>
          <w:szCs w:val="24"/>
        </w:rPr>
      </w:pPr>
      <w:r w:rsidRPr="005B37B4">
        <w:rPr>
          <w:rFonts w:ascii="Tahoma" w:hAnsi="Tahoma" w:cs="Tahoma"/>
          <w:sz w:val="24"/>
          <w:szCs w:val="24"/>
        </w:rPr>
        <w:t>All materials included in this article represent the author</w:t>
      </w:r>
      <w:r w:rsidR="000B5A49" w:rsidRPr="005B37B4">
        <w:rPr>
          <w:rFonts w:ascii="Tahoma" w:hAnsi="Tahoma" w:cs="Tahoma"/>
          <w:sz w:val="24"/>
          <w:szCs w:val="24"/>
        </w:rPr>
        <w:t>’</w:t>
      </w:r>
      <w:r w:rsidRPr="005B37B4">
        <w:rPr>
          <w:rFonts w:ascii="Tahoma" w:hAnsi="Tahoma" w:cs="Tahoma"/>
          <w:sz w:val="24"/>
          <w:szCs w:val="24"/>
        </w:rPr>
        <w:t>s own work and anything cited or paraphrased within the text is included in the reference list.</w:t>
      </w:r>
    </w:p>
    <w:p w:rsidR="00F311E2" w:rsidRPr="005B37B4" w:rsidRDefault="00F311E2" w:rsidP="00351480">
      <w:pPr>
        <w:spacing w:line="360" w:lineRule="auto"/>
        <w:rPr>
          <w:rFonts w:ascii="Tahoma" w:hAnsi="Tahoma" w:cs="Tahoma"/>
          <w:sz w:val="24"/>
          <w:szCs w:val="24"/>
        </w:rPr>
      </w:pPr>
      <w:r w:rsidRPr="005B37B4">
        <w:rPr>
          <w:rFonts w:ascii="Tahoma" w:hAnsi="Tahoma" w:cs="Tahoma"/>
          <w:sz w:val="24"/>
          <w:szCs w:val="24"/>
        </w:rPr>
        <w:t xml:space="preserve">The work has not been previously published nor is it is being considered for publication elsewhere.  </w:t>
      </w:r>
    </w:p>
    <w:p w:rsidR="00F311E2" w:rsidRPr="005B37B4" w:rsidRDefault="00F311E2" w:rsidP="00351480">
      <w:pPr>
        <w:spacing w:line="360" w:lineRule="auto"/>
        <w:rPr>
          <w:rFonts w:ascii="Tahoma" w:hAnsi="Tahoma" w:cs="Tahoma"/>
          <w:sz w:val="24"/>
          <w:szCs w:val="24"/>
        </w:rPr>
      </w:pPr>
      <w:r w:rsidRPr="005B37B4">
        <w:rPr>
          <w:rFonts w:ascii="Tahoma" w:hAnsi="Tahoma" w:cs="Tahoma"/>
          <w:sz w:val="24"/>
          <w:szCs w:val="24"/>
        </w:rPr>
        <w:t>Th</w:t>
      </w:r>
      <w:r w:rsidR="00974518" w:rsidRPr="005B37B4">
        <w:rPr>
          <w:rFonts w:ascii="Tahoma" w:hAnsi="Tahoma" w:cs="Tahoma"/>
          <w:sz w:val="24"/>
          <w:szCs w:val="24"/>
        </w:rPr>
        <w:t xml:space="preserve">e Philip Astley Project </w:t>
      </w:r>
      <w:r w:rsidR="000B5A49" w:rsidRPr="005B37B4">
        <w:rPr>
          <w:rFonts w:ascii="Tahoma" w:hAnsi="Tahoma" w:cs="Tahoma"/>
          <w:sz w:val="24"/>
          <w:szCs w:val="24"/>
        </w:rPr>
        <w:t xml:space="preserve">was sponsored by </w:t>
      </w:r>
      <w:r w:rsidR="00B2380F" w:rsidRPr="005B37B4">
        <w:rPr>
          <w:rFonts w:ascii="Tahoma" w:hAnsi="Tahoma" w:cs="Tahoma"/>
          <w:sz w:val="24"/>
          <w:szCs w:val="24"/>
        </w:rPr>
        <w:t>a grant from the National Lottery Heritage Fund.</w:t>
      </w:r>
    </w:p>
    <w:p w:rsidR="00BB1B65" w:rsidRPr="005B37B4" w:rsidRDefault="00974518" w:rsidP="00351480">
      <w:pPr>
        <w:spacing w:line="360" w:lineRule="auto"/>
        <w:rPr>
          <w:rFonts w:ascii="Tahoma" w:hAnsi="Tahoma" w:cs="Tahoma"/>
          <w:sz w:val="24"/>
          <w:szCs w:val="24"/>
        </w:rPr>
      </w:pPr>
      <w:r w:rsidRPr="005B37B4">
        <w:rPr>
          <w:rFonts w:ascii="Tahoma" w:hAnsi="Tahoma" w:cs="Tahoma"/>
          <w:sz w:val="24"/>
          <w:szCs w:val="24"/>
        </w:rPr>
        <w:t>The author declares no</w:t>
      </w:r>
      <w:r w:rsidR="00BB1B65" w:rsidRPr="005B37B4">
        <w:rPr>
          <w:rFonts w:ascii="Tahoma" w:hAnsi="Tahoma" w:cs="Tahoma"/>
          <w:sz w:val="24"/>
          <w:szCs w:val="24"/>
        </w:rPr>
        <w:t xml:space="preserve"> conflict of interest.</w:t>
      </w:r>
    </w:p>
    <w:p w:rsidR="007870A1" w:rsidRDefault="007870A1" w:rsidP="00351480">
      <w:pPr>
        <w:spacing w:line="360" w:lineRule="auto"/>
        <w:rPr>
          <w:rFonts w:ascii="Tahoma" w:hAnsi="Tahoma" w:cs="Tahoma"/>
          <w:b/>
          <w:sz w:val="28"/>
          <w:szCs w:val="28"/>
        </w:rPr>
      </w:pPr>
    </w:p>
    <w:p w:rsidR="00510678" w:rsidRPr="005B37B4" w:rsidRDefault="00510678" w:rsidP="00351480">
      <w:pPr>
        <w:spacing w:line="360" w:lineRule="auto"/>
        <w:rPr>
          <w:rFonts w:ascii="Tahoma" w:hAnsi="Tahoma" w:cs="Tahoma"/>
          <w:b/>
          <w:sz w:val="28"/>
          <w:szCs w:val="28"/>
        </w:rPr>
      </w:pPr>
      <w:r w:rsidRPr="005B37B4">
        <w:rPr>
          <w:rFonts w:ascii="Tahoma" w:hAnsi="Tahoma" w:cs="Tahoma"/>
          <w:b/>
          <w:sz w:val="28"/>
          <w:szCs w:val="28"/>
        </w:rPr>
        <w:t>References</w:t>
      </w:r>
    </w:p>
    <w:p w:rsidR="00C458AF" w:rsidRPr="00C458AF" w:rsidRDefault="003A5112" w:rsidP="00351480">
      <w:pPr>
        <w:widowControl w:val="0"/>
        <w:autoSpaceDE w:val="0"/>
        <w:autoSpaceDN w:val="0"/>
        <w:adjustRightInd w:val="0"/>
        <w:spacing w:line="360" w:lineRule="auto"/>
        <w:rPr>
          <w:rFonts w:ascii="Tahoma" w:hAnsi="Tahoma" w:cs="Tahoma"/>
          <w:noProof/>
          <w:sz w:val="24"/>
          <w:szCs w:val="24"/>
        </w:rPr>
      </w:pPr>
      <w:r w:rsidRPr="005B37B4">
        <w:rPr>
          <w:rFonts w:ascii="Tahoma" w:hAnsi="Tahoma" w:cs="Tahoma"/>
          <w:sz w:val="24"/>
          <w:szCs w:val="24"/>
        </w:rPr>
        <w:fldChar w:fldCharType="begin" w:fldLock="1"/>
      </w:r>
      <w:r w:rsidR="00510678" w:rsidRPr="005B37B4">
        <w:rPr>
          <w:rFonts w:ascii="Tahoma" w:hAnsi="Tahoma" w:cs="Tahoma"/>
          <w:sz w:val="24"/>
          <w:szCs w:val="24"/>
        </w:rPr>
        <w:instrText xml:space="preserve">ADDIN Mendeley Bibliography CSL_BIBLIOGRAPHY </w:instrText>
      </w:r>
      <w:r w:rsidRPr="005B37B4">
        <w:rPr>
          <w:rFonts w:ascii="Tahoma" w:hAnsi="Tahoma" w:cs="Tahoma"/>
          <w:sz w:val="24"/>
          <w:szCs w:val="24"/>
        </w:rPr>
        <w:fldChar w:fldCharType="separate"/>
      </w:r>
      <w:r w:rsidR="00C458AF" w:rsidRPr="00C458AF">
        <w:rPr>
          <w:rFonts w:ascii="Tahoma" w:hAnsi="Tahoma" w:cs="Tahoma"/>
          <w:noProof/>
          <w:sz w:val="24"/>
          <w:szCs w:val="24"/>
        </w:rPr>
        <w:t xml:space="preserve">Arts Council England (2018) </w:t>
      </w:r>
      <w:r w:rsidR="00C458AF" w:rsidRPr="00C458AF">
        <w:rPr>
          <w:rFonts w:ascii="Tahoma" w:hAnsi="Tahoma" w:cs="Tahoma"/>
          <w:i/>
          <w:iCs/>
          <w:noProof/>
          <w:sz w:val="24"/>
          <w:szCs w:val="24"/>
        </w:rPr>
        <w:t>The Active Lives Survey</w:t>
      </w:r>
      <w:r w:rsidR="00C458AF" w:rsidRPr="00C458AF">
        <w:rPr>
          <w:rFonts w:ascii="Tahoma" w:hAnsi="Tahoma" w:cs="Tahoma"/>
          <w:noProof/>
          <w:sz w:val="24"/>
          <w:szCs w:val="24"/>
        </w:rPr>
        <w:t>. [Online] [Accessed on 26th January 2020] https://www.artscouncil.org.uk/participating-and-attending/active-lives-survey.</w:t>
      </w:r>
    </w:p>
    <w:p w:rsidR="00C458AF" w:rsidRPr="00C458AF" w:rsidRDefault="00C458AF" w:rsidP="00351480">
      <w:pPr>
        <w:widowControl w:val="0"/>
        <w:autoSpaceDE w:val="0"/>
        <w:autoSpaceDN w:val="0"/>
        <w:adjustRightInd w:val="0"/>
        <w:spacing w:line="360" w:lineRule="auto"/>
        <w:rPr>
          <w:rFonts w:ascii="Tahoma" w:hAnsi="Tahoma" w:cs="Tahoma"/>
          <w:noProof/>
          <w:sz w:val="24"/>
          <w:szCs w:val="24"/>
        </w:rPr>
      </w:pPr>
      <w:r w:rsidRPr="00C458AF">
        <w:rPr>
          <w:rFonts w:ascii="Tahoma" w:hAnsi="Tahoma" w:cs="Tahoma"/>
          <w:noProof/>
          <w:sz w:val="24"/>
          <w:szCs w:val="24"/>
        </w:rPr>
        <w:t xml:space="preserve">Boehm, C. (2016) ‘Academia in Culture 3.0: a Crime story of Death and Rebirth (but also of Curation, Innovation and Sector Mash-ups).’ </w:t>
      </w:r>
      <w:r w:rsidRPr="00C458AF">
        <w:rPr>
          <w:rFonts w:ascii="Tahoma" w:hAnsi="Tahoma" w:cs="Tahoma"/>
          <w:i/>
          <w:iCs/>
          <w:noProof/>
          <w:sz w:val="24"/>
          <w:szCs w:val="24"/>
        </w:rPr>
        <w:t>REPERTÓRIO: Teatro &amp; Dança</w:t>
      </w:r>
      <w:r w:rsidRPr="00C458AF">
        <w:rPr>
          <w:rFonts w:ascii="Tahoma" w:hAnsi="Tahoma" w:cs="Tahoma"/>
          <w:noProof/>
          <w:sz w:val="24"/>
          <w:szCs w:val="24"/>
        </w:rPr>
        <w:t>, 19(27) pp. 37–48.</w:t>
      </w:r>
    </w:p>
    <w:p w:rsidR="00C458AF" w:rsidRPr="00C458AF" w:rsidRDefault="00C458AF" w:rsidP="00351480">
      <w:pPr>
        <w:widowControl w:val="0"/>
        <w:autoSpaceDE w:val="0"/>
        <w:autoSpaceDN w:val="0"/>
        <w:adjustRightInd w:val="0"/>
        <w:spacing w:line="360" w:lineRule="auto"/>
        <w:rPr>
          <w:rFonts w:ascii="Tahoma" w:hAnsi="Tahoma" w:cs="Tahoma"/>
          <w:noProof/>
          <w:sz w:val="24"/>
          <w:szCs w:val="24"/>
        </w:rPr>
      </w:pPr>
      <w:r w:rsidRPr="00C458AF">
        <w:rPr>
          <w:rFonts w:ascii="Tahoma" w:hAnsi="Tahoma" w:cs="Tahoma"/>
          <w:noProof/>
          <w:sz w:val="24"/>
          <w:szCs w:val="24"/>
        </w:rPr>
        <w:t xml:space="preserve">Dunne, J. and Lowe, M. (2018) ‘The </w:t>
      </w:r>
      <w:r w:rsidR="007870A1">
        <w:rPr>
          <w:rFonts w:ascii="Tahoma" w:hAnsi="Tahoma" w:cs="Tahoma"/>
          <w:noProof/>
          <w:sz w:val="24"/>
          <w:szCs w:val="24"/>
        </w:rPr>
        <w:t>U</w:t>
      </w:r>
      <w:r w:rsidRPr="00C458AF">
        <w:rPr>
          <w:rFonts w:ascii="Tahoma" w:hAnsi="Tahoma" w:cs="Tahoma"/>
          <w:noProof/>
          <w:sz w:val="24"/>
          <w:szCs w:val="24"/>
        </w:rPr>
        <w:t xml:space="preserve">niversity as </w:t>
      </w:r>
      <w:r w:rsidR="007870A1">
        <w:rPr>
          <w:rFonts w:ascii="Tahoma" w:hAnsi="Tahoma" w:cs="Tahoma"/>
          <w:noProof/>
          <w:sz w:val="24"/>
          <w:szCs w:val="24"/>
        </w:rPr>
        <w:t>an “A</w:t>
      </w:r>
      <w:r w:rsidRPr="00C458AF">
        <w:rPr>
          <w:rFonts w:ascii="Tahoma" w:hAnsi="Tahoma" w:cs="Tahoma"/>
          <w:noProof/>
          <w:sz w:val="24"/>
          <w:szCs w:val="24"/>
        </w:rPr>
        <w:t xml:space="preserve">nchor” for </w:t>
      </w:r>
      <w:r w:rsidR="007870A1">
        <w:rPr>
          <w:rFonts w:ascii="Tahoma" w:hAnsi="Tahoma" w:cs="Tahoma"/>
          <w:noProof/>
          <w:sz w:val="24"/>
          <w:szCs w:val="24"/>
        </w:rPr>
        <w:t>E</w:t>
      </w:r>
      <w:r w:rsidRPr="00C458AF">
        <w:rPr>
          <w:rFonts w:ascii="Tahoma" w:hAnsi="Tahoma" w:cs="Tahoma"/>
          <w:noProof/>
          <w:sz w:val="24"/>
          <w:szCs w:val="24"/>
        </w:rPr>
        <w:t xml:space="preserve">conomic and </w:t>
      </w:r>
      <w:r w:rsidR="007870A1">
        <w:rPr>
          <w:rFonts w:ascii="Tahoma" w:hAnsi="Tahoma" w:cs="Tahoma"/>
          <w:noProof/>
          <w:sz w:val="24"/>
          <w:szCs w:val="24"/>
        </w:rPr>
        <w:t>S</w:t>
      </w:r>
      <w:r w:rsidRPr="00C458AF">
        <w:rPr>
          <w:rFonts w:ascii="Tahoma" w:hAnsi="Tahoma" w:cs="Tahoma"/>
          <w:noProof/>
          <w:sz w:val="24"/>
          <w:szCs w:val="24"/>
        </w:rPr>
        <w:t xml:space="preserve">ocial </w:t>
      </w:r>
      <w:r w:rsidR="007870A1">
        <w:rPr>
          <w:rFonts w:ascii="Tahoma" w:hAnsi="Tahoma" w:cs="Tahoma"/>
          <w:noProof/>
          <w:sz w:val="24"/>
          <w:szCs w:val="24"/>
        </w:rPr>
        <w:t>R</w:t>
      </w:r>
      <w:r w:rsidRPr="00C458AF">
        <w:rPr>
          <w:rFonts w:ascii="Tahoma" w:hAnsi="Tahoma" w:cs="Tahoma"/>
          <w:noProof/>
          <w:sz w:val="24"/>
          <w:szCs w:val="24"/>
        </w:rPr>
        <w:t xml:space="preserve">egeneration: </w:t>
      </w:r>
      <w:r w:rsidR="007870A1">
        <w:rPr>
          <w:rFonts w:ascii="Tahoma" w:hAnsi="Tahoma" w:cs="Tahoma"/>
          <w:noProof/>
          <w:sz w:val="24"/>
          <w:szCs w:val="24"/>
        </w:rPr>
        <w:t>B</w:t>
      </w:r>
      <w:r w:rsidRPr="00C458AF">
        <w:rPr>
          <w:rFonts w:ascii="Tahoma" w:hAnsi="Tahoma" w:cs="Tahoma"/>
          <w:noProof/>
          <w:sz w:val="24"/>
          <w:szCs w:val="24"/>
        </w:rPr>
        <w:t xml:space="preserve">eyond </w:t>
      </w:r>
      <w:r w:rsidR="007870A1">
        <w:rPr>
          <w:rFonts w:ascii="Tahoma" w:hAnsi="Tahoma" w:cs="Tahoma"/>
          <w:noProof/>
          <w:sz w:val="24"/>
          <w:szCs w:val="24"/>
        </w:rPr>
        <w:t>S</w:t>
      </w:r>
      <w:r w:rsidRPr="00C458AF">
        <w:rPr>
          <w:rFonts w:ascii="Tahoma" w:hAnsi="Tahoma" w:cs="Tahoma"/>
          <w:noProof/>
          <w:sz w:val="24"/>
          <w:szCs w:val="24"/>
        </w:rPr>
        <w:t xml:space="preserve">chools </w:t>
      </w:r>
      <w:r w:rsidR="007870A1">
        <w:rPr>
          <w:rFonts w:ascii="Tahoma" w:hAnsi="Tahoma" w:cs="Tahoma"/>
          <w:noProof/>
          <w:sz w:val="24"/>
          <w:szCs w:val="24"/>
        </w:rPr>
        <w:t>E</w:t>
      </w:r>
      <w:r w:rsidRPr="00C458AF">
        <w:rPr>
          <w:rFonts w:ascii="Tahoma" w:hAnsi="Tahoma" w:cs="Tahoma"/>
          <w:noProof/>
          <w:sz w:val="24"/>
          <w:szCs w:val="24"/>
        </w:rPr>
        <w:t xml:space="preserve">ngagement.’ </w:t>
      </w:r>
      <w:r w:rsidRPr="00C458AF">
        <w:rPr>
          <w:rFonts w:ascii="Tahoma" w:hAnsi="Tahoma" w:cs="Tahoma"/>
          <w:i/>
          <w:iCs/>
          <w:noProof/>
          <w:sz w:val="24"/>
          <w:szCs w:val="24"/>
        </w:rPr>
        <w:t>Widening Participation and Lifelong Learning</w:t>
      </w:r>
      <w:r w:rsidRPr="00C458AF">
        <w:rPr>
          <w:rFonts w:ascii="Tahoma" w:hAnsi="Tahoma" w:cs="Tahoma"/>
          <w:noProof/>
          <w:sz w:val="24"/>
          <w:szCs w:val="24"/>
        </w:rPr>
        <w:t>, 20(2) pp. 51–68.</w:t>
      </w:r>
    </w:p>
    <w:p w:rsidR="00C458AF" w:rsidRPr="00C458AF" w:rsidRDefault="00C458AF" w:rsidP="00351480">
      <w:pPr>
        <w:widowControl w:val="0"/>
        <w:autoSpaceDE w:val="0"/>
        <w:autoSpaceDN w:val="0"/>
        <w:adjustRightInd w:val="0"/>
        <w:spacing w:line="360" w:lineRule="auto"/>
        <w:rPr>
          <w:rFonts w:ascii="Tahoma" w:hAnsi="Tahoma" w:cs="Tahoma"/>
          <w:noProof/>
          <w:sz w:val="24"/>
          <w:szCs w:val="24"/>
        </w:rPr>
      </w:pPr>
      <w:r w:rsidRPr="00C458AF">
        <w:rPr>
          <w:rFonts w:ascii="Tahoma" w:hAnsi="Tahoma" w:cs="Tahoma"/>
          <w:noProof/>
          <w:sz w:val="24"/>
          <w:szCs w:val="24"/>
        </w:rPr>
        <w:t xml:space="preserve">Goddard, J., Hazelkorn, E., Kempton, L. and Vallance, P. (2016) ‘Introduction: </w:t>
      </w:r>
      <w:r w:rsidR="007870A1">
        <w:rPr>
          <w:rFonts w:ascii="Tahoma" w:hAnsi="Tahoma" w:cs="Tahoma"/>
          <w:noProof/>
          <w:sz w:val="24"/>
          <w:szCs w:val="24"/>
        </w:rPr>
        <w:lastRenderedPageBreak/>
        <w:t>W</w:t>
      </w:r>
      <w:r w:rsidRPr="00C458AF">
        <w:rPr>
          <w:rFonts w:ascii="Tahoma" w:hAnsi="Tahoma" w:cs="Tahoma"/>
          <w:noProof/>
          <w:sz w:val="24"/>
          <w:szCs w:val="24"/>
        </w:rPr>
        <w:t xml:space="preserve">hy the </w:t>
      </w:r>
      <w:r w:rsidR="007870A1">
        <w:rPr>
          <w:rFonts w:ascii="Tahoma" w:hAnsi="Tahoma" w:cs="Tahoma"/>
          <w:noProof/>
          <w:sz w:val="24"/>
          <w:szCs w:val="24"/>
        </w:rPr>
        <w:t>C</w:t>
      </w:r>
      <w:r w:rsidRPr="00C458AF">
        <w:rPr>
          <w:rFonts w:ascii="Tahoma" w:hAnsi="Tahoma" w:cs="Tahoma"/>
          <w:noProof/>
          <w:sz w:val="24"/>
          <w:szCs w:val="24"/>
        </w:rPr>
        <w:t xml:space="preserve">ivic </w:t>
      </w:r>
      <w:r w:rsidR="007870A1">
        <w:rPr>
          <w:rFonts w:ascii="Tahoma" w:hAnsi="Tahoma" w:cs="Tahoma"/>
          <w:noProof/>
          <w:sz w:val="24"/>
          <w:szCs w:val="24"/>
        </w:rPr>
        <w:t>U</w:t>
      </w:r>
      <w:r w:rsidRPr="00C458AF">
        <w:rPr>
          <w:rFonts w:ascii="Tahoma" w:hAnsi="Tahoma" w:cs="Tahoma"/>
          <w:noProof/>
          <w:sz w:val="24"/>
          <w:szCs w:val="24"/>
        </w:rPr>
        <w:t xml:space="preserve">niversity?’ </w:t>
      </w:r>
      <w:r w:rsidRPr="00C458AF">
        <w:rPr>
          <w:rFonts w:ascii="Tahoma" w:hAnsi="Tahoma" w:cs="Tahoma"/>
          <w:i/>
          <w:iCs/>
          <w:noProof/>
          <w:sz w:val="24"/>
          <w:szCs w:val="24"/>
        </w:rPr>
        <w:t>The Civic University</w:t>
      </w:r>
      <w:r w:rsidRPr="00C458AF">
        <w:rPr>
          <w:rFonts w:ascii="Tahoma" w:hAnsi="Tahoma" w:cs="Tahoma"/>
          <w:noProof/>
          <w:sz w:val="24"/>
          <w:szCs w:val="24"/>
        </w:rPr>
        <w:t>, (November) pp. 3–15.</w:t>
      </w:r>
    </w:p>
    <w:p w:rsidR="00C458AF" w:rsidRPr="00C458AF" w:rsidRDefault="00C458AF" w:rsidP="00351480">
      <w:pPr>
        <w:widowControl w:val="0"/>
        <w:autoSpaceDE w:val="0"/>
        <w:autoSpaceDN w:val="0"/>
        <w:adjustRightInd w:val="0"/>
        <w:spacing w:line="360" w:lineRule="auto"/>
        <w:rPr>
          <w:rFonts w:ascii="Tahoma" w:hAnsi="Tahoma" w:cs="Tahoma"/>
          <w:noProof/>
          <w:sz w:val="24"/>
          <w:szCs w:val="24"/>
        </w:rPr>
      </w:pPr>
      <w:r w:rsidRPr="00C458AF">
        <w:rPr>
          <w:rFonts w:ascii="Tahoma" w:hAnsi="Tahoma" w:cs="Tahoma"/>
          <w:noProof/>
          <w:sz w:val="24"/>
          <w:szCs w:val="24"/>
        </w:rPr>
        <w:t xml:space="preserve">Goddard, J. and Vallance, P. (2012) ‘The </w:t>
      </w:r>
      <w:r w:rsidR="007870A1">
        <w:rPr>
          <w:rFonts w:ascii="Tahoma" w:hAnsi="Tahoma" w:cs="Tahoma"/>
          <w:noProof/>
          <w:sz w:val="24"/>
          <w:szCs w:val="24"/>
        </w:rPr>
        <w:t>C</w:t>
      </w:r>
      <w:r w:rsidRPr="00C458AF">
        <w:rPr>
          <w:rFonts w:ascii="Tahoma" w:hAnsi="Tahoma" w:cs="Tahoma"/>
          <w:noProof/>
          <w:sz w:val="24"/>
          <w:szCs w:val="24"/>
        </w:rPr>
        <w:t xml:space="preserve">ivic </w:t>
      </w:r>
      <w:r w:rsidR="007870A1">
        <w:rPr>
          <w:rFonts w:ascii="Tahoma" w:hAnsi="Tahoma" w:cs="Tahoma"/>
          <w:noProof/>
          <w:sz w:val="24"/>
          <w:szCs w:val="24"/>
        </w:rPr>
        <w:t>University: Connecting the G</w:t>
      </w:r>
      <w:r w:rsidRPr="00C458AF">
        <w:rPr>
          <w:rFonts w:ascii="Tahoma" w:hAnsi="Tahoma" w:cs="Tahoma"/>
          <w:noProof/>
          <w:sz w:val="24"/>
          <w:szCs w:val="24"/>
        </w:rPr>
        <w:t xml:space="preserve">lobal and the </w:t>
      </w:r>
      <w:r w:rsidR="007870A1">
        <w:rPr>
          <w:rFonts w:ascii="Tahoma" w:hAnsi="Tahoma" w:cs="Tahoma"/>
          <w:noProof/>
          <w:sz w:val="24"/>
          <w:szCs w:val="24"/>
        </w:rPr>
        <w:t>L</w:t>
      </w:r>
      <w:r w:rsidRPr="00C458AF">
        <w:rPr>
          <w:rFonts w:ascii="Tahoma" w:hAnsi="Tahoma" w:cs="Tahoma"/>
          <w:noProof/>
          <w:sz w:val="24"/>
          <w:szCs w:val="24"/>
        </w:rPr>
        <w:t xml:space="preserve">ocal.’ </w:t>
      </w:r>
      <w:r w:rsidRPr="00C458AF">
        <w:rPr>
          <w:rFonts w:ascii="Tahoma" w:hAnsi="Tahoma" w:cs="Tahoma"/>
          <w:i/>
          <w:iCs/>
          <w:noProof/>
          <w:sz w:val="24"/>
          <w:szCs w:val="24"/>
        </w:rPr>
        <w:t>Universities, Cities and Regions: Loci for Knowledge and Innovation Creation</w:t>
      </w:r>
      <w:r w:rsidRPr="00C458AF">
        <w:rPr>
          <w:rFonts w:ascii="Tahoma" w:hAnsi="Tahoma" w:cs="Tahoma"/>
          <w:noProof/>
          <w:sz w:val="24"/>
          <w:szCs w:val="24"/>
        </w:rPr>
        <w:t>, (January 2013) pp. 43–63.</w:t>
      </w:r>
    </w:p>
    <w:p w:rsidR="00C458AF" w:rsidRPr="00C458AF" w:rsidRDefault="00C458AF" w:rsidP="00351480">
      <w:pPr>
        <w:widowControl w:val="0"/>
        <w:autoSpaceDE w:val="0"/>
        <w:autoSpaceDN w:val="0"/>
        <w:adjustRightInd w:val="0"/>
        <w:spacing w:line="360" w:lineRule="auto"/>
        <w:rPr>
          <w:rFonts w:ascii="Tahoma" w:hAnsi="Tahoma" w:cs="Tahoma"/>
          <w:noProof/>
          <w:sz w:val="24"/>
          <w:szCs w:val="24"/>
        </w:rPr>
      </w:pPr>
      <w:r w:rsidRPr="00C458AF">
        <w:rPr>
          <w:rFonts w:ascii="Tahoma" w:hAnsi="Tahoma" w:cs="Tahoma"/>
          <w:noProof/>
          <w:sz w:val="24"/>
          <w:szCs w:val="24"/>
        </w:rPr>
        <w:t xml:space="preserve">MHCLG (2019) </w:t>
      </w:r>
      <w:r w:rsidRPr="00C458AF">
        <w:rPr>
          <w:rFonts w:ascii="Tahoma" w:hAnsi="Tahoma" w:cs="Tahoma"/>
          <w:i/>
          <w:iCs/>
          <w:noProof/>
          <w:sz w:val="24"/>
          <w:szCs w:val="24"/>
        </w:rPr>
        <w:t>National Statistics English indices of deprivation 2019</w:t>
      </w:r>
      <w:r w:rsidRPr="00C458AF">
        <w:rPr>
          <w:rFonts w:ascii="Tahoma" w:hAnsi="Tahoma" w:cs="Tahoma"/>
          <w:noProof/>
          <w:sz w:val="24"/>
          <w:szCs w:val="24"/>
        </w:rPr>
        <w:t>. Ministry of Housing, Communities &amp; Local Government. [Online] [Accessed on 26th January 2020] https://www.gov.uk/government/statistics/english-indices-of-deprivation-2019.</w:t>
      </w:r>
    </w:p>
    <w:p w:rsidR="00C458AF" w:rsidRPr="00C458AF" w:rsidRDefault="00C458AF" w:rsidP="00351480">
      <w:pPr>
        <w:widowControl w:val="0"/>
        <w:autoSpaceDE w:val="0"/>
        <w:autoSpaceDN w:val="0"/>
        <w:adjustRightInd w:val="0"/>
        <w:spacing w:line="360" w:lineRule="auto"/>
        <w:rPr>
          <w:rFonts w:ascii="Tahoma" w:hAnsi="Tahoma" w:cs="Tahoma"/>
          <w:noProof/>
          <w:sz w:val="24"/>
          <w:szCs w:val="24"/>
        </w:rPr>
      </w:pPr>
      <w:r w:rsidRPr="00C458AF">
        <w:rPr>
          <w:rFonts w:ascii="Tahoma" w:hAnsi="Tahoma" w:cs="Tahoma"/>
          <w:noProof/>
          <w:sz w:val="24"/>
          <w:szCs w:val="24"/>
        </w:rPr>
        <w:t xml:space="preserve">New Vic Education and Newcastle Library (2017) </w:t>
      </w:r>
      <w:r w:rsidRPr="00C458AF">
        <w:rPr>
          <w:rFonts w:ascii="Tahoma" w:hAnsi="Tahoma" w:cs="Tahoma"/>
          <w:i/>
          <w:iCs/>
          <w:noProof/>
          <w:sz w:val="24"/>
          <w:szCs w:val="24"/>
        </w:rPr>
        <w:t>Philip Astley Father of Modern Circus</w:t>
      </w:r>
      <w:r w:rsidRPr="00C458AF">
        <w:rPr>
          <w:rFonts w:ascii="Tahoma" w:hAnsi="Tahoma" w:cs="Tahoma"/>
          <w:noProof/>
          <w:sz w:val="24"/>
          <w:szCs w:val="24"/>
        </w:rPr>
        <w:t>. Staffordshire University. [Online] [Accessed on 25th January 2020] https://www.philipastley.org.uk/resources-2/.</w:t>
      </w:r>
    </w:p>
    <w:p w:rsidR="00C458AF" w:rsidRPr="00C458AF" w:rsidRDefault="00C458AF" w:rsidP="00351480">
      <w:pPr>
        <w:widowControl w:val="0"/>
        <w:autoSpaceDE w:val="0"/>
        <w:autoSpaceDN w:val="0"/>
        <w:adjustRightInd w:val="0"/>
        <w:spacing w:line="360" w:lineRule="auto"/>
        <w:rPr>
          <w:rFonts w:ascii="Tahoma" w:hAnsi="Tahoma" w:cs="Tahoma"/>
          <w:noProof/>
          <w:sz w:val="24"/>
          <w:szCs w:val="24"/>
        </w:rPr>
      </w:pPr>
      <w:r w:rsidRPr="00C458AF">
        <w:rPr>
          <w:rFonts w:ascii="Tahoma" w:hAnsi="Tahoma" w:cs="Tahoma"/>
          <w:noProof/>
          <w:sz w:val="24"/>
          <w:szCs w:val="24"/>
        </w:rPr>
        <w:t xml:space="preserve">Office for Students (2020) </w:t>
      </w:r>
      <w:r w:rsidRPr="00C458AF">
        <w:rPr>
          <w:rFonts w:ascii="Tahoma" w:hAnsi="Tahoma" w:cs="Tahoma"/>
          <w:i/>
          <w:iCs/>
          <w:noProof/>
          <w:sz w:val="24"/>
          <w:szCs w:val="24"/>
        </w:rPr>
        <w:t xml:space="preserve">Young </w:t>
      </w:r>
      <w:r w:rsidR="007870A1">
        <w:rPr>
          <w:rFonts w:ascii="Tahoma" w:hAnsi="Tahoma" w:cs="Tahoma"/>
          <w:i/>
          <w:iCs/>
          <w:noProof/>
          <w:sz w:val="24"/>
          <w:szCs w:val="24"/>
        </w:rPr>
        <w:t>P</w:t>
      </w:r>
      <w:r w:rsidRPr="00C458AF">
        <w:rPr>
          <w:rFonts w:ascii="Tahoma" w:hAnsi="Tahoma" w:cs="Tahoma"/>
          <w:i/>
          <w:iCs/>
          <w:noProof/>
          <w:sz w:val="24"/>
          <w:szCs w:val="24"/>
        </w:rPr>
        <w:t xml:space="preserve">articipation by </w:t>
      </w:r>
      <w:r w:rsidR="007870A1">
        <w:rPr>
          <w:rFonts w:ascii="Tahoma" w:hAnsi="Tahoma" w:cs="Tahoma"/>
          <w:i/>
          <w:iCs/>
          <w:noProof/>
          <w:sz w:val="24"/>
          <w:szCs w:val="24"/>
        </w:rPr>
        <w:t>A</w:t>
      </w:r>
      <w:r w:rsidRPr="00C458AF">
        <w:rPr>
          <w:rFonts w:ascii="Tahoma" w:hAnsi="Tahoma" w:cs="Tahoma"/>
          <w:i/>
          <w:iCs/>
          <w:noProof/>
          <w:sz w:val="24"/>
          <w:szCs w:val="24"/>
        </w:rPr>
        <w:t>rea</w:t>
      </w:r>
      <w:r w:rsidRPr="00C458AF">
        <w:rPr>
          <w:rFonts w:ascii="Tahoma" w:hAnsi="Tahoma" w:cs="Tahoma"/>
          <w:noProof/>
          <w:sz w:val="24"/>
          <w:szCs w:val="24"/>
        </w:rPr>
        <w:t>. [Online] [Accessed on 26th January 2020] https://www.officeforstudents.org.uk/data-and-analysis/young-participation-by-area/search-by-postcode/.</w:t>
      </w:r>
    </w:p>
    <w:p w:rsidR="00C458AF" w:rsidRPr="00C458AF" w:rsidRDefault="00C458AF" w:rsidP="00351480">
      <w:pPr>
        <w:widowControl w:val="0"/>
        <w:autoSpaceDE w:val="0"/>
        <w:autoSpaceDN w:val="0"/>
        <w:adjustRightInd w:val="0"/>
        <w:spacing w:line="360" w:lineRule="auto"/>
        <w:rPr>
          <w:rFonts w:ascii="Tahoma" w:hAnsi="Tahoma" w:cs="Tahoma"/>
          <w:noProof/>
          <w:sz w:val="24"/>
          <w:szCs w:val="24"/>
        </w:rPr>
      </w:pPr>
      <w:r w:rsidRPr="00C458AF">
        <w:rPr>
          <w:rFonts w:ascii="Tahoma" w:hAnsi="Tahoma" w:cs="Tahoma"/>
          <w:noProof/>
          <w:sz w:val="24"/>
          <w:szCs w:val="24"/>
        </w:rPr>
        <w:t xml:space="preserve">Papiernik-Bloor, Z. and Cooke, P. (2018) </w:t>
      </w:r>
      <w:r w:rsidRPr="00C458AF">
        <w:rPr>
          <w:rFonts w:ascii="Tahoma" w:hAnsi="Tahoma" w:cs="Tahoma"/>
          <w:i/>
          <w:iCs/>
          <w:noProof/>
          <w:sz w:val="24"/>
          <w:szCs w:val="24"/>
        </w:rPr>
        <w:t>Staffordshire University The Philip Astley Project Evaluation Report</w:t>
      </w:r>
      <w:r w:rsidRPr="00C458AF">
        <w:rPr>
          <w:rFonts w:ascii="Tahoma" w:hAnsi="Tahoma" w:cs="Tahoma"/>
          <w:noProof/>
          <w:sz w:val="24"/>
          <w:szCs w:val="24"/>
        </w:rPr>
        <w:t xml:space="preserve">. </w:t>
      </w:r>
      <w:r w:rsidR="003F68B9">
        <w:rPr>
          <w:rFonts w:ascii="Tahoma" w:hAnsi="Tahoma" w:cs="Tahoma"/>
          <w:noProof/>
          <w:sz w:val="24"/>
          <w:szCs w:val="24"/>
        </w:rPr>
        <w:t xml:space="preserve">The Audience Agency, </w:t>
      </w:r>
      <w:r w:rsidRPr="00C458AF">
        <w:rPr>
          <w:rFonts w:ascii="Tahoma" w:hAnsi="Tahoma" w:cs="Tahoma"/>
          <w:noProof/>
          <w:sz w:val="24"/>
          <w:szCs w:val="24"/>
        </w:rPr>
        <w:t>Manchester.</w:t>
      </w:r>
    </w:p>
    <w:p w:rsidR="00C458AF" w:rsidRPr="00C458AF" w:rsidRDefault="00C458AF" w:rsidP="00351480">
      <w:pPr>
        <w:widowControl w:val="0"/>
        <w:autoSpaceDE w:val="0"/>
        <w:autoSpaceDN w:val="0"/>
        <w:adjustRightInd w:val="0"/>
        <w:spacing w:line="360" w:lineRule="auto"/>
        <w:rPr>
          <w:rFonts w:ascii="Tahoma" w:hAnsi="Tahoma" w:cs="Tahoma"/>
          <w:noProof/>
          <w:sz w:val="24"/>
          <w:szCs w:val="24"/>
        </w:rPr>
      </w:pPr>
      <w:r w:rsidRPr="00C458AF">
        <w:rPr>
          <w:rFonts w:ascii="Tahoma" w:hAnsi="Tahoma" w:cs="Tahoma"/>
          <w:noProof/>
          <w:sz w:val="24"/>
          <w:szCs w:val="24"/>
        </w:rPr>
        <w:t xml:space="preserve">Sacco, P. L., Ferilli, G. and Blessi, G. T. (2018) ‘From Culture 1.0 to Culture 3.0: Three </w:t>
      </w:r>
      <w:r w:rsidR="000A635C">
        <w:rPr>
          <w:rFonts w:ascii="Tahoma" w:hAnsi="Tahoma" w:cs="Tahoma"/>
          <w:noProof/>
          <w:sz w:val="24"/>
          <w:szCs w:val="24"/>
        </w:rPr>
        <w:t>S</w:t>
      </w:r>
      <w:r w:rsidRPr="00C458AF">
        <w:rPr>
          <w:rFonts w:ascii="Tahoma" w:hAnsi="Tahoma" w:cs="Tahoma"/>
          <w:noProof/>
          <w:sz w:val="24"/>
          <w:szCs w:val="24"/>
        </w:rPr>
        <w:t xml:space="preserve">ocio-technical </w:t>
      </w:r>
      <w:r w:rsidR="000A635C">
        <w:rPr>
          <w:rFonts w:ascii="Tahoma" w:hAnsi="Tahoma" w:cs="Tahoma"/>
          <w:noProof/>
          <w:sz w:val="24"/>
          <w:szCs w:val="24"/>
        </w:rPr>
        <w:t>R</w:t>
      </w:r>
      <w:r w:rsidRPr="00C458AF">
        <w:rPr>
          <w:rFonts w:ascii="Tahoma" w:hAnsi="Tahoma" w:cs="Tahoma"/>
          <w:noProof/>
          <w:sz w:val="24"/>
          <w:szCs w:val="24"/>
        </w:rPr>
        <w:t xml:space="preserve">egimes of </w:t>
      </w:r>
      <w:r w:rsidR="000A635C">
        <w:rPr>
          <w:rFonts w:ascii="Tahoma" w:hAnsi="Tahoma" w:cs="Tahoma"/>
          <w:noProof/>
          <w:sz w:val="24"/>
          <w:szCs w:val="24"/>
        </w:rPr>
        <w:t>S</w:t>
      </w:r>
      <w:r w:rsidRPr="00C458AF">
        <w:rPr>
          <w:rFonts w:ascii="Tahoma" w:hAnsi="Tahoma" w:cs="Tahoma"/>
          <w:noProof/>
          <w:sz w:val="24"/>
          <w:szCs w:val="24"/>
        </w:rPr>
        <w:t xml:space="preserve">ocial and </w:t>
      </w:r>
      <w:r w:rsidR="000A635C">
        <w:rPr>
          <w:rFonts w:ascii="Tahoma" w:hAnsi="Tahoma" w:cs="Tahoma"/>
          <w:noProof/>
          <w:sz w:val="24"/>
          <w:szCs w:val="24"/>
        </w:rPr>
        <w:t>E</w:t>
      </w:r>
      <w:r w:rsidRPr="00C458AF">
        <w:rPr>
          <w:rFonts w:ascii="Tahoma" w:hAnsi="Tahoma" w:cs="Tahoma"/>
          <w:noProof/>
          <w:sz w:val="24"/>
          <w:szCs w:val="24"/>
        </w:rPr>
        <w:t xml:space="preserve">conomic </w:t>
      </w:r>
      <w:r w:rsidR="000A635C">
        <w:rPr>
          <w:rFonts w:ascii="Tahoma" w:hAnsi="Tahoma" w:cs="Tahoma"/>
          <w:noProof/>
          <w:sz w:val="24"/>
          <w:szCs w:val="24"/>
        </w:rPr>
        <w:t>V</w:t>
      </w:r>
      <w:r w:rsidRPr="00C458AF">
        <w:rPr>
          <w:rFonts w:ascii="Tahoma" w:hAnsi="Tahoma" w:cs="Tahoma"/>
          <w:noProof/>
          <w:sz w:val="24"/>
          <w:szCs w:val="24"/>
        </w:rPr>
        <w:t xml:space="preserve">alue </w:t>
      </w:r>
      <w:r w:rsidR="000A635C">
        <w:rPr>
          <w:rFonts w:ascii="Tahoma" w:hAnsi="Tahoma" w:cs="Tahoma"/>
          <w:noProof/>
          <w:sz w:val="24"/>
          <w:szCs w:val="24"/>
        </w:rPr>
        <w:t>C</w:t>
      </w:r>
      <w:r w:rsidRPr="00C458AF">
        <w:rPr>
          <w:rFonts w:ascii="Tahoma" w:hAnsi="Tahoma" w:cs="Tahoma"/>
          <w:noProof/>
          <w:sz w:val="24"/>
          <w:szCs w:val="24"/>
        </w:rPr>
        <w:t xml:space="preserve">reation through </w:t>
      </w:r>
      <w:r w:rsidR="000A635C">
        <w:rPr>
          <w:rFonts w:ascii="Tahoma" w:hAnsi="Tahoma" w:cs="Tahoma"/>
          <w:noProof/>
          <w:sz w:val="24"/>
          <w:szCs w:val="24"/>
        </w:rPr>
        <w:t>C</w:t>
      </w:r>
      <w:r w:rsidRPr="00C458AF">
        <w:rPr>
          <w:rFonts w:ascii="Tahoma" w:hAnsi="Tahoma" w:cs="Tahoma"/>
          <w:noProof/>
          <w:sz w:val="24"/>
          <w:szCs w:val="24"/>
        </w:rPr>
        <w:t xml:space="preserve">ulture, and their </w:t>
      </w:r>
      <w:r w:rsidR="000A635C">
        <w:rPr>
          <w:rFonts w:ascii="Tahoma" w:hAnsi="Tahoma" w:cs="Tahoma"/>
          <w:noProof/>
          <w:sz w:val="24"/>
          <w:szCs w:val="24"/>
        </w:rPr>
        <w:t>I</w:t>
      </w:r>
      <w:r w:rsidRPr="00C458AF">
        <w:rPr>
          <w:rFonts w:ascii="Tahoma" w:hAnsi="Tahoma" w:cs="Tahoma"/>
          <w:noProof/>
          <w:sz w:val="24"/>
          <w:szCs w:val="24"/>
        </w:rPr>
        <w:t xml:space="preserve">mpact on European </w:t>
      </w:r>
      <w:r w:rsidR="000A635C">
        <w:rPr>
          <w:rFonts w:ascii="Tahoma" w:hAnsi="Tahoma" w:cs="Tahoma"/>
          <w:noProof/>
          <w:sz w:val="24"/>
          <w:szCs w:val="24"/>
        </w:rPr>
        <w:t>C</w:t>
      </w:r>
      <w:r w:rsidRPr="00C458AF">
        <w:rPr>
          <w:rFonts w:ascii="Tahoma" w:hAnsi="Tahoma" w:cs="Tahoma"/>
          <w:noProof/>
          <w:sz w:val="24"/>
          <w:szCs w:val="24"/>
        </w:rPr>
        <w:t xml:space="preserve">ohesion </w:t>
      </w:r>
      <w:r w:rsidR="000A635C">
        <w:rPr>
          <w:rFonts w:ascii="Tahoma" w:hAnsi="Tahoma" w:cs="Tahoma"/>
          <w:noProof/>
          <w:sz w:val="24"/>
          <w:szCs w:val="24"/>
        </w:rPr>
        <w:t>P</w:t>
      </w:r>
      <w:r w:rsidRPr="00C458AF">
        <w:rPr>
          <w:rFonts w:ascii="Tahoma" w:hAnsi="Tahoma" w:cs="Tahoma"/>
          <w:noProof/>
          <w:sz w:val="24"/>
          <w:szCs w:val="24"/>
        </w:rPr>
        <w:t xml:space="preserve">olicies.’ </w:t>
      </w:r>
      <w:r w:rsidRPr="00C458AF">
        <w:rPr>
          <w:rFonts w:ascii="Tahoma" w:hAnsi="Tahoma" w:cs="Tahoma"/>
          <w:i/>
          <w:iCs/>
          <w:noProof/>
          <w:sz w:val="24"/>
          <w:szCs w:val="24"/>
        </w:rPr>
        <w:t>Sustainability (Switzerland)</w:t>
      </w:r>
      <w:r w:rsidRPr="00C458AF">
        <w:rPr>
          <w:rFonts w:ascii="Tahoma" w:hAnsi="Tahoma" w:cs="Tahoma"/>
          <w:noProof/>
          <w:sz w:val="24"/>
          <w:szCs w:val="24"/>
        </w:rPr>
        <w:t>, 10(11) pp. 0–23.</w:t>
      </w:r>
    </w:p>
    <w:p w:rsidR="00C458AF" w:rsidRPr="00C458AF" w:rsidRDefault="00C458AF" w:rsidP="00351480">
      <w:pPr>
        <w:widowControl w:val="0"/>
        <w:autoSpaceDE w:val="0"/>
        <w:autoSpaceDN w:val="0"/>
        <w:adjustRightInd w:val="0"/>
        <w:spacing w:line="360" w:lineRule="auto"/>
        <w:rPr>
          <w:rFonts w:ascii="Tahoma" w:hAnsi="Tahoma" w:cs="Tahoma"/>
          <w:noProof/>
          <w:sz w:val="24"/>
          <w:szCs w:val="24"/>
        </w:rPr>
      </w:pPr>
      <w:r w:rsidRPr="00C458AF">
        <w:rPr>
          <w:rFonts w:ascii="Tahoma" w:hAnsi="Tahoma" w:cs="Tahoma"/>
          <w:noProof/>
          <w:sz w:val="24"/>
          <w:szCs w:val="24"/>
        </w:rPr>
        <w:t xml:space="preserve">Staffordshire University (2017) </w:t>
      </w:r>
      <w:r w:rsidRPr="00C458AF">
        <w:rPr>
          <w:rFonts w:ascii="Tahoma" w:hAnsi="Tahoma" w:cs="Tahoma"/>
          <w:i/>
          <w:iCs/>
          <w:noProof/>
          <w:sz w:val="24"/>
          <w:szCs w:val="24"/>
        </w:rPr>
        <w:t>Connected University Strategy</w:t>
      </w:r>
      <w:r w:rsidRPr="00C458AF">
        <w:rPr>
          <w:rFonts w:ascii="Tahoma" w:hAnsi="Tahoma" w:cs="Tahoma"/>
          <w:noProof/>
          <w:sz w:val="24"/>
          <w:szCs w:val="24"/>
        </w:rPr>
        <w:t>. [Online] [Accessed on 26th January 2020] https://www.staffs.ac.uk/about/pdf/connected-university-strategy.pdf.</w:t>
      </w:r>
    </w:p>
    <w:p w:rsidR="00C458AF" w:rsidRPr="00C458AF" w:rsidRDefault="00C458AF" w:rsidP="00351480">
      <w:pPr>
        <w:widowControl w:val="0"/>
        <w:autoSpaceDE w:val="0"/>
        <w:autoSpaceDN w:val="0"/>
        <w:adjustRightInd w:val="0"/>
        <w:spacing w:line="360" w:lineRule="auto"/>
        <w:rPr>
          <w:rFonts w:ascii="Tahoma" w:hAnsi="Tahoma" w:cs="Tahoma"/>
          <w:noProof/>
          <w:sz w:val="24"/>
          <w:szCs w:val="24"/>
        </w:rPr>
      </w:pPr>
      <w:r w:rsidRPr="00C458AF">
        <w:rPr>
          <w:rFonts w:ascii="Tahoma" w:hAnsi="Tahoma" w:cs="Tahoma"/>
          <w:noProof/>
          <w:sz w:val="24"/>
          <w:szCs w:val="24"/>
        </w:rPr>
        <w:t xml:space="preserve">Staffordshire University (2020) </w:t>
      </w:r>
      <w:r w:rsidRPr="00C458AF">
        <w:rPr>
          <w:rFonts w:ascii="Tahoma" w:hAnsi="Tahoma" w:cs="Tahoma"/>
          <w:i/>
          <w:iCs/>
          <w:noProof/>
          <w:sz w:val="24"/>
          <w:szCs w:val="24"/>
        </w:rPr>
        <w:t>Access and Participation Plan, 2020-21 to 2024-25</w:t>
      </w:r>
      <w:r w:rsidRPr="00C458AF">
        <w:rPr>
          <w:rFonts w:ascii="Tahoma" w:hAnsi="Tahoma" w:cs="Tahoma"/>
          <w:noProof/>
          <w:sz w:val="24"/>
          <w:szCs w:val="24"/>
        </w:rPr>
        <w:t>. [Online] [Accessed on 26th January 2020] https://www.staffs.ac.uk/about/pdf/access-and-participation-plans/staffordshireuniversity-app-2020-21-v1-10006299.pdf.</w:t>
      </w:r>
    </w:p>
    <w:p w:rsidR="00C458AF" w:rsidRPr="00C458AF" w:rsidRDefault="00C458AF" w:rsidP="00351480">
      <w:pPr>
        <w:widowControl w:val="0"/>
        <w:autoSpaceDE w:val="0"/>
        <w:autoSpaceDN w:val="0"/>
        <w:adjustRightInd w:val="0"/>
        <w:spacing w:line="360" w:lineRule="auto"/>
        <w:rPr>
          <w:rFonts w:ascii="Tahoma" w:hAnsi="Tahoma" w:cs="Tahoma"/>
          <w:noProof/>
          <w:sz w:val="24"/>
          <w:szCs w:val="24"/>
        </w:rPr>
      </w:pPr>
      <w:r w:rsidRPr="00C458AF">
        <w:rPr>
          <w:rFonts w:ascii="Tahoma" w:hAnsi="Tahoma" w:cs="Tahoma"/>
          <w:noProof/>
          <w:sz w:val="24"/>
          <w:szCs w:val="24"/>
        </w:rPr>
        <w:t xml:space="preserve">Sunday Times (2019) </w:t>
      </w:r>
      <w:r w:rsidRPr="00C458AF">
        <w:rPr>
          <w:rFonts w:ascii="Tahoma" w:hAnsi="Tahoma" w:cs="Tahoma"/>
          <w:i/>
          <w:iCs/>
          <w:noProof/>
          <w:sz w:val="24"/>
          <w:szCs w:val="24"/>
        </w:rPr>
        <w:t>Good University Guide 2020</w:t>
      </w:r>
      <w:r w:rsidRPr="00C458AF">
        <w:rPr>
          <w:rFonts w:ascii="Tahoma" w:hAnsi="Tahoma" w:cs="Tahoma"/>
          <w:noProof/>
          <w:sz w:val="24"/>
          <w:szCs w:val="24"/>
        </w:rPr>
        <w:t xml:space="preserve">. London. [Online] </w:t>
      </w:r>
      <w:r w:rsidRPr="00C458AF">
        <w:rPr>
          <w:rFonts w:ascii="Tahoma" w:hAnsi="Tahoma" w:cs="Tahoma"/>
          <w:noProof/>
          <w:sz w:val="24"/>
          <w:szCs w:val="24"/>
        </w:rPr>
        <w:lastRenderedPageBreak/>
        <w:t>[Accessed on 26th January 2020] https://www.thetimes.co.uk/article/good-university-guide-in-full-tp6dzs7wn.</w:t>
      </w:r>
    </w:p>
    <w:p w:rsidR="00C458AF" w:rsidRPr="00C458AF" w:rsidRDefault="00C458AF" w:rsidP="00351480">
      <w:pPr>
        <w:widowControl w:val="0"/>
        <w:autoSpaceDE w:val="0"/>
        <w:autoSpaceDN w:val="0"/>
        <w:adjustRightInd w:val="0"/>
        <w:spacing w:line="360" w:lineRule="auto"/>
        <w:rPr>
          <w:rFonts w:ascii="Tahoma" w:hAnsi="Tahoma" w:cs="Tahoma"/>
          <w:noProof/>
          <w:sz w:val="24"/>
          <w:szCs w:val="24"/>
        </w:rPr>
      </w:pPr>
      <w:r w:rsidRPr="00C458AF">
        <w:rPr>
          <w:rFonts w:ascii="Tahoma" w:hAnsi="Tahoma" w:cs="Tahoma"/>
          <w:noProof/>
          <w:sz w:val="24"/>
          <w:szCs w:val="24"/>
        </w:rPr>
        <w:t xml:space="preserve">Thomason, C. (2017) </w:t>
      </w:r>
      <w:r w:rsidRPr="00C458AF">
        <w:rPr>
          <w:rFonts w:ascii="Tahoma" w:hAnsi="Tahoma" w:cs="Tahoma"/>
          <w:i/>
          <w:iCs/>
          <w:noProof/>
          <w:sz w:val="24"/>
          <w:szCs w:val="24"/>
        </w:rPr>
        <w:t xml:space="preserve">Digital </w:t>
      </w:r>
      <w:r w:rsidR="000A635C">
        <w:rPr>
          <w:rFonts w:ascii="Tahoma" w:hAnsi="Tahoma" w:cs="Tahoma"/>
          <w:i/>
          <w:iCs/>
          <w:noProof/>
          <w:sz w:val="24"/>
          <w:szCs w:val="24"/>
        </w:rPr>
        <w:t>S</w:t>
      </w:r>
      <w:r w:rsidRPr="00C458AF">
        <w:rPr>
          <w:rFonts w:ascii="Tahoma" w:hAnsi="Tahoma" w:cs="Tahoma"/>
          <w:i/>
          <w:iCs/>
          <w:noProof/>
          <w:sz w:val="24"/>
          <w:szCs w:val="24"/>
        </w:rPr>
        <w:t xml:space="preserve">kills , </w:t>
      </w:r>
      <w:r w:rsidR="000A635C">
        <w:rPr>
          <w:rFonts w:ascii="Tahoma" w:hAnsi="Tahoma" w:cs="Tahoma"/>
          <w:i/>
          <w:iCs/>
          <w:noProof/>
          <w:sz w:val="24"/>
          <w:szCs w:val="24"/>
        </w:rPr>
        <w:t>C</w:t>
      </w:r>
      <w:r w:rsidRPr="00C458AF">
        <w:rPr>
          <w:rFonts w:ascii="Tahoma" w:hAnsi="Tahoma" w:cs="Tahoma"/>
          <w:i/>
          <w:iCs/>
          <w:noProof/>
          <w:sz w:val="24"/>
          <w:szCs w:val="24"/>
        </w:rPr>
        <w:t xml:space="preserve">onfidence and </w:t>
      </w:r>
      <w:r w:rsidR="000A635C">
        <w:rPr>
          <w:rFonts w:ascii="Tahoma" w:hAnsi="Tahoma" w:cs="Tahoma"/>
          <w:i/>
          <w:iCs/>
          <w:noProof/>
          <w:sz w:val="24"/>
          <w:szCs w:val="24"/>
        </w:rPr>
        <w:t>M</w:t>
      </w:r>
      <w:r w:rsidRPr="00C458AF">
        <w:rPr>
          <w:rFonts w:ascii="Tahoma" w:hAnsi="Tahoma" w:cs="Tahoma"/>
          <w:i/>
          <w:iCs/>
          <w:noProof/>
          <w:sz w:val="24"/>
          <w:szCs w:val="24"/>
        </w:rPr>
        <w:t xml:space="preserve">otivation: </w:t>
      </w:r>
      <w:r w:rsidR="000A635C">
        <w:rPr>
          <w:rFonts w:ascii="Tahoma" w:hAnsi="Tahoma" w:cs="Tahoma"/>
          <w:i/>
          <w:iCs/>
          <w:noProof/>
          <w:sz w:val="24"/>
          <w:szCs w:val="24"/>
        </w:rPr>
        <w:t>T</w:t>
      </w:r>
      <w:r w:rsidRPr="00C458AF">
        <w:rPr>
          <w:rFonts w:ascii="Tahoma" w:hAnsi="Tahoma" w:cs="Tahoma"/>
          <w:i/>
          <w:iCs/>
          <w:noProof/>
          <w:sz w:val="24"/>
          <w:szCs w:val="24"/>
        </w:rPr>
        <w:t xml:space="preserve">echnology </w:t>
      </w:r>
      <w:r w:rsidR="000A635C">
        <w:rPr>
          <w:rFonts w:ascii="Tahoma" w:hAnsi="Tahoma" w:cs="Tahoma"/>
          <w:i/>
          <w:iCs/>
          <w:noProof/>
          <w:sz w:val="24"/>
          <w:szCs w:val="24"/>
        </w:rPr>
        <w:t>S</w:t>
      </w:r>
      <w:r w:rsidRPr="00C458AF">
        <w:rPr>
          <w:rFonts w:ascii="Tahoma" w:hAnsi="Tahoma" w:cs="Tahoma"/>
          <w:i/>
          <w:iCs/>
          <w:noProof/>
          <w:sz w:val="24"/>
          <w:szCs w:val="24"/>
        </w:rPr>
        <w:t xml:space="preserve">upported </w:t>
      </w:r>
      <w:r w:rsidR="000A635C">
        <w:rPr>
          <w:rFonts w:ascii="Tahoma" w:hAnsi="Tahoma" w:cs="Tahoma"/>
          <w:i/>
          <w:iCs/>
          <w:noProof/>
          <w:sz w:val="24"/>
          <w:szCs w:val="24"/>
        </w:rPr>
        <w:t>A</w:t>
      </w:r>
      <w:r w:rsidRPr="00C458AF">
        <w:rPr>
          <w:rFonts w:ascii="Tahoma" w:hAnsi="Tahoma" w:cs="Tahoma"/>
          <w:i/>
          <w:iCs/>
          <w:noProof/>
          <w:sz w:val="24"/>
          <w:szCs w:val="24"/>
        </w:rPr>
        <w:t xml:space="preserve">uthentic </w:t>
      </w:r>
      <w:r w:rsidR="000A635C">
        <w:rPr>
          <w:rFonts w:ascii="Tahoma" w:hAnsi="Tahoma" w:cs="Tahoma"/>
          <w:i/>
          <w:iCs/>
          <w:noProof/>
          <w:sz w:val="24"/>
          <w:szCs w:val="24"/>
        </w:rPr>
        <w:t>L</w:t>
      </w:r>
      <w:r w:rsidRPr="00C458AF">
        <w:rPr>
          <w:rFonts w:ascii="Tahoma" w:hAnsi="Tahoma" w:cs="Tahoma"/>
          <w:i/>
          <w:iCs/>
          <w:noProof/>
          <w:sz w:val="24"/>
          <w:szCs w:val="24"/>
        </w:rPr>
        <w:t xml:space="preserve">earning in </w:t>
      </w:r>
      <w:r w:rsidR="000A635C">
        <w:rPr>
          <w:rFonts w:ascii="Tahoma" w:hAnsi="Tahoma" w:cs="Tahoma"/>
          <w:i/>
          <w:iCs/>
          <w:noProof/>
          <w:sz w:val="24"/>
          <w:szCs w:val="24"/>
        </w:rPr>
        <w:t>J</w:t>
      </w:r>
      <w:r w:rsidRPr="00C458AF">
        <w:rPr>
          <w:rFonts w:ascii="Tahoma" w:hAnsi="Tahoma" w:cs="Tahoma"/>
          <w:i/>
          <w:iCs/>
          <w:noProof/>
          <w:sz w:val="24"/>
          <w:szCs w:val="24"/>
        </w:rPr>
        <w:t xml:space="preserve">ournalism </w:t>
      </w:r>
      <w:r w:rsidR="000A635C">
        <w:rPr>
          <w:rFonts w:ascii="Tahoma" w:hAnsi="Tahoma" w:cs="Tahoma"/>
          <w:i/>
          <w:iCs/>
          <w:noProof/>
          <w:sz w:val="24"/>
          <w:szCs w:val="24"/>
        </w:rPr>
        <w:t>E</w:t>
      </w:r>
      <w:r w:rsidRPr="00C458AF">
        <w:rPr>
          <w:rFonts w:ascii="Tahoma" w:hAnsi="Tahoma" w:cs="Tahoma"/>
          <w:i/>
          <w:iCs/>
          <w:noProof/>
          <w:sz w:val="24"/>
          <w:szCs w:val="24"/>
        </w:rPr>
        <w:t>ducation</w:t>
      </w:r>
      <w:r w:rsidRPr="00C458AF">
        <w:rPr>
          <w:rFonts w:ascii="Tahoma" w:hAnsi="Tahoma" w:cs="Tahoma"/>
          <w:noProof/>
          <w:sz w:val="24"/>
          <w:szCs w:val="24"/>
        </w:rPr>
        <w:t>. Innovative Practice in Higher Education. [Online] [Accessed on 26th January 2020] http://journals.staffs.ac.uk/index.php/ipihe/article/view/155.</w:t>
      </w:r>
    </w:p>
    <w:p w:rsidR="00C458AF" w:rsidRPr="00C458AF" w:rsidRDefault="00C458AF" w:rsidP="00351480">
      <w:pPr>
        <w:widowControl w:val="0"/>
        <w:autoSpaceDE w:val="0"/>
        <w:autoSpaceDN w:val="0"/>
        <w:adjustRightInd w:val="0"/>
        <w:spacing w:line="360" w:lineRule="auto"/>
        <w:rPr>
          <w:rFonts w:ascii="Tahoma" w:hAnsi="Tahoma" w:cs="Tahoma"/>
          <w:noProof/>
          <w:sz w:val="24"/>
          <w:szCs w:val="24"/>
        </w:rPr>
      </w:pPr>
      <w:r w:rsidRPr="00C458AF">
        <w:rPr>
          <w:rFonts w:ascii="Tahoma" w:hAnsi="Tahoma" w:cs="Tahoma"/>
          <w:noProof/>
          <w:sz w:val="24"/>
          <w:szCs w:val="24"/>
        </w:rPr>
        <w:t xml:space="preserve">Thomason, C. (2018) </w:t>
      </w:r>
      <w:r w:rsidR="000A635C">
        <w:rPr>
          <w:rFonts w:ascii="Tahoma" w:hAnsi="Tahoma" w:cs="Tahoma"/>
          <w:i/>
          <w:iCs/>
          <w:noProof/>
          <w:sz w:val="24"/>
          <w:szCs w:val="24"/>
        </w:rPr>
        <w:t>The L</w:t>
      </w:r>
      <w:r w:rsidRPr="00C458AF">
        <w:rPr>
          <w:rFonts w:ascii="Tahoma" w:hAnsi="Tahoma" w:cs="Tahoma"/>
          <w:i/>
          <w:iCs/>
          <w:noProof/>
          <w:sz w:val="24"/>
          <w:szCs w:val="24"/>
        </w:rPr>
        <w:t xml:space="preserve">ife and </w:t>
      </w:r>
      <w:r w:rsidR="000A635C">
        <w:rPr>
          <w:rFonts w:ascii="Tahoma" w:hAnsi="Tahoma" w:cs="Tahoma"/>
          <w:i/>
          <w:iCs/>
          <w:noProof/>
          <w:sz w:val="24"/>
          <w:szCs w:val="24"/>
        </w:rPr>
        <w:t>L</w:t>
      </w:r>
      <w:r w:rsidRPr="00C458AF">
        <w:rPr>
          <w:rFonts w:ascii="Tahoma" w:hAnsi="Tahoma" w:cs="Tahoma"/>
          <w:i/>
          <w:iCs/>
          <w:noProof/>
          <w:sz w:val="24"/>
          <w:szCs w:val="24"/>
        </w:rPr>
        <w:t xml:space="preserve">egacy of Philip Astley, </w:t>
      </w:r>
      <w:r w:rsidR="000A635C">
        <w:rPr>
          <w:rFonts w:ascii="Tahoma" w:hAnsi="Tahoma" w:cs="Tahoma"/>
          <w:i/>
          <w:iCs/>
          <w:noProof/>
          <w:sz w:val="24"/>
          <w:szCs w:val="24"/>
        </w:rPr>
        <w:t>F</w:t>
      </w:r>
      <w:r w:rsidRPr="00C458AF">
        <w:rPr>
          <w:rFonts w:ascii="Tahoma" w:hAnsi="Tahoma" w:cs="Tahoma"/>
          <w:i/>
          <w:iCs/>
          <w:noProof/>
          <w:sz w:val="24"/>
          <w:szCs w:val="24"/>
        </w:rPr>
        <w:t xml:space="preserve">ather of the </w:t>
      </w:r>
      <w:r w:rsidR="000A635C">
        <w:rPr>
          <w:rFonts w:ascii="Tahoma" w:hAnsi="Tahoma" w:cs="Tahoma"/>
          <w:i/>
          <w:iCs/>
          <w:noProof/>
          <w:sz w:val="24"/>
          <w:szCs w:val="24"/>
        </w:rPr>
        <w:t>M</w:t>
      </w:r>
      <w:r w:rsidRPr="00C458AF">
        <w:rPr>
          <w:rFonts w:ascii="Tahoma" w:hAnsi="Tahoma" w:cs="Tahoma"/>
          <w:i/>
          <w:iCs/>
          <w:noProof/>
          <w:sz w:val="24"/>
          <w:szCs w:val="24"/>
        </w:rPr>
        <w:t xml:space="preserve">odern </w:t>
      </w:r>
      <w:r w:rsidR="000A635C">
        <w:rPr>
          <w:rFonts w:ascii="Tahoma" w:hAnsi="Tahoma" w:cs="Tahoma"/>
          <w:i/>
          <w:iCs/>
          <w:noProof/>
          <w:sz w:val="24"/>
          <w:szCs w:val="24"/>
        </w:rPr>
        <w:t>C</w:t>
      </w:r>
      <w:r w:rsidRPr="00C458AF">
        <w:rPr>
          <w:rFonts w:ascii="Tahoma" w:hAnsi="Tahoma" w:cs="Tahoma"/>
          <w:i/>
          <w:iCs/>
          <w:noProof/>
          <w:sz w:val="24"/>
          <w:szCs w:val="24"/>
        </w:rPr>
        <w:t>ircus.</w:t>
      </w:r>
      <w:r w:rsidRPr="00C458AF">
        <w:rPr>
          <w:rFonts w:ascii="Tahoma" w:hAnsi="Tahoma" w:cs="Tahoma"/>
          <w:noProof/>
          <w:sz w:val="24"/>
          <w:szCs w:val="24"/>
        </w:rPr>
        <w:t xml:space="preserve"> [Online] [Accessed on 26th January 2020] https://www.philipastley.org.uk/resources/.</w:t>
      </w:r>
    </w:p>
    <w:p w:rsidR="00C458AF" w:rsidRPr="00C458AF" w:rsidRDefault="00C458AF" w:rsidP="00351480">
      <w:pPr>
        <w:widowControl w:val="0"/>
        <w:autoSpaceDE w:val="0"/>
        <w:autoSpaceDN w:val="0"/>
        <w:adjustRightInd w:val="0"/>
        <w:spacing w:line="360" w:lineRule="auto"/>
        <w:rPr>
          <w:rFonts w:ascii="Tahoma" w:hAnsi="Tahoma" w:cs="Tahoma"/>
          <w:noProof/>
          <w:sz w:val="24"/>
          <w:szCs w:val="24"/>
        </w:rPr>
      </w:pPr>
      <w:r w:rsidRPr="00C458AF">
        <w:rPr>
          <w:rFonts w:ascii="Tahoma" w:hAnsi="Tahoma" w:cs="Tahoma"/>
          <w:noProof/>
          <w:sz w:val="24"/>
          <w:szCs w:val="24"/>
        </w:rPr>
        <w:t xml:space="preserve">Thomason, C. (2019) </w:t>
      </w:r>
      <w:r w:rsidRPr="00C458AF">
        <w:rPr>
          <w:rFonts w:ascii="Tahoma" w:hAnsi="Tahoma" w:cs="Tahoma"/>
          <w:i/>
          <w:iCs/>
          <w:noProof/>
          <w:sz w:val="24"/>
          <w:szCs w:val="24"/>
        </w:rPr>
        <w:t>The Philip Astley Project – Celebrating the father of modern-day circus. Project Report.</w:t>
      </w:r>
      <w:r w:rsidRPr="00C458AF">
        <w:rPr>
          <w:rFonts w:ascii="Tahoma" w:hAnsi="Tahoma" w:cs="Tahoma"/>
          <w:noProof/>
          <w:sz w:val="24"/>
          <w:szCs w:val="24"/>
        </w:rPr>
        <w:t xml:space="preserve"> [Online] [Accessed on 26th January 2020] http://eprints.staffs.ac.uk/5559//.</w:t>
      </w:r>
    </w:p>
    <w:p w:rsidR="00C458AF" w:rsidRPr="00C458AF" w:rsidRDefault="00C458AF" w:rsidP="00351480">
      <w:pPr>
        <w:widowControl w:val="0"/>
        <w:autoSpaceDE w:val="0"/>
        <w:autoSpaceDN w:val="0"/>
        <w:adjustRightInd w:val="0"/>
        <w:spacing w:line="360" w:lineRule="auto"/>
        <w:rPr>
          <w:rFonts w:ascii="Tahoma" w:hAnsi="Tahoma" w:cs="Tahoma"/>
          <w:noProof/>
          <w:sz w:val="24"/>
        </w:rPr>
      </w:pPr>
      <w:r w:rsidRPr="00C458AF">
        <w:rPr>
          <w:rFonts w:ascii="Tahoma" w:hAnsi="Tahoma" w:cs="Tahoma"/>
          <w:noProof/>
          <w:sz w:val="24"/>
          <w:szCs w:val="24"/>
        </w:rPr>
        <w:t xml:space="preserve">UPP Foundation Civic University Commission (2019) </w:t>
      </w:r>
      <w:r w:rsidRPr="00C458AF">
        <w:rPr>
          <w:rFonts w:ascii="Tahoma" w:hAnsi="Tahoma" w:cs="Tahoma"/>
          <w:i/>
          <w:iCs/>
          <w:noProof/>
          <w:sz w:val="24"/>
          <w:szCs w:val="24"/>
        </w:rPr>
        <w:t xml:space="preserve">Truly Civic: Strengthening the </w:t>
      </w:r>
      <w:r w:rsidR="000A635C">
        <w:rPr>
          <w:rFonts w:ascii="Tahoma" w:hAnsi="Tahoma" w:cs="Tahoma"/>
          <w:i/>
          <w:iCs/>
          <w:noProof/>
          <w:sz w:val="24"/>
          <w:szCs w:val="24"/>
        </w:rPr>
        <w:t>C</w:t>
      </w:r>
      <w:r w:rsidRPr="00C458AF">
        <w:rPr>
          <w:rFonts w:ascii="Tahoma" w:hAnsi="Tahoma" w:cs="Tahoma"/>
          <w:i/>
          <w:iCs/>
          <w:noProof/>
          <w:sz w:val="24"/>
          <w:szCs w:val="24"/>
        </w:rPr>
        <w:t xml:space="preserve">onnection between </w:t>
      </w:r>
      <w:r w:rsidR="000A635C">
        <w:rPr>
          <w:rFonts w:ascii="Tahoma" w:hAnsi="Tahoma" w:cs="Tahoma"/>
          <w:i/>
          <w:iCs/>
          <w:noProof/>
          <w:sz w:val="24"/>
          <w:szCs w:val="24"/>
        </w:rPr>
        <w:t>U</w:t>
      </w:r>
      <w:r w:rsidRPr="00C458AF">
        <w:rPr>
          <w:rFonts w:ascii="Tahoma" w:hAnsi="Tahoma" w:cs="Tahoma"/>
          <w:i/>
          <w:iCs/>
          <w:noProof/>
          <w:sz w:val="24"/>
          <w:szCs w:val="24"/>
        </w:rPr>
        <w:t xml:space="preserve">niversities and their </w:t>
      </w:r>
      <w:r w:rsidR="000A635C">
        <w:rPr>
          <w:rFonts w:ascii="Tahoma" w:hAnsi="Tahoma" w:cs="Tahoma"/>
          <w:i/>
          <w:iCs/>
          <w:noProof/>
          <w:sz w:val="24"/>
          <w:szCs w:val="24"/>
        </w:rPr>
        <w:t>P</w:t>
      </w:r>
      <w:r w:rsidRPr="00C458AF">
        <w:rPr>
          <w:rFonts w:ascii="Tahoma" w:hAnsi="Tahoma" w:cs="Tahoma"/>
          <w:i/>
          <w:iCs/>
          <w:noProof/>
          <w:sz w:val="24"/>
          <w:szCs w:val="24"/>
        </w:rPr>
        <w:t>laces</w:t>
      </w:r>
      <w:r w:rsidRPr="00C458AF">
        <w:rPr>
          <w:rFonts w:ascii="Tahoma" w:hAnsi="Tahoma" w:cs="Tahoma"/>
          <w:noProof/>
          <w:sz w:val="24"/>
          <w:szCs w:val="24"/>
        </w:rPr>
        <w:t>. [Online] [Accessed on 26th January 2020] https://upp-foundation.org/wp-content/uploads/2019/02/Civic-University-Commission-Final-Report.pdf.</w:t>
      </w:r>
    </w:p>
    <w:p w:rsidR="00F311E2" w:rsidRPr="005B37B4" w:rsidRDefault="003A5112" w:rsidP="00351480">
      <w:pPr>
        <w:spacing w:line="360" w:lineRule="auto"/>
        <w:rPr>
          <w:rFonts w:ascii="Tahoma" w:hAnsi="Tahoma" w:cs="Tahoma"/>
          <w:sz w:val="24"/>
          <w:szCs w:val="24"/>
        </w:rPr>
      </w:pPr>
      <w:r w:rsidRPr="005B37B4">
        <w:rPr>
          <w:rFonts w:ascii="Tahoma" w:hAnsi="Tahoma" w:cs="Tahoma"/>
          <w:sz w:val="24"/>
          <w:szCs w:val="24"/>
        </w:rPr>
        <w:fldChar w:fldCharType="end"/>
      </w:r>
    </w:p>
    <w:sectPr w:rsidR="00F311E2" w:rsidRPr="005B37B4" w:rsidSect="00972275">
      <w:headerReference w:type="default" r:id="rId9"/>
      <w:footerReference w:type="default" r:id="rId10"/>
      <w:pgSz w:w="11906" w:h="16838"/>
      <w:pgMar w:top="1440" w:right="1797" w:bottom="1440" w:left="1797" w:header="709" w:footer="709" w:gutter="0"/>
      <w:pgNumType w:start="5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EBA" w:rsidRDefault="00245EBA" w:rsidP="0099425F">
      <w:pPr>
        <w:spacing w:after="0" w:line="240" w:lineRule="auto"/>
      </w:pPr>
      <w:r>
        <w:separator/>
      </w:r>
    </w:p>
  </w:endnote>
  <w:endnote w:type="continuationSeparator" w:id="0">
    <w:p w:rsidR="00245EBA" w:rsidRDefault="00245EBA" w:rsidP="009942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25F" w:rsidRDefault="0099425F">
    <w:pPr>
      <w:pStyle w:val="Footer"/>
    </w:pPr>
    <w:r>
      <w:t>I</w:t>
    </w:r>
    <w:r w:rsidR="00972275">
      <w:t>nnovative Practice in Higher Education</w:t>
    </w:r>
    <w:r w:rsidR="00972275">
      <w:tab/>
    </w:r>
    <w:r w:rsidR="00972275">
      <w:tab/>
    </w:r>
    <w:fldSimple w:instr=" PAGE   \* MERGEFORMAT ">
      <w:r w:rsidR="003F68B9">
        <w:rPr>
          <w:noProof/>
        </w:rPr>
        <w:t>76</w:t>
      </w:r>
    </w:fldSimple>
  </w:p>
  <w:p w:rsidR="00972275" w:rsidRDefault="00972275">
    <w:pPr>
      <w:pStyle w:val="Footer"/>
    </w:pPr>
    <w:r>
      <w:rPr>
        <w:rFonts w:cstheme="minorHAnsi"/>
      </w:rPr>
      <w:t>©</w:t>
    </w:r>
    <w:proofErr w:type="spellStart"/>
    <w:r>
      <w:t>IPiHE</w:t>
    </w:r>
    <w:proofErr w:type="spellEnd"/>
    <w:r>
      <w:t xml:space="preserve"> 2019</w:t>
    </w:r>
  </w:p>
  <w:p w:rsidR="00972275" w:rsidRDefault="00972275">
    <w:pPr>
      <w:pStyle w:val="Footer"/>
    </w:pPr>
    <w:r>
      <w:t>ISSN: 2044-3315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EBA" w:rsidRDefault="00245EBA" w:rsidP="0099425F">
      <w:pPr>
        <w:spacing w:after="0" w:line="240" w:lineRule="auto"/>
      </w:pPr>
      <w:r>
        <w:separator/>
      </w:r>
    </w:p>
  </w:footnote>
  <w:footnote w:type="continuationSeparator" w:id="0">
    <w:p w:rsidR="00245EBA" w:rsidRDefault="00245EBA" w:rsidP="009942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25F" w:rsidRDefault="0099425F">
    <w:pPr>
      <w:pStyle w:val="Header"/>
    </w:pPr>
    <w:r>
      <w:t>Innovative Practice in Higher Education</w:t>
    </w:r>
    <w:r>
      <w:tab/>
    </w:r>
    <w:r>
      <w:tab/>
      <w:t>Thomason</w:t>
    </w:r>
  </w:p>
  <w:p w:rsidR="0099425F" w:rsidRDefault="0099425F">
    <w:pPr>
      <w:pStyle w:val="Header"/>
    </w:pPr>
    <w:r>
      <w:t>Vol. 4 (1) April 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785" w:hanging="360"/>
      </w:pPr>
      <w:rPr>
        <w:rFonts w:ascii="Symbol" w:hAnsi="Symbol" w:cs="Symbol" w:hint="default"/>
        <w:lang w:val="en-GB"/>
      </w:rPr>
    </w:lvl>
    <w:lvl w:ilvl="1">
      <w:start w:val="1"/>
      <w:numFmt w:val="bullet"/>
      <w:lvlText w:val="o"/>
      <w:lvlJc w:val="left"/>
      <w:pPr>
        <w:tabs>
          <w:tab w:val="num" w:pos="0"/>
        </w:tabs>
        <w:ind w:left="1505" w:hanging="360"/>
      </w:pPr>
      <w:rPr>
        <w:rFonts w:ascii="Courier New" w:hAnsi="Courier New" w:cs="Courier New" w:hint="default"/>
        <w:lang w:val="en-GB"/>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lang w:val="en-GB"/>
      </w:rPr>
    </w:lvl>
    <w:lvl w:ilvl="4">
      <w:start w:val="1"/>
      <w:numFmt w:val="bullet"/>
      <w:lvlText w:val="o"/>
      <w:lvlJc w:val="left"/>
      <w:pPr>
        <w:tabs>
          <w:tab w:val="num" w:pos="0"/>
        </w:tabs>
        <w:ind w:left="3665" w:hanging="360"/>
      </w:pPr>
      <w:rPr>
        <w:rFonts w:ascii="Courier New" w:hAnsi="Courier New" w:cs="Courier New" w:hint="default"/>
        <w:lang w:val="en-GB"/>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lang w:val="en-GB"/>
      </w:rPr>
    </w:lvl>
    <w:lvl w:ilvl="7">
      <w:start w:val="1"/>
      <w:numFmt w:val="bullet"/>
      <w:lvlText w:val="o"/>
      <w:lvlJc w:val="left"/>
      <w:pPr>
        <w:tabs>
          <w:tab w:val="num" w:pos="0"/>
        </w:tabs>
        <w:ind w:left="5825" w:hanging="360"/>
      </w:pPr>
      <w:rPr>
        <w:rFonts w:ascii="Courier New" w:hAnsi="Courier New" w:cs="Courier New" w:hint="default"/>
        <w:lang w:val="en-GB"/>
      </w:rPr>
    </w:lvl>
    <w:lvl w:ilvl="8">
      <w:start w:val="1"/>
      <w:numFmt w:val="bullet"/>
      <w:lvlText w:val=""/>
      <w:lvlJc w:val="left"/>
      <w:pPr>
        <w:tabs>
          <w:tab w:val="num" w:pos="0"/>
        </w:tabs>
        <w:ind w:left="6545" w:hanging="360"/>
      </w:pPr>
      <w:rPr>
        <w:rFonts w:ascii="Wingdings" w:hAnsi="Wingdings" w:cs="Wingdings" w:hint="default"/>
      </w:rPr>
    </w:lvl>
  </w:abstractNum>
  <w:abstractNum w:abstractNumId="1">
    <w:nsid w:val="017D4C2D"/>
    <w:multiLevelType w:val="hybridMultilevel"/>
    <w:tmpl w:val="462C8D66"/>
    <w:lvl w:ilvl="0" w:tplc="E5347A1E">
      <w:start w:val="1"/>
      <w:numFmt w:val="bullet"/>
      <w:lvlText w:val="•"/>
      <w:lvlJc w:val="left"/>
      <w:pPr>
        <w:tabs>
          <w:tab w:val="num" w:pos="720"/>
        </w:tabs>
        <w:ind w:left="720" w:hanging="360"/>
      </w:pPr>
      <w:rPr>
        <w:rFonts w:ascii="Arial" w:hAnsi="Arial" w:hint="default"/>
      </w:rPr>
    </w:lvl>
    <w:lvl w:ilvl="1" w:tplc="55BC7958" w:tentative="1">
      <w:start w:val="1"/>
      <w:numFmt w:val="bullet"/>
      <w:lvlText w:val="•"/>
      <w:lvlJc w:val="left"/>
      <w:pPr>
        <w:tabs>
          <w:tab w:val="num" w:pos="1440"/>
        </w:tabs>
        <w:ind w:left="1440" w:hanging="360"/>
      </w:pPr>
      <w:rPr>
        <w:rFonts w:ascii="Arial" w:hAnsi="Arial" w:hint="default"/>
      </w:rPr>
    </w:lvl>
    <w:lvl w:ilvl="2" w:tplc="86AE44BA" w:tentative="1">
      <w:start w:val="1"/>
      <w:numFmt w:val="bullet"/>
      <w:lvlText w:val="•"/>
      <w:lvlJc w:val="left"/>
      <w:pPr>
        <w:tabs>
          <w:tab w:val="num" w:pos="2160"/>
        </w:tabs>
        <w:ind w:left="2160" w:hanging="360"/>
      </w:pPr>
      <w:rPr>
        <w:rFonts w:ascii="Arial" w:hAnsi="Arial" w:hint="default"/>
      </w:rPr>
    </w:lvl>
    <w:lvl w:ilvl="3" w:tplc="0C125FFE" w:tentative="1">
      <w:start w:val="1"/>
      <w:numFmt w:val="bullet"/>
      <w:lvlText w:val="•"/>
      <w:lvlJc w:val="left"/>
      <w:pPr>
        <w:tabs>
          <w:tab w:val="num" w:pos="2880"/>
        </w:tabs>
        <w:ind w:left="2880" w:hanging="360"/>
      </w:pPr>
      <w:rPr>
        <w:rFonts w:ascii="Arial" w:hAnsi="Arial" w:hint="default"/>
      </w:rPr>
    </w:lvl>
    <w:lvl w:ilvl="4" w:tplc="171C1242" w:tentative="1">
      <w:start w:val="1"/>
      <w:numFmt w:val="bullet"/>
      <w:lvlText w:val="•"/>
      <w:lvlJc w:val="left"/>
      <w:pPr>
        <w:tabs>
          <w:tab w:val="num" w:pos="3600"/>
        </w:tabs>
        <w:ind w:left="3600" w:hanging="360"/>
      </w:pPr>
      <w:rPr>
        <w:rFonts w:ascii="Arial" w:hAnsi="Arial" w:hint="default"/>
      </w:rPr>
    </w:lvl>
    <w:lvl w:ilvl="5" w:tplc="B2168140" w:tentative="1">
      <w:start w:val="1"/>
      <w:numFmt w:val="bullet"/>
      <w:lvlText w:val="•"/>
      <w:lvlJc w:val="left"/>
      <w:pPr>
        <w:tabs>
          <w:tab w:val="num" w:pos="4320"/>
        </w:tabs>
        <w:ind w:left="4320" w:hanging="360"/>
      </w:pPr>
      <w:rPr>
        <w:rFonts w:ascii="Arial" w:hAnsi="Arial" w:hint="default"/>
      </w:rPr>
    </w:lvl>
    <w:lvl w:ilvl="6" w:tplc="E2EE635C" w:tentative="1">
      <w:start w:val="1"/>
      <w:numFmt w:val="bullet"/>
      <w:lvlText w:val="•"/>
      <w:lvlJc w:val="left"/>
      <w:pPr>
        <w:tabs>
          <w:tab w:val="num" w:pos="5040"/>
        </w:tabs>
        <w:ind w:left="5040" w:hanging="360"/>
      </w:pPr>
      <w:rPr>
        <w:rFonts w:ascii="Arial" w:hAnsi="Arial" w:hint="default"/>
      </w:rPr>
    </w:lvl>
    <w:lvl w:ilvl="7" w:tplc="4AB42BDA" w:tentative="1">
      <w:start w:val="1"/>
      <w:numFmt w:val="bullet"/>
      <w:lvlText w:val="•"/>
      <w:lvlJc w:val="left"/>
      <w:pPr>
        <w:tabs>
          <w:tab w:val="num" w:pos="5760"/>
        </w:tabs>
        <w:ind w:left="5760" w:hanging="360"/>
      </w:pPr>
      <w:rPr>
        <w:rFonts w:ascii="Arial" w:hAnsi="Arial" w:hint="default"/>
      </w:rPr>
    </w:lvl>
    <w:lvl w:ilvl="8" w:tplc="A08A5148" w:tentative="1">
      <w:start w:val="1"/>
      <w:numFmt w:val="bullet"/>
      <w:lvlText w:val="•"/>
      <w:lvlJc w:val="left"/>
      <w:pPr>
        <w:tabs>
          <w:tab w:val="num" w:pos="6480"/>
        </w:tabs>
        <w:ind w:left="6480" w:hanging="360"/>
      </w:pPr>
      <w:rPr>
        <w:rFonts w:ascii="Arial" w:hAnsi="Arial" w:hint="default"/>
      </w:rPr>
    </w:lvl>
  </w:abstractNum>
  <w:abstractNum w:abstractNumId="2">
    <w:nsid w:val="03DE0D10"/>
    <w:multiLevelType w:val="hybridMultilevel"/>
    <w:tmpl w:val="9760AC90"/>
    <w:lvl w:ilvl="0" w:tplc="B9581924">
      <w:start w:val="1"/>
      <w:numFmt w:val="bullet"/>
      <w:lvlText w:val="•"/>
      <w:lvlJc w:val="left"/>
      <w:pPr>
        <w:tabs>
          <w:tab w:val="num" w:pos="720"/>
        </w:tabs>
        <w:ind w:left="720" w:hanging="360"/>
      </w:pPr>
      <w:rPr>
        <w:rFonts w:ascii="Arial" w:hAnsi="Arial" w:hint="default"/>
      </w:rPr>
    </w:lvl>
    <w:lvl w:ilvl="1" w:tplc="C6042F7E" w:tentative="1">
      <w:start w:val="1"/>
      <w:numFmt w:val="bullet"/>
      <w:lvlText w:val="•"/>
      <w:lvlJc w:val="left"/>
      <w:pPr>
        <w:tabs>
          <w:tab w:val="num" w:pos="1440"/>
        </w:tabs>
        <w:ind w:left="1440" w:hanging="360"/>
      </w:pPr>
      <w:rPr>
        <w:rFonts w:ascii="Arial" w:hAnsi="Arial" w:hint="default"/>
      </w:rPr>
    </w:lvl>
    <w:lvl w:ilvl="2" w:tplc="3F6C80B6" w:tentative="1">
      <w:start w:val="1"/>
      <w:numFmt w:val="bullet"/>
      <w:lvlText w:val="•"/>
      <w:lvlJc w:val="left"/>
      <w:pPr>
        <w:tabs>
          <w:tab w:val="num" w:pos="2160"/>
        </w:tabs>
        <w:ind w:left="2160" w:hanging="360"/>
      </w:pPr>
      <w:rPr>
        <w:rFonts w:ascii="Arial" w:hAnsi="Arial" w:hint="default"/>
      </w:rPr>
    </w:lvl>
    <w:lvl w:ilvl="3" w:tplc="50C0664C" w:tentative="1">
      <w:start w:val="1"/>
      <w:numFmt w:val="bullet"/>
      <w:lvlText w:val="•"/>
      <w:lvlJc w:val="left"/>
      <w:pPr>
        <w:tabs>
          <w:tab w:val="num" w:pos="2880"/>
        </w:tabs>
        <w:ind w:left="2880" w:hanging="360"/>
      </w:pPr>
      <w:rPr>
        <w:rFonts w:ascii="Arial" w:hAnsi="Arial" w:hint="default"/>
      </w:rPr>
    </w:lvl>
    <w:lvl w:ilvl="4" w:tplc="028888E4" w:tentative="1">
      <w:start w:val="1"/>
      <w:numFmt w:val="bullet"/>
      <w:lvlText w:val="•"/>
      <w:lvlJc w:val="left"/>
      <w:pPr>
        <w:tabs>
          <w:tab w:val="num" w:pos="3600"/>
        </w:tabs>
        <w:ind w:left="3600" w:hanging="360"/>
      </w:pPr>
      <w:rPr>
        <w:rFonts w:ascii="Arial" w:hAnsi="Arial" w:hint="default"/>
      </w:rPr>
    </w:lvl>
    <w:lvl w:ilvl="5" w:tplc="2C620B80" w:tentative="1">
      <w:start w:val="1"/>
      <w:numFmt w:val="bullet"/>
      <w:lvlText w:val="•"/>
      <w:lvlJc w:val="left"/>
      <w:pPr>
        <w:tabs>
          <w:tab w:val="num" w:pos="4320"/>
        </w:tabs>
        <w:ind w:left="4320" w:hanging="360"/>
      </w:pPr>
      <w:rPr>
        <w:rFonts w:ascii="Arial" w:hAnsi="Arial" w:hint="default"/>
      </w:rPr>
    </w:lvl>
    <w:lvl w:ilvl="6" w:tplc="70CCA778" w:tentative="1">
      <w:start w:val="1"/>
      <w:numFmt w:val="bullet"/>
      <w:lvlText w:val="•"/>
      <w:lvlJc w:val="left"/>
      <w:pPr>
        <w:tabs>
          <w:tab w:val="num" w:pos="5040"/>
        </w:tabs>
        <w:ind w:left="5040" w:hanging="360"/>
      </w:pPr>
      <w:rPr>
        <w:rFonts w:ascii="Arial" w:hAnsi="Arial" w:hint="default"/>
      </w:rPr>
    </w:lvl>
    <w:lvl w:ilvl="7" w:tplc="1D6ADA16" w:tentative="1">
      <w:start w:val="1"/>
      <w:numFmt w:val="bullet"/>
      <w:lvlText w:val="•"/>
      <w:lvlJc w:val="left"/>
      <w:pPr>
        <w:tabs>
          <w:tab w:val="num" w:pos="5760"/>
        </w:tabs>
        <w:ind w:left="5760" w:hanging="360"/>
      </w:pPr>
      <w:rPr>
        <w:rFonts w:ascii="Arial" w:hAnsi="Arial" w:hint="default"/>
      </w:rPr>
    </w:lvl>
    <w:lvl w:ilvl="8" w:tplc="231C5A5E" w:tentative="1">
      <w:start w:val="1"/>
      <w:numFmt w:val="bullet"/>
      <w:lvlText w:val="•"/>
      <w:lvlJc w:val="left"/>
      <w:pPr>
        <w:tabs>
          <w:tab w:val="num" w:pos="6480"/>
        </w:tabs>
        <w:ind w:left="6480" w:hanging="360"/>
      </w:pPr>
      <w:rPr>
        <w:rFonts w:ascii="Arial" w:hAnsi="Arial" w:hint="default"/>
      </w:rPr>
    </w:lvl>
  </w:abstractNum>
  <w:abstractNum w:abstractNumId="3">
    <w:nsid w:val="14BE5E85"/>
    <w:multiLevelType w:val="hybridMultilevel"/>
    <w:tmpl w:val="BA665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1810A1"/>
    <w:multiLevelType w:val="hybridMultilevel"/>
    <w:tmpl w:val="41B07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4F1622F"/>
    <w:multiLevelType w:val="hybridMultilevel"/>
    <w:tmpl w:val="D8F01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6717A77"/>
    <w:multiLevelType w:val="hybridMultilevel"/>
    <w:tmpl w:val="80A8554A"/>
    <w:lvl w:ilvl="0" w:tplc="7F904712">
      <w:start w:val="1"/>
      <w:numFmt w:val="bullet"/>
      <w:pStyle w:val="Bullet"/>
      <w:lvlText w:val=""/>
      <w:lvlJc w:val="left"/>
      <w:pPr>
        <w:ind w:left="720" w:hanging="360"/>
      </w:pPr>
      <w:rPr>
        <w:rFonts w:ascii="Symbol" w:hAnsi="Symbol"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792C6BFB"/>
    <w:multiLevelType w:val="hybridMultilevel"/>
    <w:tmpl w:val="A1B294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7A3A665F"/>
    <w:multiLevelType w:val="hybridMultilevel"/>
    <w:tmpl w:val="228A5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0"/>
  </w:num>
  <w:num w:numId="5">
    <w:abstractNumId w:val="7"/>
  </w:num>
  <w:num w:numId="6">
    <w:abstractNumId w:val="3"/>
  </w:num>
  <w:num w:numId="7">
    <w:abstractNumId w:val="4"/>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0477DA"/>
    <w:rsid w:val="00000BD5"/>
    <w:rsid w:val="00000D70"/>
    <w:rsid w:val="000221B9"/>
    <w:rsid w:val="0002776E"/>
    <w:rsid w:val="00035D7A"/>
    <w:rsid w:val="00037E15"/>
    <w:rsid w:val="00040498"/>
    <w:rsid w:val="000452B9"/>
    <w:rsid w:val="000477DA"/>
    <w:rsid w:val="00051863"/>
    <w:rsid w:val="00053301"/>
    <w:rsid w:val="00072AD4"/>
    <w:rsid w:val="00074FBF"/>
    <w:rsid w:val="0009213E"/>
    <w:rsid w:val="000A635C"/>
    <w:rsid w:val="000B192D"/>
    <w:rsid w:val="000B471B"/>
    <w:rsid w:val="000B5A49"/>
    <w:rsid w:val="000C2AE0"/>
    <w:rsid w:val="000C2F51"/>
    <w:rsid w:val="000C4BB2"/>
    <w:rsid w:val="000C7540"/>
    <w:rsid w:val="000D16A9"/>
    <w:rsid w:val="000D4D0C"/>
    <w:rsid w:val="000D5663"/>
    <w:rsid w:val="000D56D9"/>
    <w:rsid w:val="000D7107"/>
    <w:rsid w:val="000E35C8"/>
    <w:rsid w:val="000E4159"/>
    <w:rsid w:val="000E6005"/>
    <w:rsid w:val="000E69D7"/>
    <w:rsid w:val="000F2579"/>
    <w:rsid w:val="00130DC6"/>
    <w:rsid w:val="001518B6"/>
    <w:rsid w:val="00154290"/>
    <w:rsid w:val="00157DD3"/>
    <w:rsid w:val="001754F8"/>
    <w:rsid w:val="00180B1F"/>
    <w:rsid w:val="00181996"/>
    <w:rsid w:val="0019414E"/>
    <w:rsid w:val="001960C5"/>
    <w:rsid w:val="001A1A97"/>
    <w:rsid w:val="001A67A0"/>
    <w:rsid w:val="001B1ECE"/>
    <w:rsid w:val="001B3892"/>
    <w:rsid w:val="001B612C"/>
    <w:rsid w:val="001B6ED8"/>
    <w:rsid w:val="001B778E"/>
    <w:rsid w:val="001C53B9"/>
    <w:rsid w:val="001D31BE"/>
    <w:rsid w:val="001D6E0D"/>
    <w:rsid w:val="001E48F9"/>
    <w:rsid w:val="001F3DA5"/>
    <w:rsid w:val="001F7964"/>
    <w:rsid w:val="00202988"/>
    <w:rsid w:val="00213D75"/>
    <w:rsid w:val="00215BD3"/>
    <w:rsid w:val="002341A5"/>
    <w:rsid w:val="00237CF0"/>
    <w:rsid w:val="00240D79"/>
    <w:rsid w:val="0024141D"/>
    <w:rsid w:val="00242136"/>
    <w:rsid w:val="00245EBA"/>
    <w:rsid w:val="00245FFA"/>
    <w:rsid w:val="00262D84"/>
    <w:rsid w:val="002654C1"/>
    <w:rsid w:val="00296B28"/>
    <w:rsid w:val="002A644F"/>
    <w:rsid w:val="002B0F10"/>
    <w:rsid w:val="002B4F40"/>
    <w:rsid w:val="002C0F04"/>
    <w:rsid w:val="002D39FE"/>
    <w:rsid w:val="002D557C"/>
    <w:rsid w:val="002E5AA2"/>
    <w:rsid w:val="002E6D77"/>
    <w:rsid w:val="002E7931"/>
    <w:rsid w:val="002F760B"/>
    <w:rsid w:val="002F7BB4"/>
    <w:rsid w:val="003108EA"/>
    <w:rsid w:val="00325518"/>
    <w:rsid w:val="00333CC1"/>
    <w:rsid w:val="00335B94"/>
    <w:rsid w:val="00342E93"/>
    <w:rsid w:val="0034596B"/>
    <w:rsid w:val="00350C6C"/>
    <w:rsid w:val="00351480"/>
    <w:rsid w:val="00356122"/>
    <w:rsid w:val="00356B71"/>
    <w:rsid w:val="00374626"/>
    <w:rsid w:val="0038551F"/>
    <w:rsid w:val="0038586A"/>
    <w:rsid w:val="003A5112"/>
    <w:rsid w:val="003B5E7D"/>
    <w:rsid w:val="003C058D"/>
    <w:rsid w:val="003C6632"/>
    <w:rsid w:val="003D1340"/>
    <w:rsid w:val="003D1903"/>
    <w:rsid w:val="003D214F"/>
    <w:rsid w:val="003E4017"/>
    <w:rsid w:val="003F4A57"/>
    <w:rsid w:val="003F68B9"/>
    <w:rsid w:val="00401CD1"/>
    <w:rsid w:val="00410505"/>
    <w:rsid w:val="00411326"/>
    <w:rsid w:val="00412919"/>
    <w:rsid w:val="0042117E"/>
    <w:rsid w:val="00422779"/>
    <w:rsid w:val="00427B3E"/>
    <w:rsid w:val="004314CF"/>
    <w:rsid w:val="00433D41"/>
    <w:rsid w:val="00440CC9"/>
    <w:rsid w:val="0044196F"/>
    <w:rsid w:val="00450565"/>
    <w:rsid w:val="004559D2"/>
    <w:rsid w:val="0046620D"/>
    <w:rsid w:val="004765BD"/>
    <w:rsid w:val="004773EC"/>
    <w:rsid w:val="00484253"/>
    <w:rsid w:val="0049366D"/>
    <w:rsid w:val="004955D8"/>
    <w:rsid w:val="00497EFE"/>
    <w:rsid w:val="004A3EDD"/>
    <w:rsid w:val="004A5229"/>
    <w:rsid w:val="004A5405"/>
    <w:rsid w:val="004B3423"/>
    <w:rsid w:val="004D2417"/>
    <w:rsid w:val="004D4C81"/>
    <w:rsid w:val="004E151D"/>
    <w:rsid w:val="004E663D"/>
    <w:rsid w:val="004F05DF"/>
    <w:rsid w:val="004F33F5"/>
    <w:rsid w:val="005025DA"/>
    <w:rsid w:val="005036CD"/>
    <w:rsid w:val="00510678"/>
    <w:rsid w:val="005156EB"/>
    <w:rsid w:val="00515A7B"/>
    <w:rsid w:val="00530940"/>
    <w:rsid w:val="00533D74"/>
    <w:rsid w:val="00533F87"/>
    <w:rsid w:val="00537AD2"/>
    <w:rsid w:val="00540409"/>
    <w:rsid w:val="00574BC6"/>
    <w:rsid w:val="00584794"/>
    <w:rsid w:val="00587B77"/>
    <w:rsid w:val="0059153B"/>
    <w:rsid w:val="00596733"/>
    <w:rsid w:val="005A1204"/>
    <w:rsid w:val="005A1869"/>
    <w:rsid w:val="005A4963"/>
    <w:rsid w:val="005A52E6"/>
    <w:rsid w:val="005B37B4"/>
    <w:rsid w:val="005B7E33"/>
    <w:rsid w:val="005C330A"/>
    <w:rsid w:val="005D1D8D"/>
    <w:rsid w:val="005D1DF1"/>
    <w:rsid w:val="005D4D2A"/>
    <w:rsid w:val="005E189A"/>
    <w:rsid w:val="005E2890"/>
    <w:rsid w:val="005F0EEC"/>
    <w:rsid w:val="005F4AE2"/>
    <w:rsid w:val="006017C7"/>
    <w:rsid w:val="00626F64"/>
    <w:rsid w:val="00635525"/>
    <w:rsid w:val="00635F62"/>
    <w:rsid w:val="00646E56"/>
    <w:rsid w:val="00653599"/>
    <w:rsid w:val="006540B5"/>
    <w:rsid w:val="00656CD5"/>
    <w:rsid w:val="006615E5"/>
    <w:rsid w:val="0066773F"/>
    <w:rsid w:val="006679C1"/>
    <w:rsid w:val="00673F85"/>
    <w:rsid w:val="00675620"/>
    <w:rsid w:val="00682DFB"/>
    <w:rsid w:val="00683B3F"/>
    <w:rsid w:val="00686138"/>
    <w:rsid w:val="00692F35"/>
    <w:rsid w:val="006942FA"/>
    <w:rsid w:val="0069660F"/>
    <w:rsid w:val="006B6396"/>
    <w:rsid w:val="006D49A7"/>
    <w:rsid w:val="006E0233"/>
    <w:rsid w:val="006E1F5F"/>
    <w:rsid w:val="006E51AC"/>
    <w:rsid w:val="0071454A"/>
    <w:rsid w:val="00720FD9"/>
    <w:rsid w:val="00726B7C"/>
    <w:rsid w:val="00736216"/>
    <w:rsid w:val="007443F5"/>
    <w:rsid w:val="007448DF"/>
    <w:rsid w:val="00756BB7"/>
    <w:rsid w:val="007579A2"/>
    <w:rsid w:val="0076087D"/>
    <w:rsid w:val="00774C54"/>
    <w:rsid w:val="00781AAE"/>
    <w:rsid w:val="007848E1"/>
    <w:rsid w:val="007870A1"/>
    <w:rsid w:val="007909E1"/>
    <w:rsid w:val="007A5E8D"/>
    <w:rsid w:val="007B5B53"/>
    <w:rsid w:val="007C24C2"/>
    <w:rsid w:val="007C4ED2"/>
    <w:rsid w:val="007E22D5"/>
    <w:rsid w:val="007F001F"/>
    <w:rsid w:val="007F6D0C"/>
    <w:rsid w:val="008146D4"/>
    <w:rsid w:val="00833484"/>
    <w:rsid w:val="00834358"/>
    <w:rsid w:val="00835196"/>
    <w:rsid w:val="00837077"/>
    <w:rsid w:val="00841A57"/>
    <w:rsid w:val="00841BD3"/>
    <w:rsid w:val="00843C19"/>
    <w:rsid w:val="008449C8"/>
    <w:rsid w:val="00853F37"/>
    <w:rsid w:val="00856F0E"/>
    <w:rsid w:val="00861256"/>
    <w:rsid w:val="0087333D"/>
    <w:rsid w:val="00875280"/>
    <w:rsid w:val="008835F7"/>
    <w:rsid w:val="0088693E"/>
    <w:rsid w:val="00887CC7"/>
    <w:rsid w:val="008905A3"/>
    <w:rsid w:val="00893CE5"/>
    <w:rsid w:val="008A0958"/>
    <w:rsid w:val="008A13F5"/>
    <w:rsid w:val="008B11BB"/>
    <w:rsid w:val="008B630C"/>
    <w:rsid w:val="008D6C64"/>
    <w:rsid w:val="008F085C"/>
    <w:rsid w:val="008F091C"/>
    <w:rsid w:val="008F40FB"/>
    <w:rsid w:val="0090722F"/>
    <w:rsid w:val="0091126C"/>
    <w:rsid w:val="00913B4F"/>
    <w:rsid w:val="00920DDE"/>
    <w:rsid w:val="00930FCE"/>
    <w:rsid w:val="0094315B"/>
    <w:rsid w:val="00945C0A"/>
    <w:rsid w:val="0095166D"/>
    <w:rsid w:val="00956282"/>
    <w:rsid w:val="009611A9"/>
    <w:rsid w:val="00970B7C"/>
    <w:rsid w:val="00972275"/>
    <w:rsid w:val="00972647"/>
    <w:rsid w:val="00974518"/>
    <w:rsid w:val="0097603A"/>
    <w:rsid w:val="00980B2E"/>
    <w:rsid w:val="00984C21"/>
    <w:rsid w:val="0098534D"/>
    <w:rsid w:val="00986E10"/>
    <w:rsid w:val="00991908"/>
    <w:rsid w:val="0099425F"/>
    <w:rsid w:val="00997B3A"/>
    <w:rsid w:val="009A574D"/>
    <w:rsid w:val="009B3639"/>
    <w:rsid w:val="009B4E63"/>
    <w:rsid w:val="009C3CE6"/>
    <w:rsid w:val="009D68B3"/>
    <w:rsid w:val="009E0A51"/>
    <w:rsid w:val="009F2BB2"/>
    <w:rsid w:val="009F351D"/>
    <w:rsid w:val="009F71C4"/>
    <w:rsid w:val="00A04E56"/>
    <w:rsid w:val="00A140E7"/>
    <w:rsid w:val="00A17296"/>
    <w:rsid w:val="00A21EA5"/>
    <w:rsid w:val="00A43CF7"/>
    <w:rsid w:val="00A47978"/>
    <w:rsid w:val="00A84765"/>
    <w:rsid w:val="00A92062"/>
    <w:rsid w:val="00AB50C4"/>
    <w:rsid w:val="00AC077B"/>
    <w:rsid w:val="00AC1570"/>
    <w:rsid w:val="00AC3D2C"/>
    <w:rsid w:val="00AD0919"/>
    <w:rsid w:val="00AD68FA"/>
    <w:rsid w:val="00AE3397"/>
    <w:rsid w:val="00AE711F"/>
    <w:rsid w:val="00AF1782"/>
    <w:rsid w:val="00AF25BD"/>
    <w:rsid w:val="00B0680A"/>
    <w:rsid w:val="00B10931"/>
    <w:rsid w:val="00B14296"/>
    <w:rsid w:val="00B1797E"/>
    <w:rsid w:val="00B21771"/>
    <w:rsid w:val="00B22129"/>
    <w:rsid w:val="00B2380F"/>
    <w:rsid w:val="00B33216"/>
    <w:rsid w:val="00B33D2C"/>
    <w:rsid w:val="00B40978"/>
    <w:rsid w:val="00B432C9"/>
    <w:rsid w:val="00B43D97"/>
    <w:rsid w:val="00B44EC1"/>
    <w:rsid w:val="00B4603D"/>
    <w:rsid w:val="00B57B64"/>
    <w:rsid w:val="00B60449"/>
    <w:rsid w:val="00B6102B"/>
    <w:rsid w:val="00B63BCB"/>
    <w:rsid w:val="00B654CE"/>
    <w:rsid w:val="00B70F86"/>
    <w:rsid w:val="00B7688D"/>
    <w:rsid w:val="00B859A2"/>
    <w:rsid w:val="00B94408"/>
    <w:rsid w:val="00BA301A"/>
    <w:rsid w:val="00BB1B65"/>
    <w:rsid w:val="00BB6E6D"/>
    <w:rsid w:val="00BC2921"/>
    <w:rsid w:val="00BD24F9"/>
    <w:rsid w:val="00BD71EB"/>
    <w:rsid w:val="00BE475C"/>
    <w:rsid w:val="00BF0169"/>
    <w:rsid w:val="00BF0CB8"/>
    <w:rsid w:val="00C12C64"/>
    <w:rsid w:val="00C13A86"/>
    <w:rsid w:val="00C1430D"/>
    <w:rsid w:val="00C22CB4"/>
    <w:rsid w:val="00C308DD"/>
    <w:rsid w:val="00C360E6"/>
    <w:rsid w:val="00C458AF"/>
    <w:rsid w:val="00C524F2"/>
    <w:rsid w:val="00C55147"/>
    <w:rsid w:val="00C55949"/>
    <w:rsid w:val="00C6668B"/>
    <w:rsid w:val="00C942E7"/>
    <w:rsid w:val="00CA1126"/>
    <w:rsid w:val="00CB4BC2"/>
    <w:rsid w:val="00CB773B"/>
    <w:rsid w:val="00CC2D72"/>
    <w:rsid w:val="00CC3A0A"/>
    <w:rsid w:val="00CD32A8"/>
    <w:rsid w:val="00CD3FC4"/>
    <w:rsid w:val="00CD5C70"/>
    <w:rsid w:val="00CD7988"/>
    <w:rsid w:val="00CE0B2D"/>
    <w:rsid w:val="00CE0D78"/>
    <w:rsid w:val="00CE1C36"/>
    <w:rsid w:val="00CE2782"/>
    <w:rsid w:val="00D02A3D"/>
    <w:rsid w:val="00D4657F"/>
    <w:rsid w:val="00D60E7C"/>
    <w:rsid w:val="00D637F0"/>
    <w:rsid w:val="00D64483"/>
    <w:rsid w:val="00D651FE"/>
    <w:rsid w:val="00D66154"/>
    <w:rsid w:val="00D72581"/>
    <w:rsid w:val="00D74E32"/>
    <w:rsid w:val="00D81F70"/>
    <w:rsid w:val="00D972E3"/>
    <w:rsid w:val="00DB008D"/>
    <w:rsid w:val="00DB2041"/>
    <w:rsid w:val="00DC3071"/>
    <w:rsid w:val="00DD5917"/>
    <w:rsid w:val="00DE22BA"/>
    <w:rsid w:val="00DE7B66"/>
    <w:rsid w:val="00DF2C36"/>
    <w:rsid w:val="00E15D10"/>
    <w:rsid w:val="00E20137"/>
    <w:rsid w:val="00E228C9"/>
    <w:rsid w:val="00E32ADF"/>
    <w:rsid w:val="00E3461F"/>
    <w:rsid w:val="00E36B67"/>
    <w:rsid w:val="00E40BC9"/>
    <w:rsid w:val="00E44277"/>
    <w:rsid w:val="00E57280"/>
    <w:rsid w:val="00E64708"/>
    <w:rsid w:val="00E9078F"/>
    <w:rsid w:val="00E91010"/>
    <w:rsid w:val="00EA40C9"/>
    <w:rsid w:val="00EA4225"/>
    <w:rsid w:val="00EB5CB4"/>
    <w:rsid w:val="00EB621F"/>
    <w:rsid w:val="00EC3C32"/>
    <w:rsid w:val="00EC4FCB"/>
    <w:rsid w:val="00EC664D"/>
    <w:rsid w:val="00EC79C0"/>
    <w:rsid w:val="00ED1F0A"/>
    <w:rsid w:val="00EF2A73"/>
    <w:rsid w:val="00F036F6"/>
    <w:rsid w:val="00F05E70"/>
    <w:rsid w:val="00F06D67"/>
    <w:rsid w:val="00F163F1"/>
    <w:rsid w:val="00F311E2"/>
    <w:rsid w:val="00F4491B"/>
    <w:rsid w:val="00F55E5D"/>
    <w:rsid w:val="00F567B2"/>
    <w:rsid w:val="00F608F3"/>
    <w:rsid w:val="00F62B44"/>
    <w:rsid w:val="00F64679"/>
    <w:rsid w:val="00F80957"/>
    <w:rsid w:val="00F913F5"/>
    <w:rsid w:val="00FA659D"/>
    <w:rsid w:val="00FB1745"/>
    <w:rsid w:val="00FB2EC1"/>
    <w:rsid w:val="00FE42A4"/>
    <w:rsid w:val="00FF121C"/>
    <w:rsid w:val="00FF31E0"/>
    <w:rsid w:val="00FF47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1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1FE"/>
    <w:rPr>
      <w:color w:val="0563C1" w:themeColor="hyperlink"/>
      <w:u w:val="single"/>
    </w:rPr>
  </w:style>
  <w:style w:type="character" w:customStyle="1" w:styleId="UnresolvedMention">
    <w:name w:val="Unresolved Mention"/>
    <w:basedOn w:val="DefaultParagraphFont"/>
    <w:uiPriority w:val="99"/>
    <w:semiHidden/>
    <w:unhideWhenUsed/>
    <w:rsid w:val="009F71C4"/>
    <w:rPr>
      <w:color w:val="605E5C"/>
      <w:shd w:val="clear" w:color="auto" w:fill="E1DFDD"/>
    </w:rPr>
  </w:style>
  <w:style w:type="paragraph" w:styleId="ListParagraph">
    <w:name w:val="List Paragraph"/>
    <w:basedOn w:val="Normal"/>
    <w:uiPriority w:val="34"/>
    <w:qFormat/>
    <w:rsid w:val="00ED1F0A"/>
    <w:pPr>
      <w:ind w:left="720"/>
      <w:contextualSpacing/>
    </w:pPr>
  </w:style>
  <w:style w:type="paragraph" w:customStyle="1" w:styleId="paragraph">
    <w:name w:val="paragraph"/>
    <w:basedOn w:val="Normal"/>
    <w:rsid w:val="00F163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163F1"/>
  </w:style>
  <w:style w:type="paragraph" w:styleId="NormalWeb">
    <w:name w:val="Normal (Web)"/>
    <w:basedOn w:val="Normal"/>
    <w:uiPriority w:val="99"/>
    <w:semiHidden/>
    <w:unhideWhenUsed/>
    <w:rsid w:val="005A186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semiHidden/>
    <w:unhideWhenUsed/>
    <w:rsid w:val="000452B9"/>
    <w:pPr>
      <w:spacing w:before="60" w:after="60" w:line="300" w:lineRule="atLeast"/>
    </w:pPr>
    <w:rPr>
      <w:rFonts w:ascii="Arial" w:eastAsia="Times New Roman" w:hAnsi="Arial" w:cs="Times New Roman"/>
      <w:kern w:val="28"/>
      <w:sz w:val="20"/>
      <w:szCs w:val="20"/>
      <w:lang w:eastAsia="en-GB"/>
    </w:rPr>
  </w:style>
  <w:style w:type="character" w:customStyle="1" w:styleId="BodyTextChar">
    <w:name w:val="Body Text Char"/>
    <w:basedOn w:val="DefaultParagraphFont"/>
    <w:link w:val="BodyText"/>
    <w:semiHidden/>
    <w:rsid w:val="000452B9"/>
    <w:rPr>
      <w:rFonts w:ascii="Arial" w:eastAsia="Times New Roman" w:hAnsi="Arial" w:cs="Times New Roman"/>
      <w:kern w:val="28"/>
      <w:sz w:val="20"/>
      <w:szCs w:val="20"/>
      <w:lang w:eastAsia="en-GB"/>
    </w:rPr>
  </w:style>
  <w:style w:type="character" w:styleId="CommentReference">
    <w:name w:val="annotation reference"/>
    <w:basedOn w:val="DefaultParagraphFont"/>
    <w:uiPriority w:val="99"/>
    <w:semiHidden/>
    <w:unhideWhenUsed/>
    <w:rsid w:val="000E6005"/>
    <w:rPr>
      <w:sz w:val="16"/>
      <w:szCs w:val="16"/>
    </w:rPr>
  </w:style>
  <w:style w:type="paragraph" w:styleId="CommentText">
    <w:name w:val="annotation text"/>
    <w:basedOn w:val="Normal"/>
    <w:link w:val="CommentTextChar"/>
    <w:uiPriority w:val="99"/>
    <w:semiHidden/>
    <w:unhideWhenUsed/>
    <w:rsid w:val="000E6005"/>
    <w:pPr>
      <w:spacing w:line="240" w:lineRule="auto"/>
    </w:pPr>
    <w:rPr>
      <w:sz w:val="20"/>
      <w:szCs w:val="20"/>
    </w:rPr>
  </w:style>
  <w:style w:type="character" w:customStyle="1" w:styleId="CommentTextChar">
    <w:name w:val="Comment Text Char"/>
    <w:basedOn w:val="DefaultParagraphFont"/>
    <w:link w:val="CommentText"/>
    <w:uiPriority w:val="99"/>
    <w:semiHidden/>
    <w:rsid w:val="000E6005"/>
    <w:rPr>
      <w:sz w:val="20"/>
      <w:szCs w:val="20"/>
    </w:rPr>
  </w:style>
  <w:style w:type="paragraph" w:styleId="CommentSubject">
    <w:name w:val="annotation subject"/>
    <w:basedOn w:val="CommentText"/>
    <w:next w:val="CommentText"/>
    <w:link w:val="CommentSubjectChar"/>
    <w:uiPriority w:val="99"/>
    <w:semiHidden/>
    <w:unhideWhenUsed/>
    <w:rsid w:val="000E6005"/>
    <w:rPr>
      <w:b/>
      <w:bCs/>
    </w:rPr>
  </w:style>
  <w:style w:type="character" w:customStyle="1" w:styleId="CommentSubjectChar">
    <w:name w:val="Comment Subject Char"/>
    <w:basedOn w:val="CommentTextChar"/>
    <w:link w:val="CommentSubject"/>
    <w:uiPriority w:val="99"/>
    <w:semiHidden/>
    <w:rsid w:val="000E6005"/>
    <w:rPr>
      <w:b/>
      <w:bCs/>
      <w:sz w:val="20"/>
      <w:szCs w:val="20"/>
    </w:rPr>
  </w:style>
  <w:style w:type="paragraph" w:styleId="BalloonText">
    <w:name w:val="Balloon Text"/>
    <w:basedOn w:val="Normal"/>
    <w:link w:val="BalloonTextChar"/>
    <w:uiPriority w:val="99"/>
    <w:semiHidden/>
    <w:unhideWhenUsed/>
    <w:rsid w:val="000E60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005"/>
    <w:rPr>
      <w:rFonts w:ascii="Segoe UI" w:hAnsi="Segoe UI" w:cs="Segoe UI"/>
      <w:sz w:val="18"/>
      <w:szCs w:val="18"/>
    </w:rPr>
  </w:style>
  <w:style w:type="character" w:customStyle="1" w:styleId="eop">
    <w:name w:val="eop"/>
    <w:basedOn w:val="DefaultParagraphFont"/>
    <w:rsid w:val="003D214F"/>
  </w:style>
  <w:style w:type="paragraph" w:customStyle="1" w:styleId="Bullet">
    <w:name w:val="Bullet"/>
    <w:basedOn w:val="ListParagraph"/>
    <w:uiPriority w:val="2"/>
    <w:qFormat/>
    <w:rsid w:val="005D1DF1"/>
    <w:pPr>
      <w:numPr>
        <w:numId w:val="9"/>
      </w:numPr>
      <w:tabs>
        <w:tab w:val="num" w:pos="360"/>
      </w:tabs>
      <w:spacing w:before="120" w:after="120" w:line="360" w:lineRule="auto"/>
      <w:ind w:firstLine="0"/>
    </w:pPr>
    <w:rPr>
      <w:rFonts w:ascii="Trebuchet MS" w:eastAsia="Times New Roman" w:hAnsi="Trebuchet MS" w:cs="Times New Roman"/>
      <w:szCs w:val="20"/>
      <w:lang w:eastAsia="en-GB"/>
    </w:rPr>
  </w:style>
  <w:style w:type="paragraph" w:styleId="Header">
    <w:name w:val="header"/>
    <w:basedOn w:val="Normal"/>
    <w:link w:val="HeaderChar"/>
    <w:uiPriority w:val="99"/>
    <w:semiHidden/>
    <w:unhideWhenUsed/>
    <w:rsid w:val="0099425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9425F"/>
  </w:style>
  <w:style w:type="paragraph" w:styleId="Footer">
    <w:name w:val="footer"/>
    <w:basedOn w:val="Normal"/>
    <w:link w:val="FooterChar"/>
    <w:uiPriority w:val="99"/>
    <w:semiHidden/>
    <w:unhideWhenUsed/>
    <w:rsid w:val="0099425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9425F"/>
  </w:style>
</w:styles>
</file>

<file path=word/webSettings.xml><?xml version="1.0" encoding="utf-8"?>
<w:webSettings xmlns:r="http://schemas.openxmlformats.org/officeDocument/2006/relationships" xmlns:w="http://schemas.openxmlformats.org/wordprocessingml/2006/main">
  <w:divs>
    <w:div w:id="8676360">
      <w:bodyDiv w:val="1"/>
      <w:marLeft w:val="0"/>
      <w:marRight w:val="0"/>
      <w:marTop w:val="0"/>
      <w:marBottom w:val="0"/>
      <w:divBdr>
        <w:top w:val="none" w:sz="0" w:space="0" w:color="auto"/>
        <w:left w:val="none" w:sz="0" w:space="0" w:color="auto"/>
        <w:bottom w:val="none" w:sz="0" w:space="0" w:color="auto"/>
        <w:right w:val="none" w:sz="0" w:space="0" w:color="auto"/>
      </w:divBdr>
    </w:div>
    <w:div w:id="130291612">
      <w:bodyDiv w:val="1"/>
      <w:marLeft w:val="0"/>
      <w:marRight w:val="0"/>
      <w:marTop w:val="0"/>
      <w:marBottom w:val="0"/>
      <w:divBdr>
        <w:top w:val="none" w:sz="0" w:space="0" w:color="auto"/>
        <w:left w:val="none" w:sz="0" w:space="0" w:color="auto"/>
        <w:bottom w:val="none" w:sz="0" w:space="0" w:color="auto"/>
        <w:right w:val="none" w:sz="0" w:space="0" w:color="auto"/>
      </w:divBdr>
    </w:div>
    <w:div w:id="226653953">
      <w:bodyDiv w:val="1"/>
      <w:marLeft w:val="0"/>
      <w:marRight w:val="0"/>
      <w:marTop w:val="0"/>
      <w:marBottom w:val="0"/>
      <w:divBdr>
        <w:top w:val="none" w:sz="0" w:space="0" w:color="auto"/>
        <w:left w:val="none" w:sz="0" w:space="0" w:color="auto"/>
        <w:bottom w:val="none" w:sz="0" w:space="0" w:color="auto"/>
        <w:right w:val="none" w:sz="0" w:space="0" w:color="auto"/>
      </w:divBdr>
    </w:div>
    <w:div w:id="231622042">
      <w:bodyDiv w:val="1"/>
      <w:marLeft w:val="0"/>
      <w:marRight w:val="0"/>
      <w:marTop w:val="0"/>
      <w:marBottom w:val="0"/>
      <w:divBdr>
        <w:top w:val="none" w:sz="0" w:space="0" w:color="auto"/>
        <w:left w:val="none" w:sz="0" w:space="0" w:color="auto"/>
        <w:bottom w:val="none" w:sz="0" w:space="0" w:color="auto"/>
        <w:right w:val="none" w:sz="0" w:space="0" w:color="auto"/>
      </w:divBdr>
    </w:div>
    <w:div w:id="673847207">
      <w:bodyDiv w:val="1"/>
      <w:marLeft w:val="0"/>
      <w:marRight w:val="0"/>
      <w:marTop w:val="0"/>
      <w:marBottom w:val="0"/>
      <w:divBdr>
        <w:top w:val="none" w:sz="0" w:space="0" w:color="auto"/>
        <w:left w:val="none" w:sz="0" w:space="0" w:color="auto"/>
        <w:bottom w:val="none" w:sz="0" w:space="0" w:color="auto"/>
        <w:right w:val="none" w:sz="0" w:space="0" w:color="auto"/>
      </w:divBdr>
      <w:divsChild>
        <w:div w:id="1092044376">
          <w:marLeft w:val="547"/>
          <w:marRight w:val="0"/>
          <w:marTop w:val="0"/>
          <w:marBottom w:val="120"/>
          <w:divBdr>
            <w:top w:val="none" w:sz="0" w:space="0" w:color="auto"/>
            <w:left w:val="none" w:sz="0" w:space="0" w:color="auto"/>
            <w:bottom w:val="none" w:sz="0" w:space="0" w:color="auto"/>
            <w:right w:val="none" w:sz="0" w:space="0" w:color="auto"/>
          </w:divBdr>
        </w:div>
        <w:div w:id="658769259">
          <w:marLeft w:val="547"/>
          <w:marRight w:val="0"/>
          <w:marTop w:val="0"/>
          <w:marBottom w:val="120"/>
          <w:divBdr>
            <w:top w:val="none" w:sz="0" w:space="0" w:color="auto"/>
            <w:left w:val="none" w:sz="0" w:space="0" w:color="auto"/>
            <w:bottom w:val="none" w:sz="0" w:space="0" w:color="auto"/>
            <w:right w:val="none" w:sz="0" w:space="0" w:color="auto"/>
          </w:divBdr>
        </w:div>
        <w:div w:id="1804422527">
          <w:marLeft w:val="547"/>
          <w:marRight w:val="0"/>
          <w:marTop w:val="0"/>
          <w:marBottom w:val="120"/>
          <w:divBdr>
            <w:top w:val="none" w:sz="0" w:space="0" w:color="auto"/>
            <w:left w:val="none" w:sz="0" w:space="0" w:color="auto"/>
            <w:bottom w:val="none" w:sz="0" w:space="0" w:color="auto"/>
            <w:right w:val="none" w:sz="0" w:space="0" w:color="auto"/>
          </w:divBdr>
        </w:div>
      </w:divsChild>
    </w:div>
    <w:div w:id="1380665457">
      <w:bodyDiv w:val="1"/>
      <w:marLeft w:val="0"/>
      <w:marRight w:val="0"/>
      <w:marTop w:val="0"/>
      <w:marBottom w:val="0"/>
      <w:divBdr>
        <w:top w:val="none" w:sz="0" w:space="0" w:color="auto"/>
        <w:left w:val="none" w:sz="0" w:space="0" w:color="auto"/>
        <w:bottom w:val="none" w:sz="0" w:space="0" w:color="auto"/>
        <w:right w:val="none" w:sz="0" w:space="0" w:color="auto"/>
      </w:divBdr>
    </w:div>
    <w:div w:id="1425960726">
      <w:bodyDiv w:val="1"/>
      <w:marLeft w:val="0"/>
      <w:marRight w:val="0"/>
      <w:marTop w:val="0"/>
      <w:marBottom w:val="0"/>
      <w:divBdr>
        <w:top w:val="none" w:sz="0" w:space="0" w:color="auto"/>
        <w:left w:val="none" w:sz="0" w:space="0" w:color="auto"/>
        <w:bottom w:val="none" w:sz="0" w:space="0" w:color="auto"/>
        <w:right w:val="none" w:sz="0" w:space="0" w:color="auto"/>
      </w:divBdr>
    </w:div>
    <w:div w:id="1718577729">
      <w:bodyDiv w:val="1"/>
      <w:marLeft w:val="0"/>
      <w:marRight w:val="0"/>
      <w:marTop w:val="0"/>
      <w:marBottom w:val="0"/>
      <w:divBdr>
        <w:top w:val="none" w:sz="0" w:space="0" w:color="auto"/>
        <w:left w:val="none" w:sz="0" w:space="0" w:color="auto"/>
        <w:bottom w:val="none" w:sz="0" w:space="0" w:color="auto"/>
        <w:right w:val="none" w:sz="0" w:space="0" w:color="auto"/>
      </w:divBdr>
    </w:div>
    <w:div w:id="1912042535">
      <w:bodyDiv w:val="1"/>
      <w:marLeft w:val="0"/>
      <w:marRight w:val="0"/>
      <w:marTop w:val="0"/>
      <w:marBottom w:val="0"/>
      <w:divBdr>
        <w:top w:val="none" w:sz="0" w:space="0" w:color="auto"/>
        <w:left w:val="none" w:sz="0" w:space="0" w:color="auto"/>
        <w:bottom w:val="none" w:sz="0" w:space="0" w:color="auto"/>
        <w:right w:val="none" w:sz="0" w:space="0" w:color="auto"/>
      </w:divBdr>
      <w:divsChild>
        <w:div w:id="281960456">
          <w:marLeft w:val="446"/>
          <w:marRight w:val="0"/>
          <w:marTop w:val="0"/>
          <w:marBottom w:val="0"/>
          <w:divBdr>
            <w:top w:val="none" w:sz="0" w:space="0" w:color="auto"/>
            <w:left w:val="none" w:sz="0" w:space="0" w:color="auto"/>
            <w:bottom w:val="none" w:sz="0" w:space="0" w:color="auto"/>
            <w:right w:val="none" w:sz="0" w:space="0" w:color="auto"/>
          </w:divBdr>
        </w:div>
        <w:div w:id="855578840">
          <w:marLeft w:val="446"/>
          <w:marRight w:val="0"/>
          <w:marTop w:val="0"/>
          <w:marBottom w:val="0"/>
          <w:divBdr>
            <w:top w:val="none" w:sz="0" w:space="0" w:color="auto"/>
            <w:left w:val="none" w:sz="0" w:space="0" w:color="auto"/>
            <w:bottom w:val="none" w:sz="0" w:space="0" w:color="auto"/>
            <w:right w:val="none" w:sz="0" w:space="0" w:color="auto"/>
          </w:divBdr>
        </w:div>
        <w:div w:id="1606307398">
          <w:marLeft w:val="446"/>
          <w:marRight w:val="0"/>
          <w:marTop w:val="0"/>
          <w:marBottom w:val="0"/>
          <w:divBdr>
            <w:top w:val="none" w:sz="0" w:space="0" w:color="auto"/>
            <w:left w:val="none" w:sz="0" w:space="0" w:color="auto"/>
            <w:bottom w:val="none" w:sz="0" w:space="0" w:color="auto"/>
            <w:right w:val="none" w:sz="0" w:space="0" w:color="auto"/>
          </w:divBdr>
        </w:div>
        <w:div w:id="947199101">
          <w:marLeft w:val="446"/>
          <w:marRight w:val="0"/>
          <w:marTop w:val="0"/>
          <w:marBottom w:val="0"/>
          <w:divBdr>
            <w:top w:val="none" w:sz="0" w:space="0" w:color="auto"/>
            <w:left w:val="none" w:sz="0" w:space="0" w:color="auto"/>
            <w:bottom w:val="none" w:sz="0" w:space="0" w:color="auto"/>
            <w:right w:val="none" w:sz="0" w:space="0" w:color="auto"/>
          </w:divBdr>
        </w:div>
        <w:div w:id="820536414">
          <w:marLeft w:val="446"/>
          <w:marRight w:val="0"/>
          <w:marTop w:val="0"/>
          <w:marBottom w:val="0"/>
          <w:divBdr>
            <w:top w:val="none" w:sz="0" w:space="0" w:color="auto"/>
            <w:left w:val="none" w:sz="0" w:space="0" w:color="auto"/>
            <w:bottom w:val="none" w:sz="0" w:space="0" w:color="auto"/>
            <w:right w:val="none" w:sz="0" w:space="0" w:color="auto"/>
          </w:divBdr>
        </w:div>
        <w:div w:id="1046179729">
          <w:marLeft w:val="446"/>
          <w:marRight w:val="0"/>
          <w:marTop w:val="0"/>
          <w:marBottom w:val="0"/>
          <w:divBdr>
            <w:top w:val="none" w:sz="0" w:space="0" w:color="auto"/>
            <w:left w:val="none" w:sz="0" w:space="0" w:color="auto"/>
            <w:bottom w:val="none" w:sz="0" w:space="0" w:color="auto"/>
            <w:right w:val="none" w:sz="0" w:space="0" w:color="auto"/>
          </w:divBdr>
        </w:div>
        <w:div w:id="1064372754">
          <w:marLeft w:val="446"/>
          <w:marRight w:val="0"/>
          <w:marTop w:val="0"/>
          <w:marBottom w:val="0"/>
          <w:divBdr>
            <w:top w:val="none" w:sz="0" w:space="0" w:color="auto"/>
            <w:left w:val="none" w:sz="0" w:space="0" w:color="auto"/>
            <w:bottom w:val="none" w:sz="0" w:space="0" w:color="auto"/>
            <w:right w:val="none" w:sz="0" w:space="0" w:color="auto"/>
          </w:divBdr>
        </w:div>
        <w:div w:id="1049837657">
          <w:marLeft w:val="446"/>
          <w:marRight w:val="0"/>
          <w:marTop w:val="0"/>
          <w:marBottom w:val="0"/>
          <w:divBdr>
            <w:top w:val="none" w:sz="0" w:space="0" w:color="auto"/>
            <w:left w:val="none" w:sz="0" w:space="0" w:color="auto"/>
            <w:bottom w:val="none" w:sz="0" w:space="0" w:color="auto"/>
            <w:right w:val="none" w:sz="0" w:space="0" w:color="auto"/>
          </w:divBdr>
        </w:div>
        <w:div w:id="560598362">
          <w:marLeft w:val="446"/>
          <w:marRight w:val="0"/>
          <w:marTop w:val="0"/>
          <w:marBottom w:val="0"/>
          <w:divBdr>
            <w:top w:val="none" w:sz="0" w:space="0" w:color="auto"/>
            <w:left w:val="none" w:sz="0" w:space="0" w:color="auto"/>
            <w:bottom w:val="none" w:sz="0" w:space="0" w:color="auto"/>
            <w:right w:val="none" w:sz="0" w:space="0" w:color="auto"/>
          </w:divBdr>
        </w:div>
        <w:div w:id="942029928">
          <w:marLeft w:val="446"/>
          <w:marRight w:val="0"/>
          <w:marTop w:val="0"/>
          <w:marBottom w:val="0"/>
          <w:divBdr>
            <w:top w:val="none" w:sz="0" w:space="0" w:color="auto"/>
            <w:left w:val="none" w:sz="0" w:space="0" w:color="auto"/>
            <w:bottom w:val="none" w:sz="0" w:space="0" w:color="auto"/>
            <w:right w:val="none" w:sz="0" w:space="0" w:color="auto"/>
          </w:divBdr>
        </w:div>
        <w:div w:id="939144544">
          <w:marLeft w:val="446"/>
          <w:marRight w:val="0"/>
          <w:marTop w:val="0"/>
          <w:marBottom w:val="0"/>
          <w:divBdr>
            <w:top w:val="none" w:sz="0" w:space="0" w:color="auto"/>
            <w:left w:val="none" w:sz="0" w:space="0" w:color="auto"/>
            <w:bottom w:val="none" w:sz="0" w:space="0" w:color="auto"/>
            <w:right w:val="none" w:sz="0" w:space="0" w:color="auto"/>
          </w:divBdr>
        </w:div>
        <w:div w:id="386882883">
          <w:marLeft w:val="446"/>
          <w:marRight w:val="0"/>
          <w:marTop w:val="0"/>
          <w:marBottom w:val="0"/>
          <w:divBdr>
            <w:top w:val="none" w:sz="0" w:space="0" w:color="auto"/>
            <w:left w:val="none" w:sz="0" w:space="0" w:color="auto"/>
            <w:bottom w:val="none" w:sz="0" w:space="0" w:color="auto"/>
            <w:right w:val="none" w:sz="0" w:space="0" w:color="auto"/>
          </w:divBdr>
        </w:div>
        <w:div w:id="531651953">
          <w:marLeft w:val="446"/>
          <w:marRight w:val="0"/>
          <w:marTop w:val="0"/>
          <w:marBottom w:val="0"/>
          <w:divBdr>
            <w:top w:val="none" w:sz="0" w:space="0" w:color="auto"/>
            <w:left w:val="none" w:sz="0" w:space="0" w:color="auto"/>
            <w:bottom w:val="none" w:sz="0" w:space="0" w:color="auto"/>
            <w:right w:val="none" w:sz="0" w:space="0" w:color="auto"/>
          </w:divBdr>
        </w:div>
        <w:div w:id="1691300193">
          <w:marLeft w:val="446"/>
          <w:marRight w:val="0"/>
          <w:marTop w:val="0"/>
          <w:marBottom w:val="0"/>
          <w:divBdr>
            <w:top w:val="none" w:sz="0" w:space="0" w:color="auto"/>
            <w:left w:val="none" w:sz="0" w:space="0" w:color="auto"/>
            <w:bottom w:val="none" w:sz="0" w:space="0" w:color="auto"/>
            <w:right w:val="none" w:sz="0" w:space="0" w:color="auto"/>
          </w:divBdr>
        </w:div>
        <w:div w:id="1350794955">
          <w:marLeft w:val="446"/>
          <w:marRight w:val="0"/>
          <w:marTop w:val="0"/>
          <w:marBottom w:val="0"/>
          <w:divBdr>
            <w:top w:val="none" w:sz="0" w:space="0" w:color="auto"/>
            <w:left w:val="none" w:sz="0" w:space="0" w:color="auto"/>
            <w:bottom w:val="none" w:sz="0" w:space="0" w:color="auto"/>
            <w:right w:val="none" w:sz="0" w:space="0" w:color="auto"/>
          </w:divBdr>
        </w:div>
      </w:divsChild>
    </w:div>
    <w:div w:id="193589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homason@mmu.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26AB5-C769-4C54-9E11-C4A6EE06D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Pages>
  <Words>10931</Words>
  <Characters>62310</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THOMASON Carmel M</dc:creator>
  <cp:lastModifiedBy>User</cp:lastModifiedBy>
  <cp:revision>13</cp:revision>
  <dcterms:created xsi:type="dcterms:W3CDTF">2020-01-26T21:58:00Z</dcterms:created>
  <dcterms:modified xsi:type="dcterms:W3CDTF">2020-01-28T19:48:00Z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http://www.zotero.org/styles/harvard-manchester-metropolitan-university</vt:lpwstr>
  </property>
  <property fmtid="{D5CDD505-2E9C-101B-9397-08002B2CF9AE}" pid="15" name="Mendeley Recent Style Name 6_1">
    <vt:lpwstr>Manchester Metropolitan University - Harvard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http://www.zotero.org/styles/harvard-manchester-metropolitan-university</vt:lpwstr>
  </property>
  <property fmtid="{D5CDD505-2E9C-101B-9397-08002B2CF9AE}" pid="24" name="Mendeley Unique User Id_1">
    <vt:lpwstr>b7c32f4c-2006-3022-9e47-cb6ddfabd5a1</vt:lpwstr>
  </property>
</Properties>
</file>