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6EF8B" w14:textId="57D20EAB" w:rsidR="002C1FEF" w:rsidRPr="00F50E9B" w:rsidRDefault="002C1FEF" w:rsidP="00F50E9B">
      <w:pPr>
        <w:spacing w:line="360" w:lineRule="auto"/>
        <w:rPr>
          <w:rFonts w:ascii="Tahoma" w:eastAsia="Arial Nova" w:hAnsi="Tahoma" w:cs="Tahoma"/>
          <w:b/>
          <w:bCs/>
          <w:color w:val="000000" w:themeColor="text1"/>
          <w:sz w:val="32"/>
          <w:szCs w:val="32"/>
        </w:rPr>
      </w:pPr>
      <w:r w:rsidRPr="00F50E9B">
        <w:rPr>
          <w:rFonts w:ascii="Tahoma" w:eastAsia="Arial Nova" w:hAnsi="Tahoma" w:cs="Tahoma"/>
          <w:b/>
          <w:bCs/>
          <w:color w:val="000000" w:themeColor="text1"/>
          <w:sz w:val="32"/>
          <w:szCs w:val="32"/>
        </w:rPr>
        <w:t>Facilitating a SOTL community of practice for teaching in a trauma-sensitive classroom</w:t>
      </w:r>
    </w:p>
    <w:p w14:paraId="5B28EC6F" w14:textId="77777777" w:rsidR="00F50E9B" w:rsidRDefault="00F50E9B" w:rsidP="00F50E9B">
      <w:pPr>
        <w:spacing w:line="360" w:lineRule="auto"/>
        <w:rPr>
          <w:rFonts w:ascii="Tahoma" w:eastAsia="Arial Nova" w:hAnsi="Tahoma" w:cs="Tahoma"/>
          <w:b/>
          <w:bCs/>
          <w:color w:val="000000" w:themeColor="text1"/>
          <w:sz w:val="24"/>
          <w:szCs w:val="24"/>
        </w:rPr>
      </w:pPr>
    </w:p>
    <w:p w14:paraId="464CA352" w14:textId="0242E3C7" w:rsidR="002C1FEF" w:rsidRPr="00F50E9B" w:rsidRDefault="002C1FEF" w:rsidP="00F50E9B">
      <w:pPr>
        <w:spacing w:line="360" w:lineRule="auto"/>
        <w:rPr>
          <w:rFonts w:ascii="Tahoma" w:eastAsia="Arial Nova" w:hAnsi="Tahoma" w:cs="Tahoma"/>
          <w:b/>
          <w:bCs/>
          <w:color w:val="000000" w:themeColor="text1"/>
          <w:sz w:val="24"/>
          <w:szCs w:val="24"/>
        </w:rPr>
      </w:pPr>
      <w:r w:rsidRPr="00F50E9B">
        <w:rPr>
          <w:rFonts w:ascii="Tahoma" w:eastAsia="Arial Nova" w:hAnsi="Tahoma" w:cs="Tahoma"/>
          <w:b/>
          <w:bCs/>
          <w:color w:val="000000" w:themeColor="text1"/>
          <w:sz w:val="24"/>
          <w:szCs w:val="24"/>
        </w:rPr>
        <w:t xml:space="preserve">Dr </w:t>
      </w:r>
      <w:r w:rsidR="3F987EA3" w:rsidRPr="00F50E9B">
        <w:rPr>
          <w:rFonts w:ascii="Tahoma" w:eastAsia="Arial Nova" w:hAnsi="Tahoma" w:cs="Tahoma"/>
          <w:b/>
          <w:bCs/>
          <w:color w:val="000000" w:themeColor="text1"/>
          <w:sz w:val="24"/>
          <w:szCs w:val="24"/>
        </w:rPr>
        <w:t>Gorana Misic</w:t>
      </w:r>
    </w:p>
    <w:p w14:paraId="7D574774" w14:textId="19B53FDD" w:rsidR="007A35A5" w:rsidRDefault="007A35A5" w:rsidP="00F50E9B">
      <w:pPr>
        <w:spacing w:line="360" w:lineRule="auto"/>
        <w:rPr>
          <w:rFonts w:ascii="Tahoma" w:eastAsia="Arial Nova" w:hAnsi="Tahoma" w:cs="Tahoma"/>
          <w:color w:val="000000" w:themeColor="text1"/>
          <w:sz w:val="24"/>
          <w:szCs w:val="24"/>
        </w:rPr>
      </w:pPr>
      <w:r>
        <w:rPr>
          <w:rFonts w:ascii="Tahoma" w:eastAsia="Arial Nova" w:hAnsi="Tahoma" w:cs="Tahoma"/>
          <w:color w:val="000000" w:themeColor="text1"/>
          <w:sz w:val="24"/>
          <w:szCs w:val="24"/>
        </w:rPr>
        <w:t>University of Glasgow</w:t>
      </w:r>
    </w:p>
    <w:p w14:paraId="15867F57" w14:textId="67800650" w:rsidR="00817AD1" w:rsidRPr="00F50E9B" w:rsidRDefault="007A35A5" w:rsidP="00F50E9B">
      <w:pPr>
        <w:spacing w:line="360" w:lineRule="auto"/>
        <w:rPr>
          <w:rFonts w:ascii="Tahoma" w:eastAsia="Arial Nova" w:hAnsi="Tahoma" w:cs="Tahoma"/>
          <w:b/>
          <w:bCs/>
          <w:color w:val="000000" w:themeColor="text1"/>
          <w:sz w:val="24"/>
          <w:szCs w:val="24"/>
        </w:rPr>
      </w:pPr>
      <w:r w:rsidRPr="00F50E9B">
        <w:rPr>
          <w:rFonts w:ascii="Tahoma" w:eastAsia="Arial Nova" w:hAnsi="Tahoma" w:cs="Tahoma"/>
          <w:b/>
          <w:bCs/>
          <w:color w:val="000000" w:themeColor="text1"/>
          <w:sz w:val="24"/>
          <w:szCs w:val="24"/>
        </w:rPr>
        <w:t xml:space="preserve">Dr </w:t>
      </w:r>
      <w:r w:rsidR="3F987EA3" w:rsidRPr="00F50E9B">
        <w:rPr>
          <w:rFonts w:ascii="Tahoma" w:eastAsia="Arial Nova" w:hAnsi="Tahoma" w:cs="Tahoma"/>
          <w:b/>
          <w:bCs/>
          <w:color w:val="000000" w:themeColor="text1"/>
          <w:sz w:val="24"/>
          <w:szCs w:val="24"/>
        </w:rPr>
        <w:t>Margaryta Rymarenko</w:t>
      </w:r>
    </w:p>
    <w:p w14:paraId="6919337A" w14:textId="724726FF" w:rsidR="007A35A5" w:rsidRDefault="007A35A5" w:rsidP="00F50E9B">
      <w:pPr>
        <w:spacing w:line="360" w:lineRule="auto"/>
        <w:rPr>
          <w:rFonts w:ascii="Tahoma" w:eastAsia="Arial Nova" w:hAnsi="Tahoma" w:cs="Tahoma"/>
          <w:color w:val="000000" w:themeColor="text1"/>
          <w:sz w:val="24"/>
          <w:szCs w:val="24"/>
        </w:rPr>
      </w:pPr>
      <w:r>
        <w:rPr>
          <w:rFonts w:ascii="Tahoma" w:eastAsia="Arial Nova" w:hAnsi="Tahoma" w:cs="Tahoma"/>
          <w:color w:val="000000" w:themeColor="text1"/>
          <w:sz w:val="24"/>
          <w:szCs w:val="24"/>
        </w:rPr>
        <w:t>Independent researcher</w:t>
      </w:r>
    </w:p>
    <w:p w14:paraId="2F9A162B" w14:textId="438328BE" w:rsidR="007A35A5" w:rsidRPr="002C1FEF" w:rsidRDefault="007A35A5" w:rsidP="00F50E9B">
      <w:pPr>
        <w:spacing w:line="360" w:lineRule="auto"/>
        <w:rPr>
          <w:rFonts w:ascii="Tahoma" w:eastAsia="Arial Nova" w:hAnsi="Tahoma" w:cs="Tahoma"/>
          <w:sz w:val="24"/>
          <w:szCs w:val="24"/>
        </w:rPr>
      </w:pPr>
      <w:r>
        <w:rPr>
          <w:rFonts w:ascii="Tahoma" w:eastAsia="Arial Nova" w:hAnsi="Tahoma" w:cs="Tahoma"/>
          <w:color w:val="000000" w:themeColor="text1"/>
          <w:sz w:val="24"/>
          <w:szCs w:val="24"/>
        </w:rPr>
        <w:t xml:space="preserve">Corresponding author: </w:t>
      </w:r>
      <w:hyperlink r:id="rId6">
        <w:r w:rsidRPr="002C1FEF">
          <w:rPr>
            <w:rStyle w:val="Hyperlink"/>
            <w:rFonts w:ascii="Tahoma" w:eastAsia="Arial Nova" w:hAnsi="Tahoma" w:cs="Tahoma"/>
            <w:sz w:val="24"/>
            <w:szCs w:val="24"/>
          </w:rPr>
          <w:t>gorana.misic@glasgow.ac.uk</w:t>
        </w:r>
      </w:hyperlink>
    </w:p>
    <w:p w14:paraId="1D778DC2" w14:textId="354088E7" w:rsidR="00817AD1" w:rsidRPr="002C1FEF" w:rsidRDefault="3F987EA3" w:rsidP="00F50E9B">
      <w:pPr>
        <w:spacing w:line="360" w:lineRule="auto"/>
        <w:rPr>
          <w:rFonts w:ascii="Tahoma" w:eastAsia="Arial Nova" w:hAnsi="Tahoma" w:cs="Tahoma"/>
          <w:sz w:val="24"/>
          <w:szCs w:val="24"/>
        </w:rPr>
      </w:pPr>
      <w:r w:rsidRPr="002C1FEF">
        <w:rPr>
          <w:rFonts w:ascii="Tahoma" w:eastAsia="Arial Nova" w:hAnsi="Tahoma" w:cs="Tahoma"/>
          <w:sz w:val="24"/>
          <w:szCs w:val="24"/>
        </w:rPr>
        <w:t xml:space="preserve"> </w:t>
      </w:r>
    </w:p>
    <w:p w14:paraId="0EAACBC1" w14:textId="230FC34D" w:rsidR="00817AD1" w:rsidRPr="007A35A5" w:rsidRDefault="007A35A5" w:rsidP="00F50E9B">
      <w:pPr>
        <w:spacing w:line="360" w:lineRule="auto"/>
        <w:rPr>
          <w:rFonts w:ascii="Tahoma" w:eastAsia="Arial Nova" w:hAnsi="Tahoma" w:cs="Tahoma"/>
          <w:b/>
          <w:bCs/>
          <w:sz w:val="24"/>
          <w:szCs w:val="24"/>
        </w:rPr>
      </w:pPr>
      <w:r w:rsidRPr="00F50E9B">
        <w:rPr>
          <w:rFonts w:ascii="Tahoma" w:eastAsia="Arial Nova" w:hAnsi="Tahoma" w:cs="Tahoma"/>
          <w:b/>
          <w:bCs/>
          <w:sz w:val="32"/>
          <w:szCs w:val="32"/>
        </w:rPr>
        <w:t>Abstract</w:t>
      </w:r>
      <w:r w:rsidR="3F987EA3" w:rsidRPr="007A35A5">
        <w:rPr>
          <w:rFonts w:ascii="Tahoma" w:eastAsia="Arial Nova" w:hAnsi="Tahoma" w:cs="Tahoma"/>
          <w:b/>
          <w:bCs/>
          <w:sz w:val="24"/>
          <w:szCs w:val="24"/>
        </w:rPr>
        <w:t xml:space="preserve"> </w:t>
      </w:r>
    </w:p>
    <w:p w14:paraId="70138212" w14:textId="7DBF7F7F" w:rsidR="00817AD1" w:rsidRPr="002C1FEF" w:rsidRDefault="3F987EA3" w:rsidP="00F50E9B">
      <w:pPr>
        <w:spacing w:line="360" w:lineRule="auto"/>
        <w:rPr>
          <w:rFonts w:ascii="Tahoma" w:eastAsia="Arial Nova" w:hAnsi="Tahoma" w:cs="Tahoma"/>
          <w:color w:val="000000" w:themeColor="text1"/>
          <w:sz w:val="24"/>
          <w:szCs w:val="24"/>
        </w:rPr>
      </w:pPr>
      <w:r w:rsidRPr="002C1FEF">
        <w:rPr>
          <w:rFonts w:ascii="Tahoma" w:eastAsia="Arial Nova" w:hAnsi="Tahoma" w:cs="Tahoma"/>
          <w:color w:val="000000" w:themeColor="text1"/>
          <w:sz w:val="24"/>
          <w:szCs w:val="24"/>
        </w:rPr>
        <w:t xml:space="preserve">How </w:t>
      </w:r>
      <w:r w:rsidRPr="002C1FEF">
        <w:rPr>
          <w:rFonts w:ascii="Tahoma" w:eastAsia="Arial Nova" w:hAnsi="Tahoma" w:cs="Tahoma"/>
          <w:sz w:val="24"/>
          <w:szCs w:val="24"/>
        </w:rPr>
        <w:t>can we</w:t>
      </w:r>
      <w:r w:rsidRPr="002C1FEF">
        <w:rPr>
          <w:rFonts w:ascii="Tahoma" w:eastAsia="Arial Nova" w:hAnsi="Tahoma" w:cs="Tahoma"/>
          <w:color w:val="000000" w:themeColor="text1"/>
          <w:sz w:val="24"/>
          <w:szCs w:val="24"/>
        </w:rPr>
        <w:t xml:space="preserve"> support faculty in enhancing student learning and creating a welcoming learning environment in a trauma-sensitive classroom? The research shows that fostering the scholarship of teaching and learning </w:t>
      </w:r>
      <w:r w:rsidR="00992C7D">
        <w:rPr>
          <w:rFonts w:ascii="Tahoma" w:eastAsia="Arial Nova" w:hAnsi="Tahoma" w:cs="Tahoma"/>
          <w:color w:val="000000" w:themeColor="text1"/>
          <w:sz w:val="24"/>
          <w:szCs w:val="24"/>
        </w:rPr>
        <w:t xml:space="preserve">(SoTL) </w:t>
      </w:r>
      <w:r w:rsidRPr="002C1FEF">
        <w:rPr>
          <w:rFonts w:ascii="Tahoma" w:eastAsia="Arial Nova" w:hAnsi="Tahoma" w:cs="Tahoma"/>
          <w:color w:val="000000" w:themeColor="text1"/>
          <w:sz w:val="24"/>
          <w:szCs w:val="24"/>
        </w:rPr>
        <w:t xml:space="preserve">is more effective through faculty learning communities compared to individual teaching grants, seminars, and workshops for faculty (see Cox, 2003). </w:t>
      </w:r>
    </w:p>
    <w:p w14:paraId="696BBCEF" w14:textId="3FF1EEB6" w:rsidR="00817AD1" w:rsidRPr="002C1FEF" w:rsidRDefault="3F987EA3" w:rsidP="00F50E9B">
      <w:pPr>
        <w:spacing w:line="360" w:lineRule="auto"/>
        <w:rPr>
          <w:rFonts w:ascii="Tahoma" w:eastAsia="Arial Nova" w:hAnsi="Tahoma" w:cs="Tahoma"/>
          <w:color w:val="000000" w:themeColor="text1"/>
          <w:sz w:val="24"/>
          <w:szCs w:val="24"/>
        </w:rPr>
      </w:pPr>
      <w:r w:rsidRPr="002C1FEF">
        <w:rPr>
          <w:rFonts w:ascii="Tahoma" w:eastAsia="Arial Nova" w:hAnsi="Tahoma" w:cs="Tahoma"/>
          <w:color w:val="000000" w:themeColor="text1"/>
          <w:sz w:val="24"/>
          <w:szCs w:val="24"/>
        </w:rPr>
        <w:t>This paper presents the case study of building a faculty learning community, or a community of practice (Wenger et al., 2002)</w:t>
      </w:r>
      <w:r w:rsidRPr="002C1FEF">
        <w:rPr>
          <w:rFonts w:ascii="Tahoma" w:eastAsia="Arial Nova" w:hAnsi="Tahoma" w:cs="Tahoma"/>
          <w:sz w:val="24"/>
          <w:szCs w:val="24"/>
        </w:rPr>
        <w:t xml:space="preserve">, </w:t>
      </w:r>
      <w:r w:rsidRPr="002C1FEF">
        <w:rPr>
          <w:rFonts w:ascii="Tahoma" w:eastAsia="Arial Nova" w:hAnsi="Tahoma" w:cs="Tahoma"/>
          <w:color w:val="000000" w:themeColor="text1"/>
          <w:sz w:val="24"/>
          <w:szCs w:val="24"/>
        </w:rPr>
        <w:t xml:space="preserve">among faculty in the university weekend/preparatory program for refugees (OLIve) in Budapest and Berlin in AY 2020-2021. Refugee learners carry diverse experiences of displacement, having endured a unique trauma as a result of conflict in their homeland. Since trauma affects students’ capacity to learn and develop academic skills (see Kroó, 2020), it is even more important to provide tailored support to faculty who teach them. Community of practice (CoP) aimed to support faculty development along the continuum of growth towards the scholarship of teaching - from reflecting and growing in their own teaching, to engaging in a dialogue with colleagues about their teaching practises (see Weston &amp; McAlpine, 2001). </w:t>
      </w:r>
    </w:p>
    <w:p w14:paraId="556629D7" w14:textId="2CCFC975" w:rsidR="00817AD1" w:rsidRPr="002C1FEF" w:rsidRDefault="3F987EA3" w:rsidP="00F50E9B">
      <w:pPr>
        <w:spacing w:line="360" w:lineRule="auto"/>
        <w:rPr>
          <w:rFonts w:ascii="Tahoma" w:eastAsia="Arial Nova" w:hAnsi="Tahoma" w:cs="Tahoma"/>
          <w:color w:val="000000" w:themeColor="text1"/>
          <w:sz w:val="24"/>
          <w:szCs w:val="24"/>
        </w:rPr>
      </w:pPr>
      <w:r w:rsidRPr="002C1FEF">
        <w:rPr>
          <w:rFonts w:ascii="Tahoma" w:eastAsia="Arial Nova" w:hAnsi="Tahoma" w:cs="Tahoma"/>
          <w:color w:val="000000" w:themeColor="text1"/>
          <w:sz w:val="24"/>
          <w:szCs w:val="24"/>
        </w:rPr>
        <w:lastRenderedPageBreak/>
        <w:t>We present strategies, processes, and activities used to build the CoP - by providing a safe and supportive online space in which faculty c</w:t>
      </w:r>
      <w:r w:rsidRPr="002C1FEF">
        <w:rPr>
          <w:rFonts w:ascii="Tahoma" w:eastAsia="Arial Nova" w:hAnsi="Tahoma" w:cs="Tahoma"/>
          <w:sz w:val="24"/>
          <w:szCs w:val="24"/>
        </w:rPr>
        <w:t>an</w:t>
      </w:r>
      <w:r w:rsidRPr="002C1FEF">
        <w:rPr>
          <w:rFonts w:ascii="Tahoma" w:eastAsia="Arial Nova" w:hAnsi="Tahoma" w:cs="Tahoma"/>
          <w:color w:val="000000" w:themeColor="text1"/>
          <w:sz w:val="24"/>
          <w:szCs w:val="24"/>
        </w:rPr>
        <w:t xml:space="preserve"> share and discuss challenges, investigate new approaches to teaching, and with the help of facilitators, engage with relevant SoTL research. The discussed approach is not only relevant to any trauma sensitive classroom, but also more broadly for building CoP and supporting faculty, especially in a challenging pandemic context.</w:t>
      </w:r>
    </w:p>
    <w:p w14:paraId="5E5787A5" w14:textId="2DD9B7A2" w:rsidR="00817AD1" w:rsidRPr="00BA066F" w:rsidRDefault="009E34AD" w:rsidP="00F50E9B">
      <w:pPr>
        <w:spacing w:line="360" w:lineRule="auto"/>
        <w:rPr>
          <w:rFonts w:ascii="Tahoma" w:hAnsi="Tahoma" w:cs="Tahoma"/>
          <w:b/>
          <w:bCs/>
          <w:sz w:val="24"/>
          <w:szCs w:val="24"/>
        </w:rPr>
      </w:pPr>
      <w:r w:rsidRPr="002C1FEF">
        <w:rPr>
          <w:rFonts w:ascii="Tahoma" w:hAnsi="Tahoma" w:cs="Tahoma"/>
          <w:sz w:val="24"/>
          <w:szCs w:val="24"/>
        </w:rPr>
        <w:br/>
      </w:r>
      <w:r w:rsidR="007A35A5" w:rsidRPr="00F50E9B">
        <w:rPr>
          <w:rFonts w:ascii="Tahoma" w:hAnsi="Tahoma" w:cs="Tahoma"/>
          <w:b/>
          <w:bCs/>
          <w:sz w:val="32"/>
          <w:szCs w:val="32"/>
        </w:rPr>
        <w:t>Keywords</w:t>
      </w:r>
    </w:p>
    <w:p w14:paraId="3E8C9131" w14:textId="21EBDA2E" w:rsidR="007A35A5" w:rsidRDefault="00E3212E" w:rsidP="00F50E9B">
      <w:pPr>
        <w:spacing w:line="360" w:lineRule="auto"/>
        <w:rPr>
          <w:rFonts w:ascii="Tahoma" w:eastAsia="Arial Nova" w:hAnsi="Tahoma" w:cs="Tahoma"/>
          <w:sz w:val="24"/>
          <w:szCs w:val="24"/>
        </w:rPr>
      </w:pPr>
      <w:r>
        <w:rPr>
          <w:rFonts w:ascii="Tahoma" w:eastAsia="Arial Nova" w:hAnsi="Tahoma" w:cs="Tahoma"/>
          <w:sz w:val="24"/>
          <w:szCs w:val="24"/>
        </w:rPr>
        <w:t>Trauma-sensitive teaching; scholarship of teaching and learning; SoTL; Community of practice</w:t>
      </w:r>
    </w:p>
    <w:p w14:paraId="0CB14ADE" w14:textId="77777777" w:rsidR="00BA066F" w:rsidRDefault="00BA066F" w:rsidP="00F50E9B">
      <w:pPr>
        <w:spacing w:line="360" w:lineRule="auto"/>
        <w:rPr>
          <w:rFonts w:ascii="Tahoma" w:eastAsia="Arial Nova" w:hAnsi="Tahoma" w:cs="Tahoma"/>
          <w:sz w:val="24"/>
          <w:szCs w:val="24"/>
        </w:rPr>
      </w:pPr>
    </w:p>
    <w:p w14:paraId="60977635" w14:textId="6634FC30" w:rsidR="00BA066F" w:rsidRPr="00F50E9B" w:rsidRDefault="00BA066F" w:rsidP="00F50E9B">
      <w:pPr>
        <w:spacing w:line="360" w:lineRule="auto"/>
        <w:rPr>
          <w:rFonts w:ascii="Tahoma" w:eastAsia="Arial Nova" w:hAnsi="Tahoma" w:cs="Tahoma"/>
          <w:b/>
          <w:bCs/>
          <w:sz w:val="32"/>
          <w:szCs w:val="32"/>
        </w:rPr>
      </w:pPr>
      <w:r w:rsidRPr="00F50E9B">
        <w:rPr>
          <w:rFonts w:ascii="Tahoma" w:eastAsia="Arial Nova" w:hAnsi="Tahoma" w:cs="Tahoma"/>
          <w:b/>
          <w:bCs/>
          <w:sz w:val="32"/>
          <w:szCs w:val="32"/>
        </w:rPr>
        <w:t>Disclosure Statement</w:t>
      </w:r>
    </w:p>
    <w:p w14:paraId="520B1263" w14:textId="032BFDE8" w:rsidR="00BA066F" w:rsidRDefault="00F50E9B" w:rsidP="00F50E9B">
      <w:pPr>
        <w:spacing w:line="360" w:lineRule="auto"/>
        <w:rPr>
          <w:rFonts w:ascii="Tahoma" w:hAnsi="Tahoma" w:cs="Tahoma"/>
          <w:sz w:val="24"/>
          <w:szCs w:val="24"/>
        </w:rPr>
      </w:pPr>
      <w:r w:rsidRPr="009E34AD">
        <w:rPr>
          <w:rFonts w:ascii="Tahoma" w:hAnsi="Tahoma" w:cs="Tahoma"/>
          <w:sz w:val="24"/>
          <w:szCs w:val="24"/>
        </w:rPr>
        <w:t>All materials included in this article represent the authors’ own work and anything cited or paraphrased within the text is included in the reference list. This work has not been previously published nor is it is being considered for publication elsewhere. No conflicts of interest exist which might have influenced us in reporting our findings completely and honestly.</w:t>
      </w:r>
    </w:p>
    <w:p w14:paraId="3A0579C0" w14:textId="77777777" w:rsidR="00A0316A" w:rsidRDefault="00A0316A" w:rsidP="00F50E9B">
      <w:pPr>
        <w:spacing w:line="360" w:lineRule="auto"/>
        <w:rPr>
          <w:rFonts w:ascii="Tahoma" w:hAnsi="Tahoma" w:cs="Tahoma"/>
          <w:sz w:val="24"/>
          <w:szCs w:val="24"/>
        </w:rPr>
      </w:pPr>
    </w:p>
    <w:p w14:paraId="07F005D9" w14:textId="1EDA1895" w:rsidR="00A0316A" w:rsidRPr="00056DF9" w:rsidRDefault="00A0316A" w:rsidP="00056DF9">
      <w:pPr>
        <w:spacing w:line="360" w:lineRule="auto"/>
        <w:rPr>
          <w:rFonts w:ascii="Tahoma" w:hAnsi="Tahoma" w:cs="Tahoma"/>
          <w:b/>
          <w:bCs/>
          <w:sz w:val="28"/>
          <w:szCs w:val="28"/>
        </w:rPr>
      </w:pPr>
      <w:r w:rsidRPr="00056DF9">
        <w:rPr>
          <w:rFonts w:ascii="Tahoma" w:hAnsi="Tahoma" w:cs="Tahoma"/>
          <w:b/>
          <w:bCs/>
          <w:sz w:val="28"/>
          <w:szCs w:val="28"/>
        </w:rPr>
        <w:t>References</w:t>
      </w:r>
    </w:p>
    <w:p w14:paraId="7084FA9E" w14:textId="050F6F1B" w:rsidR="005B7819" w:rsidRPr="00056DF9" w:rsidRDefault="005B7819" w:rsidP="00056DF9">
      <w:pPr>
        <w:spacing w:line="360" w:lineRule="auto"/>
        <w:rPr>
          <w:rFonts w:ascii="Tahoma" w:hAnsi="Tahoma" w:cs="Tahoma"/>
          <w:color w:val="222222"/>
          <w:sz w:val="24"/>
          <w:szCs w:val="24"/>
          <w:shd w:val="clear" w:color="auto" w:fill="FFFFFF"/>
        </w:rPr>
      </w:pPr>
      <w:r w:rsidRPr="00056DF9">
        <w:rPr>
          <w:rFonts w:ascii="Tahoma" w:hAnsi="Tahoma" w:cs="Tahoma"/>
          <w:color w:val="222222"/>
          <w:sz w:val="24"/>
          <w:szCs w:val="24"/>
          <w:shd w:val="clear" w:color="auto" w:fill="FFFFFF"/>
        </w:rPr>
        <w:t xml:space="preserve">Cox, M.D., </w:t>
      </w:r>
      <w:r w:rsidR="00BC4930" w:rsidRPr="00056DF9">
        <w:rPr>
          <w:rFonts w:ascii="Tahoma" w:hAnsi="Tahoma" w:cs="Tahoma"/>
          <w:color w:val="222222"/>
          <w:sz w:val="24"/>
          <w:szCs w:val="24"/>
          <w:shd w:val="clear" w:color="auto" w:fill="FFFFFF"/>
        </w:rPr>
        <w:t>(</w:t>
      </w:r>
      <w:r w:rsidRPr="00056DF9">
        <w:rPr>
          <w:rFonts w:ascii="Tahoma" w:hAnsi="Tahoma" w:cs="Tahoma"/>
          <w:color w:val="222222"/>
          <w:sz w:val="24"/>
          <w:szCs w:val="24"/>
          <w:shd w:val="clear" w:color="auto" w:fill="FFFFFF"/>
        </w:rPr>
        <w:t>2003</w:t>
      </w:r>
      <w:r w:rsidR="00BC4930" w:rsidRPr="00056DF9">
        <w:rPr>
          <w:rFonts w:ascii="Tahoma" w:hAnsi="Tahoma" w:cs="Tahoma"/>
          <w:color w:val="222222"/>
          <w:sz w:val="24"/>
          <w:szCs w:val="24"/>
          <w:shd w:val="clear" w:color="auto" w:fill="FFFFFF"/>
        </w:rPr>
        <w:t>)</w:t>
      </w:r>
      <w:r w:rsidRPr="00056DF9">
        <w:rPr>
          <w:rFonts w:ascii="Tahoma" w:hAnsi="Tahoma" w:cs="Tahoma"/>
          <w:color w:val="222222"/>
          <w:sz w:val="24"/>
          <w:szCs w:val="24"/>
          <w:shd w:val="clear" w:color="auto" w:fill="FFFFFF"/>
        </w:rPr>
        <w:t xml:space="preserve"> </w:t>
      </w:r>
      <w:r w:rsidR="00BC4930" w:rsidRPr="00056DF9">
        <w:rPr>
          <w:rFonts w:ascii="Tahoma" w:hAnsi="Tahoma" w:cs="Tahoma"/>
          <w:color w:val="222222"/>
          <w:sz w:val="24"/>
          <w:szCs w:val="24"/>
          <w:shd w:val="clear" w:color="auto" w:fill="FFFFFF"/>
        </w:rPr>
        <w:t>‘</w:t>
      </w:r>
      <w:r w:rsidRPr="00056DF9">
        <w:rPr>
          <w:rFonts w:ascii="Tahoma" w:hAnsi="Tahoma" w:cs="Tahoma"/>
          <w:color w:val="222222"/>
          <w:sz w:val="24"/>
          <w:szCs w:val="24"/>
          <w:shd w:val="clear" w:color="auto" w:fill="FFFFFF"/>
        </w:rPr>
        <w:t>Fostering the scholarship of teaching and learning through faculty learning communities</w:t>
      </w:r>
      <w:r w:rsidR="00BC4930" w:rsidRPr="00056DF9">
        <w:rPr>
          <w:rFonts w:ascii="Tahoma" w:hAnsi="Tahoma" w:cs="Tahoma"/>
          <w:color w:val="222222"/>
          <w:sz w:val="24"/>
          <w:szCs w:val="24"/>
          <w:shd w:val="clear" w:color="auto" w:fill="FFFFFF"/>
        </w:rPr>
        <w:t>’,</w:t>
      </w:r>
      <w:r w:rsidRPr="00056DF9">
        <w:rPr>
          <w:rFonts w:ascii="Tahoma" w:hAnsi="Tahoma" w:cs="Tahoma"/>
          <w:color w:val="222222"/>
          <w:sz w:val="24"/>
          <w:szCs w:val="24"/>
          <w:shd w:val="clear" w:color="auto" w:fill="FFFFFF"/>
        </w:rPr>
        <w:t> </w:t>
      </w:r>
      <w:r w:rsidRPr="00056DF9">
        <w:rPr>
          <w:rFonts w:ascii="Tahoma" w:hAnsi="Tahoma" w:cs="Tahoma"/>
          <w:i/>
          <w:iCs/>
          <w:color w:val="222222"/>
          <w:sz w:val="24"/>
          <w:szCs w:val="24"/>
          <w:shd w:val="clear" w:color="auto" w:fill="FFFFFF"/>
        </w:rPr>
        <w:t>Journal on Excellence in College Teaching</w:t>
      </w:r>
      <w:r w:rsidRPr="00056DF9">
        <w:rPr>
          <w:rFonts w:ascii="Tahoma" w:hAnsi="Tahoma" w:cs="Tahoma"/>
          <w:color w:val="222222"/>
          <w:sz w:val="24"/>
          <w:szCs w:val="24"/>
          <w:shd w:val="clear" w:color="auto" w:fill="FFFFFF"/>
        </w:rPr>
        <w:t>, 14(2/3), pp.161-198.</w:t>
      </w:r>
    </w:p>
    <w:p w14:paraId="49FA6F5F" w14:textId="36A6BA87" w:rsidR="00CC5DC9" w:rsidRPr="00056DF9" w:rsidRDefault="00CC5DC9" w:rsidP="00056DF9">
      <w:pPr>
        <w:spacing w:line="360" w:lineRule="auto"/>
        <w:rPr>
          <w:rFonts w:ascii="Tahoma" w:hAnsi="Tahoma" w:cs="Tahoma"/>
          <w:color w:val="222222"/>
          <w:sz w:val="24"/>
          <w:szCs w:val="24"/>
          <w:shd w:val="clear" w:color="auto" w:fill="FFFFFF"/>
        </w:rPr>
      </w:pPr>
      <w:r w:rsidRPr="00056DF9">
        <w:rPr>
          <w:rFonts w:ascii="Tahoma" w:hAnsi="Tahoma" w:cs="Tahoma"/>
          <w:color w:val="222222"/>
          <w:sz w:val="24"/>
          <w:szCs w:val="24"/>
          <w:shd w:val="clear" w:color="auto" w:fill="FFFFFF"/>
        </w:rPr>
        <w:t>Davidson, S.</w:t>
      </w:r>
      <w:r w:rsidR="00BC4930" w:rsidRPr="00056DF9">
        <w:rPr>
          <w:rFonts w:ascii="Tahoma" w:hAnsi="Tahoma" w:cs="Tahoma"/>
          <w:color w:val="222222"/>
          <w:sz w:val="24"/>
          <w:szCs w:val="24"/>
          <w:shd w:val="clear" w:color="auto" w:fill="FFFFFF"/>
        </w:rPr>
        <w:t xml:space="preserve"> (</w:t>
      </w:r>
      <w:r w:rsidRPr="00056DF9">
        <w:rPr>
          <w:rFonts w:ascii="Tahoma" w:hAnsi="Tahoma" w:cs="Tahoma"/>
          <w:color w:val="222222"/>
          <w:sz w:val="24"/>
          <w:szCs w:val="24"/>
          <w:shd w:val="clear" w:color="auto" w:fill="FFFFFF"/>
        </w:rPr>
        <w:t>2017</w:t>
      </w:r>
      <w:r w:rsidR="00BC4930" w:rsidRPr="00056DF9">
        <w:rPr>
          <w:rFonts w:ascii="Tahoma" w:hAnsi="Tahoma" w:cs="Tahoma"/>
          <w:color w:val="222222"/>
          <w:sz w:val="24"/>
          <w:szCs w:val="24"/>
          <w:shd w:val="clear" w:color="auto" w:fill="FFFFFF"/>
        </w:rPr>
        <w:t>)</w:t>
      </w:r>
      <w:r w:rsidRPr="00056DF9">
        <w:rPr>
          <w:rFonts w:ascii="Tahoma" w:hAnsi="Tahoma" w:cs="Tahoma"/>
          <w:color w:val="222222"/>
          <w:sz w:val="24"/>
          <w:szCs w:val="24"/>
          <w:shd w:val="clear" w:color="auto" w:fill="FFFFFF"/>
        </w:rPr>
        <w:t xml:space="preserve"> </w:t>
      </w:r>
      <w:r w:rsidR="00BC4930" w:rsidRPr="00056DF9">
        <w:rPr>
          <w:rFonts w:ascii="Tahoma" w:hAnsi="Tahoma" w:cs="Tahoma"/>
          <w:color w:val="222222"/>
          <w:sz w:val="24"/>
          <w:szCs w:val="24"/>
          <w:shd w:val="clear" w:color="auto" w:fill="FFFFFF"/>
        </w:rPr>
        <w:t>‘</w:t>
      </w:r>
      <w:r w:rsidRPr="00056DF9">
        <w:rPr>
          <w:rFonts w:ascii="Tahoma" w:hAnsi="Tahoma" w:cs="Tahoma"/>
          <w:color w:val="222222"/>
          <w:sz w:val="24"/>
          <w:szCs w:val="24"/>
          <w:shd w:val="clear" w:color="auto" w:fill="FFFFFF"/>
        </w:rPr>
        <w:t>Trauma-informed practices for postsecondary education: A guide</w:t>
      </w:r>
      <w:r w:rsidR="00BC4930" w:rsidRPr="00056DF9">
        <w:rPr>
          <w:rFonts w:ascii="Tahoma" w:hAnsi="Tahoma" w:cs="Tahoma"/>
          <w:color w:val="222222"/>
          <w:sz w:val="24"/>
          <w:szCs w:val="24"/>
          <w:shd w:val="clear" w:color="auto" w:fill="FFFFFF"/>
        </w:rPr>
        <w:t>’,</w:t>
      </w:r>
      <w:r w:rsidRPr="00056DF9">
        <w:rPr>
          <w:rFonts w:ascii="Tahoma" w:hAnsi="Tahoma" w:cs="Tahoma"/>
          <w:color w:val="222222"/>
          <w:sz w:val="24"/>
          <w:szCs w:val="24"/>
          <w:shd w:val="clear" w:color="auto" w:fill="FFFFFF"/>
        </w:rPr>
        <w:t> </w:t>
      </w:r>
      <w:r w:rsidRPr="00056DF9">
        <w:rPr>
          <w:rFonts w:ascii="Tahoma" w:hAnsi="Tahoma" w:cs="Tahoma"/>
          <w:i/>
          <w:iCs/>
          <w:color w:val="222222"/>
          <w:sz w:val="24"/>
          <w:szCs w:val="24"/>
          <w:shd w:val="clear" w:color="auto" w:fill="FFFFFF"/>
        </w:rPr>
        <w:t>Education Northwest</w:t>
      </w:r>
      <w:r w:rsidRPr="00056DF9">
        <w:rPr>
          <w:rFonts w:ascii="Tahoma" w:hAnsi="Tahoma" w:cs="Tahoma"/>
          <w:color w:val="222222"/>
          <w:sz w:val="24"/>
          <w:szCs w:val="24"/>
          <w:shd w:val="clear" w:color="auto" w:fill="FFFFFF"/>
        </w:rPr>
        <w:t>, </w:t>
      </w:r>
      <w:r w:rsidRPr="00056DF9">
        <w:rPr>
          <w:rFonts w:ascii="Tahoma" w:hAnsi="Tahoma" w:cs="Tahoma"/>
          <w:i/>
          <w:iCs/>
          <w:color w:val="222222"/>
          <w:sz w:val="24"/>
          <w:szCs w:val="24"/>
          <w:shd w:val="clear" w:color="auto" w:fill="FFFFFF"/>
        </w:rPr>
        <w:t>5</w:t>
      </w:r>
      <w:r w:rsidRPr="00056DF9">
        <w:rPr>
          <w:rFonts w:ascii="Tahoma" w:hAnsi="Tahoma" w:cs="Tahoma"/>
          <w:color w:val="222222"/>
          <w:sz w:val="24"/>
          <w:szCs w:val="24"/>
          <w:shd w:val="clear" w:color="auto" w:fill="FFFFFF"/>
        </w:rPr>
        <w:t>, pp.3-24.</w:t>
      </w:r>
    </w:p>
    <w:p w14:paraId="4EBF5C3E" w14:textId="6BB89F08" w:rsidR="005D021F" w:rsidRPr="00056DF9" w:rsidRDefault="005D021F" w:rsidP="00056DF9">
      <w:pPr>
        <w:spacing w:line="360" w:lineRule="auto"/>
        <w:rPr>
          <w:rFonts w:ascii="Tahoma" w:hAnsi="Tahoma" w:cs="Tahoma"/>
          <w:color w:val="222222"/>
          <w:sz w:val="24"/>
          <w:szCs w:val="24"/>
          <w:shd w:val="clear" w:color="auto" w:fill="FFFFFF"/>
        </w:rPr>
      </w:pPr>
      <w:r w:rsidRPr="00056DF9">
        <w:rPr>
          <w:rFonts w:ascii="Tahoma" w:hAnsi="Tahoma" w:cs="Tahoma"/>
          <w:color w:val="222222"/>
          <w:sz w:val="24"/>
          <w:szCs w:val="24"/>
          <w:shd w:val="clear" w:color="auto" w:fill="FFFFFF"/>
        </w:rPr>
        <w:t xml:space="preserve">Harrison, N., Burke, J. and Clarke, I. </w:t>
      </w:r>
      <w:r w:rsidR="00BC4930" w:rsidRPr="00056DF9">
        <w:rPr>
          <w:rFonts w:ascii="Tahoma" w:hAnsi="Tahoma" w:cs="Tahoma"/>
          <w:color w:val="222222"/>
          <w:sz w:val="24"/>
          <w:szCs w:val="24"/>
          <w:shd w:val="clear" w:color="auto" w:fill="FFFFFF"/>
        </w:rPr>
        <w:t>(</w:t>
      </w:r>
      <w:r w:rsidRPr="00056DF9">
        <w:rPr>
          <w:rFonts w:ascii="Tahoma" w:hAnsi="Tahoma" w:cs="Tahoma"/>
          <w:color w:val="222222"/>
          <w:sz w:val="24"/>
          <w:szCs w:val="24"/>
          <w:shd w:val="clear" w:color="auto" w:fill="FFFFFF"/>
        </w:rPr>
        <w:t>2023</w:t>
      </w:r>
      <w:r w:rsidR="00BC4930" w:rsidRPr="00056DF9">
        <w:rPr>
          <w:rFonts w:ascii="Tahoma" w:hAnsi="Tahoma" w:cs="Tahoma"/>
          <w:color w:val="222222"/>
          <w:sz w:val="24"/>
          <w:szCs w:val="24"/>
          <w:shd w:val="clear" w:color="auto" w:fill="FFFFFF"/>
        </w:rPr>
        <w:t>)</w:t>
      </w:r>
      <w:r w:rsidRPr="00056DF9">
        <w:rPr>
          <w:rFonts w:ascii="Tahoma" w:hAnsi="Tahoma" w:cs="Tahoma"/>
          <w:color w:val="222222"/>
          <w:sz w:val="24"/>
          <w:szCs w:val="24"/>
          <w:shd w:val="clear" w:color="auto" w:fill="FFFFFF"/>
        </w:rPr>
        <w:t xml:space="preserve"> </w:t>
      </w:r>
      <w:r w:rsidR="00BC4930" w:rsidRPr="00056DF9">
        <w:rPr>
          <w:rFonts w:ascii="Tahoma" w:hAnsi="Tahoma" w:cs="Tahoma"/>
          <w:color w:val="222222"/>
          <w:sz w:val="24"/>
          <w:szCs w:val="24"/>
          <w:shd w:val="clear" w:color="auto" w:fill="FFFFFF"/>
        </w:rPr>
        <w:t>‘</w:t>
      </w:r>
      <w:r w:rsidRPr="00056DF9">
        <w:rPr>
          <w:rFonts w:ascii="Tahoma" w:hAnsi="Tahoma" w:cs="Tahoma"/>
          <w:color w:val="222222"/>
          <w:sz w:val="24"/>
          <w:szCs w:val="24"/>
          <w:shd w:val="clear" w:color="auto" w:fill="FFFFFF"/>
        </w:rPr>
        <w:t>Risky teaching: developing a trauma-informed pedagogy for higher education</w:t>
      </w:r>
      <w:r w:rsidR="00BC4930" w:rsidRPr="00056DF9">
        <w:rPr>
          <w:rFonts w:ascii="Tahoma" w:hAnsi="Tahoma" w:cs="Tahoma"/>
          <w:color w:val="222222"/>
          <w:sz w:val="24"/>
          <w:szCs w:val="24"/>
          <w:shd w:val="clear" w:color="auto" w:fill="FFFFFF"/>
        </w:rPr>
        <w:t>’,</w:t>
      </w:r>
      <w:r w:rsidRPr="00056DF9">
        <w:rPr>
          <w:rFonts w:ascii="Tahoma" w:hAnsi="Tahoma" w:cs="Tahoma"/>
          <w:color w:val="222222"/>
          <w:sz w:val="24"/>
          <w:szCs w:val="24"/>
          <w:shd w:val="clear" w:color="auto" w:fill="FFFFFF"/>
        </w:rPr>
        <w:t> </w:t>
      </w:r>
      <w:r w:rsidRPr="00056DF9">
        <w:rPr>
          <w:rFonts w:ascii="Tahoma" w:hAnsi="Tahoma" w:cs="Tahoma"/>
          <w:i/>
          <w:iCs/>
          <w:color w:val="222222"/>
          <w:sz w:val="24"/>
          <w:szCs w:val="24"/>
          <w:shd w:val="clear" w:color="auto" w:fill="FFFFFF"/>
        </w:rPr>
        <w:t>Teaching in Higher Education</w:t>
      </w:r>
      <w:r w:rsidRPr="00056DF9">
        <w:rPr>
          <w:rFonts w:ascii="Tahoma" w:hAnsi="Tahoma" w:cs="Tahoma"/>
          <w:color w:val="222222"/>
          <w:sz w:val="24"/>
          <w:szCs w:val="24"/>
          <w:shd w:val="clear" w:color="auto" w:fill="FFFFFF"/>
        </w:rPr>
        <w:t>, 28(1), pp.180-194.</w:t>
      </w:r>
    </w:p>
    <w:p w14:paraId="34A42090" w14:textId="71726A89" w:rsidR="00BC4930" w:rsidRPr="00056DF9" w:rsidRDefault="00BC4930" w:rsidP="00056DF9">
      <w:pPr>
        <w:spacing w:line="360" w:lineRule="auto"/>
        <w:rPr>
          <w:rFonts w:ascii="Tahoma" w:hAnsi="Tahoma" w:cs="Tahoma"/>
          <w:sz w:val="24"/>
          <w:szCs w:val="24"/>
        </w:rPr>
      </w:pPr>
      <w:r w:rsidRPr="00056DF9">
        <w:rPr>
          <w:rFonts w:ascii="Tahoma" w:hAnsi="Tahoma" w:cs="Tahoma"/>
          <w:sz w:val="24"/>
          <w:szCs w:val="24"/>
        </w:rPr>
        <w:lastRenderedPageBreak/>
        <w:t>Kroo, A. (2020). Trauma Informed Teaching and Learning for Refugee Education Initiatives. Infopack for Instructors. Refugee Education Initiatives.</w:t>
      </w:r>
      <w:r w:rsidR="00F22DD1">
        <w:rPr>
          <w:rFonts w:ascii="Tahoma" w:hAnsi="Tahoma" w:cs="Tahoma"/>
          <w:sz w:val="24"/>
          <w:szCs w:val="24"/>
        </w:rPr>
        <w:t xml:space="preserve"> Available at: </w:t>
      </w:r>
      <w:hyperlink r:id="rId7" w:history="1">
        <w:r w:rsidR="00876CD0" w:rsidRPr="005A3319">
          <w:rPr>
            <w:rStyle w:val="Hyperlink"/>
            <w:rFonts w:ascii="Tahoma" w:hAnsi="Tahoma" w:cs="Tahoma"/>
            <w:sz w:val="24"/>
            <w:szCs w:val="24"/>
          </w:rPr>
          <w:t>https://www.refugeeeducationinitiatives.org/handbooks</w:t>
        </w:r>
      </w:hyperlink>
      <w:r w:rsidR="00876CD0">
        <w:rPr>
          <w:rFonts w:ascii="Tahoma" w:hAnsi="Tahoma" w:cs="Tahoma"/>
          <w:sz w:val="24"/>
          <w:szCs w:val="24"/>
        </w:rPr>
        <w:t xml:space="preserve"> </w:t>
      </w:r>
      <w:r w:rsidR="00F22DD1">
        <w:rPr>
          <w:rFonts w:ascii="Tahoma" w:hAnsi="Tahoma" w:cs="Tahoma"/>
          <w:sz w:val="24"/>
          <w:szCs w:val="24"/>
        </w:rPr>
        <w:t xml:space="preserve">(Accessed </w:t>
      </w:r>
      <w:r w:rsidR="00876CD0">
        <w:rPr>
          <w:rFonts w:ascii="Tahoma" w:hAnsi="Tahoma" w:cs="Tahoma"/>
          <w:sz w:val="24"/>
          <w:szCs w:val="24"/>
        </w:rPr>
        <w:t>24 April 2023).</w:t>
      </w:r>
    </w:p>
    <w:p w14:paraId="138C66A2" w14:textId="6F37EDD3" w:rsidR="00AF081A" w:rsidRPr="00056DF9" w:rsidRDefault="00AF081A" w:rsidP="00056DF9">
      <w:pPr>
        <w:spacing w:line="360" w:lineRule="auto"/>
        <w:rPr>
          <w:rFonts w:ascii="Tahoma" w:hAnsi="Tahoma" w:cs="Tahoma"/>
          <w:sz w:val="24"/>
          <w:szCs w:val="24"/>
        </w:rPr>
      </w:pPr>
      <w:r w:rsidRPr="00056DF9">
        <w:rPr>
          <w:rFonts w:ascii="Tahoma" w:hAnsi="Tahoma" w:cs="Tahoma"/>
          <w:sz w:val="24"/>
          <w:szCs w:val="24"/>
        </w:rPr>
        <w:t xml:space="preserve">Wenger, E., McDermott, R. A., </w:t>
      </w:r>
      <w:r w:rsidR="00BC4930" w:rsidRPr="00056DF9">
        <w:rPr>
          <w:rFonts w:ascii="Tahoma" w:hAnsi="Tahoma" w:cs="Tahoma"/>
          <w:sz w:val="24"/>
          <w:szCs w:val="24"/>
        </w:rPr>
        <w:t>and</w:t>
      </w:r>
      <w:r w:rsidRPr="00056DF9">
        <w:rPr>
          <w:rFonts w:ascii="Tahoma" w:hAnsi="Tahoma" w:cs="Tahoma"/>
          <w:sz w:val="24"/>
          <w:szCs w:val="24"/>
        </w:rPr>
        <w:t xml:space="preserve"> Snyder, W. (2002) </w:t>
      </w:r>
      <w:r w:rsidRPr="00056DF9">
        <w:rPr>
          <w:rFonts w:ascii="Tahoma" w:hAnsi="Tahoma" w:cs="Tahoma"/>
          <w:i/>
          <w:iCs/>
          <w:sz w:val="24"/>
          <w:szCs w:val="24"/>
        </w:rPr>
        <w:t>Cultivating communities of practice: A guide to managing knowledge</w:t>
      </w:r>
      <w:r w:rsidRPr="00056DF9">
        <w:rPr>
          <w:rFonts w:ascii="Tahoma" w:hAnsi="Tahoma" w:cs="Tahoma"/>
          <w:sz w:val="24"/>
          <w:szCs w:val="24"/>
        </w:rPr>
        <w:t xml:space="preserve">. Harvard </w:t>
      </w:r>
      <w:r w:rsidR="00BC4930" w:rsidRPr="00056DF9">
        <w:rPr>
          <w:rFonts w:ascii="Tahoma" w:hAnsi="Tahoma" w:cs="Tahoma"/>
          <w:sz w:val="24"/>
          <w:szCs w:val="24"/>
        </w:rPr>
        <w:t>B</w:t>
      </w:r>
      <w:r w:rsidRPr="00056DF9">
        <w:rPr>
          <w:rFonts w:ascii="Tahoma" w:hAnsi="Tahoma" w:cs="Tahoma"/>
          <w:sz w:val="24"/>
          <w:szCs w:val="24"/>
        </w:rPr>
        <w:t xml:space="preserve">usiness </w:t>
      </w:r>
      <w:r w:rsidR="00BC4930" w:rsidRPr="00056DF9">
        <w:rPr>
          <w:rFonts w:ascii="Tahoma" w:hAnsi="Tahoma" w:cs="Tahoma"/>
          <w:sz w:val="24"/>
          <w:szCs w:val="24"/>
        </w:rPr>
        <w:t>P</w:t>
      </w:r>
      <w:r w:rsidRPr="00056DF9">
        <w:rPr>
          <w:rFonts w:ascii="Tahoma" w:hAnsi="Tahoma" w:cs="Tahoma"/>
          <w:sz w:val="24"/>
          <w:szCs w:val="24"/>
        </w:rPr>
        <w:t>ress.</w:t>
      </w:r>
    </w:p>
    <w:p w14:paraId="5B85CF4A" w14:textId="784DE557" w:rsidR="00A0316A" w:rsidRPr="00056DF9" w:rsidRDefault="009F0E73" w:rsidP="00056DF9">
      <w:pPr>
        <w:spacing w:line="360" w:lineRule="auto"/>
        <w:rPr>
          <w:rFonts w:ascii="Tahoma" w:eastAsia="Arial Nova" w:hAnsi="Tahoma" w:cs="Tahoma"/>
          <w:sz w:val="24"/>
          <w:szCs w:val="24"/>
        </w:rPr>
      </w:pPr>
      <w:r w:rsidRPr="00056DF9">
        <w:rPr>
          <w:rFonts w:ascii="Tahoma" w:hAnsi="Tahoma" w:cs="Tahoma"/>
          <w:color w:val="222222"/>
          <w:sz w:val="24"/>
          <w:szCs w:val="24"/>
          <w:shd w:val="clear" w:color="auto" w:fill="FFFFFF"/>
        </w:rPr>
        <w:t>Weston, C.B. and McAlpine, L.</w:t>
      </w:r>
      <w:r w:rsidR="00BC4930" w:rsidRPr="00056DF9">
        <w:rPr>
          <w:rFonts w:ascii="Tahoma" w:hAnsi="Tahoma" w:cs="Tahoma"/>
          <w:color w:val="222222"/>
          <w:sz w:val="24"/>
          <w:szCs w:val="24"/>
          <w:shd w:val="clear" w:color="auto" w:fill="FFFFFF"/>
        </w:rPr>
        <w:t xml:space="preserve"> (</w:t>
      </w:r>
      <w:r w:rsidRPr="00056DF9">
        <w:rPr>
          <w:rFonts w:ascii="Tahoma" w:hAnsi="Tahoma" w:cs="Tahoma"/>
          <w:color w:val="222222"/>
          <w:sz w:val="24"/>
          <w:szCs w:val="24"/>
          <w:shd w:val="clear" w:color="auto" w:fill="FFFFFF"/>
        </w:rPr>
        <w:t>2001</w:t>
      </w:r>
      <w:r w:rsidR="00BC4930" w:rsidRPr="00056DF9">
        <w:rPr>
          <w:rFonts w:ascii="Tahoma" w:hAnsi="Tahoma" w:cs="Tahoma"/>
          <w:color w:val="222222"/>
          <w:sz w:val="24"/>
          <w:szCs w:val="24"/>
          <w:shd w:val="clear" w:color="auto" w:fill="FFFFFF"/>
        </w:rPr>
        <w:t>)</w:t>
      </w:r>
      <w:r w:rsidRPr="00056DF9">
        <w:rPr>
          <w:rFonts w:ascii="Tahoma" w:hAnsi="Tahoma" w:cs="Tahoma"/>
          <w:color w:val="222222"/>
          <w:sz w:val="24"/>
          <w:szCs w:val="24"/>
          <w:shd w:val="clear" w:color="auto" w:fill="FFFFFF"/>
        </w:rPr>
        <w:t xml:space="preserve"> </w:t>
      </w:r>
      <w:r w:rsidR="00BC4930" w:rsidRPr="00056DF9">
        <w:rPr>
          <w:rFonts w:ascii="Tahoma" w:hAnsi="Tahoma" w:cs="Tahoma"/>
          <w:color w:val="222222"/>
          <w:sz w:val="24"/>
          <w:szCs w:val="24"/>
          <w:shd w:val="clear" w:color="auto" w:fill="FFFFFF"/>
        </w:rPr>
        <w:t>‘</w:t>
      </w:r>
      <w:r w:rsidRPr="00056DF9">
        <w:rPr>
          <w:rFonts w:ascii="Tahoma" w:hAnsi="Tahoma" w:cs="Tahoma"/>
          <w:color w:val="222222"/>
          <w:sz w:val="24"/>
          <w:szCs w:val="24"/>
          <w:shd w:val="clear" w:color="auto" w:fill="FFFFFF"/>
        </w:rPr>
        <w:t>Making explicit the development toward the scholarship of teaching</w:t>
      </w:r>
      <w:r w:rsidR="00BC4930" w:rsidRPr="00056DF9">
        <w:rPr>
          <w:rFonts w:ascii="Tahoma" w:hAnsi="Tahoma" w:cs="Tahoma"/>
          <w:color w:val="222222"/>
          <w:sz w:val="24"/>
          <w:szCs w:val="24"/>
          <w:shd w:val="clear" w:color="auto" w:fill="FFFFFF"/>
        </w:rPr>
        <w:t xml:space="preserve">’, </w:t>
      </w:r>
      <w:r w:rsidRPr="00056DF9">
        <w:rPr>
          <w:rFonts w:ascii="Tahoma" w:hAnsi="Tahoma" w:cs="Tahoma"/>
          <w:i/>
          <w:iCs/>
          <w:color w:val="222222"/>
          <w:sz w:val="24"/>
          <w:szCs w:val="24"/>
          <w:shd w:val="clear" w:color="auto" w:fill="FFFFFF"/>
        </w:rPr>
        <w:t xml:space="preserve">New </w:t>
      </w:r>
      <w:r w:rsidR="00BC4930" w:rsidRPr="00056DF9">
        <w:rPr>
          <w:rFonts w:ascii="Tahoma" w:hAnsi="Tahoma" w:cs="Tahoma"/>
          <w:i/>
          <w:iCs/>
          <w:color w:val="222222"/>
          <w:sz w:val="24"/>
          <w:szCs w:val="24"/>
          <w:shd w:val="clear" w:color="auto" w:fill="FFFFFF"/>
        </w:rPr>
        <w:t>D</w:t>
      </w:r>
      <w:r w:rsidRPr="00056DF9">
        <w:rPr>
          <w:rFonts w:ascii="Tahoma" w:hAnsi="Tahoma" w:cs="Tahoma"/>
          <w:i/>
          <w:iCs/>
          <w:color w:val="222222"/>
          <w:sz w:val="24"/>
          <w:szCs w:val="24"/>
          <w:shd w:val="clear" w:color="auto" w:fill="FFFFFF"/>
        </w:rPr>
        <w:t xml:space="preserve">irections for </w:t>
      </w:r>
      <w:r w:rsidR="00BC4930" w:rsidRPr="00056DF9">
        <w:rPr>
          <w:rFonts w:ascii="Tahoma" w:hAnsi="Tahoma" w:cs="Tahoma"/>
          <w:i/>
          <w:iCs/>
          <w:color w:val="222222"/>
          <w:sz w:val="24"/>
          <w:szCs w:val="24"/>
          <w:shd w:val="clear" w:color="auto" w:fill="FFFFFF"/>
        </w:rPr>
        <w:t>T</w:t>
      </w:r>
      <w:r w:rsidRPr="00056DF9">
        <w:rPr>
          <w:rFonts w:ascii="Tahoma" w:hAnsi="Tahoma" w:cs="Tahoma"/>
          <w:i/>
          <w:iCs/>
          <w:color w:val="222222"/>
          <w:sz w:val="24"/>
          <w:szCs w:val="24"/>
          <w:shd w:val="clear" w:color="auto" w:fill="FFFFFF"/>
        </w:rPr>
        <w:t xml:space="preserve">eaching and </w:t>
      </w:r>
      <w:r w:rsidR="00BC4930" w:rsidRPr="00056DF9">
        <w:rPr>
          <w:rFonts w:ascii="Tahoma" w:hAnsi="Tahoma" w:cs="Tahoma"/>
          <w:i/>
          <w:iCs/>
          <w:color w:val="222222"/>
          <w:sz w:val="24"/>
          <w:szCs w:val="24"/>
          <w:shd w:val="clear" w:color="auto" w:fill="FFFFFF"/>
        </w:rPr>
        <w:t>L</w:t>
      </w:r>
      <w:r w:rsidRPr="00056DF9">
        <w:rPr>
          <w:rFonts w:ascii="Tahoma" w:hAnsi="Tahoma" w:cs="Tahoma"/>
          <w:i/>
          <w:iCs/>
          <w:color w:val="222222"/>
          <w:sz w:val="24"/>
          <w:szCs w:val="24"/>
          <w:shd w:val="clear" w:color="auto" w:fill="FFFFFF"/>
        </w:rPr>
        <w:t>earning</w:t>
      </w:r>
      <w:r w:rsidRPr="00056DF9">
        <w:rPr>
          <w:rFonts w:ascii="Tahoma" w:hAnsi="Tahoma" w:cs="Tahoma"/>
          <w:color w:val="222222"/>
          <w:sz w:val="24"/>
          <w:szCs w:val="24"/>
          <w:shd w:val="clear" w:color="auto" w:fill="FFFFFF"/>
        </w:rPr>
        <w:t>, </w:t>
      </w:r>
      <w:r w:rsidRPr="00056DF9">
        <w:rPr>
          <w:rFonts w:ascii="Tahoma" w:hAnsi="Tahoma" w:cs="Tahoma"/>
          <w:i/>
          <w:iCs/>
          <w:color w:val="222222"/>
          <w:sz w:val="24"/>
          <w:szCs w:val="24"/>
          <w:shd w:val="clear" w:color="auto" w:fill="FFFFFF"/>
        </w:rPr>
        <w:t>2001</w:t>
      </w:r>
      <w:r w:rsidRPr="00056DF9">
        <w:rPr>
          <w:rFonts w:ascii="Tahoma" w:hAnsi="Tahoma" w:cs="Tahoma"/>
          <w:color w:val="222222"/>
          <w:sz w:val="24"/>
          <w:szCs w:val="24"/>
          <w:shd w:val="clear" w:color="auto" w:fill="FFFFFF"/>
        </w:rPr>
        <w:t>(86), pp.89-97.</w:t>
      </w:r>
    </w:p>
    <w:sectPr w:rsidR="00A0316A" w:rsidRPr="00056DF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D570A" w14:textId="77777777" w:rsidR="004B4569" w:rsidRDefault="004B4569" w:rsidP="004B4569">
      <w:pPr>
        <w:spacing w:after="0" w:line="240" w:lineRule="auto"/>
      </w:pPr>
      <w:r>
        <w:separator/>
      </w:r>
    </w:p>
  </w:endnote>
  <w:endnote w:type="continuationSeparator" w:id="0">
    <w:p w14:paraId="38A211ED" w14:textId="77777777" w:rsidR="004B4569" w:rsidRDefault="004B4569" w:rsidP="004B4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21DE3" w14:textId="77777777" w:rsidR="00DC1C33" w:rsidRDefault="00DC1C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242711"/>
      <w:docPartObj>
        <w:docPartGallery w:val="Page Numbers (Bottom of Page)"/>
        <w:docPartUnique/>
      </w:docPartObj>
    </w:sdtPr>
    <w:sdtEndPr/>
    <w:sdtContent>
      <w:p w14:paraId="0BF6A7D6" w14:textId="77777777" w:rsidR="001B4C44" w:rsidRPr="00C33412" w:rsidRDefault="001B4C44" w:rsidP="001B4C44">
        <w:pPr>
          <w:pStyle w:val="Footer"/>
          <w:rPr>
            <w:rFonts w:ascii="Tahoma" w:hAnsi="Tahoma" w:cs="Tahoma"/>
            <w:noProof/>
            <w:sz w:val="20"/>
            <w:szCs w:val="20"/>
          </w:rPr>
        </w:pPr>
        <w:r w:rsidRPr="00C33412">
          <w:rPr>
            <w:rFonts w:ascii="Tahoma" w:hAnsi="Tahoma" w:cs="Tahoma"/>
            <w:sz w:val="20"/>
            <w:szCs w:val="20"/>
          </w:rPr>
          <w:t>Innovative Practice in Higher Education</w:t>
        </w:r>
        <w:r w:rsidRPr="00C33412">
          <w:rPr>
            <w:rFonts w:ascii="Tahoma" w:hAnsi="Tahoma" w:cs="Tahoma"/>
            <w:sz w:val="20"/>
            <w:szCs w:val="20"/>
          </w:rPr>
          <w:tab/>
        </w:r>
        <w:r w:rsidRPr="00C33412">
          <w:rPr>
            <w:rFonts w:ascii="Tahoma" w:hAnsi="Tahoma" w:cs="Tahoma"/>
            <w:sz w:val="20"/>
            <w:szCs w:val="20"/>
          </w:rPr>
          <w:tab/>
        </w:r>
      </w:p>
      <w:p w14:paraId="109178D7" w14:textId="77777777" w:rsidR="001B4C44" w:rsidRPr="00C33412" w:rsidRDefault="001B4C44" w:rsidP="001B4C44">
        <w:pPr>
          <w:pStyle w:val="Footer"/>
          <w:rPr>
            <w:rFonts w:ascii="Tahoma" w:hAnsi="Tahoma" w:cs="Tahoma"/>
            <w:sz w:val="20"/>
            <w:szCs w:val="20"/>
          </w:rPr>
        </w:pPr>
        <w:r w:rsidRPr="00C33412">
          <w:rPr>
            <w:rFonts w:ascii="Tahoma" w:hAnsi="Tahoma" w:cs="Tahoma"/>
            <w:sz w:val="20"/>
            <w:szCs w:val="20"/>
          </w:rPr>
          <w:t>© IPiHE 2023</w:t>
        </w:r>
      </w:p>
      <w:p w14:paraId="310E5F89" w14:textId="68DE9F4A" w:rsidR="004B4569" w:rsidRDefault="001B4C44">
        <w:pPr>
          <w:pStyle w:val="Footer"/>
        </w:pPr>
        <w:r w:rsidRPr="00C33412">
          <w:rPr>
            <w:rFonts w:ascii="Tahoma" w:hAnsi="Tahoma" w:cs="Tahoma"/>
            <w:sz w:val="20"/>
            <w:szCs w:val="20"/>
          </w:rPr>
          <w:t>ISSN: 2044-3315</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A8BB8" w14:textId="77777777" w:rsidR="00DC1C33" w:rsidRDefault="00DC1C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54B28" w14:textId="77777777" w:rsidR="004B4569" w:rsidRDefault="004B4569" w:rsidP="004B4569">
      <w:pPr>
        <w:spacing w:after="0" w:line="240" w:lineRule="auto"/>
      </w:pPr>
      <w:r>
        <w:separator/>
      </w:r>
    </w:p>
  </w:footnote>
  <w:footnote w:type="continuationSeparator" w:id="0">
    <w:p w14:paraId="2197B8B3" w14:textId="77777777" w:rsidR="004B4569" w:rsidRDefault="004B4569" w:rsidP="004B45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4E170" w14:textId="77777777" w:rsidR="00DC1C33" w:rsidRDefault="00DC1C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556FF" w14:textId="5A077F66" w:rsidR="004B4569" w:rsidRPr="00C33412" w:rsidRDefault="004B4569" w:rsidP="004B4569">
    <w:pPr>
      <w:pStyle w:val="Header"/>
      <w:rPr>
        <w:rFonts w:ascii="Tahoma" w:hAnsi="Tahoma" w:cs="Tahoma"/>
        <w:sz w:val="20"/>
        <w:szCs w:val="20"/>
      </w:rPr>
    </w:pPr>
    <w:r w:rsidRPr="00C33412">
      <w:rPr>
        <w:rFonts w:ascii="Tahoma" w:hAnsi="Tahoma" w:cs="Tahoma"/>
        <w:sz w:val="20"/>
        <w:szCs w:val="20"/>
      </w:rPr>
      <w:t>Innovative Practice in Higher Education</w:t>
    </w:r>
    <w:r w:rsidRPr="00C33412">
      <w:rPr>
        <w:rFonts w:ascii="Tahoma" w:hAnsi="Tahoma" w:cs="Tahoma"/>
        <w:sz w:val="20"/>
        <w:szCs w:val="20"/>
      </w:rPr>
      <w:tab/>
    </w:r>
    <w:r w:rsidRPr="00C33412">
      <w:rPr>
        <w:rFonts w:ascii="Tahoma" w:hAnsi="Tahoma" w:cs="Tahoma"/>
        <w:sz w:val="20"/>
        <w:szCs w:val="20"/>
      </w:rPr>
      <w:tab/>
    </w:r>
    <w:r>
      <w:rPr>
        <w:rFonts w:ascii="Tahoma" w:hAnsi="Tahoma" w:cs="Tahoma"/>
        <w:sz w:val="20"/>
        <w:szCs w:val="20"/>
      </w:rPr>
      <w:t>Misic &amp; Rymarenko</w:t>
    </w:r>
  </w:p>
  <w:p w14:paraId="2B377B6F" w14:textId="3EE6CFFA" w:rsidR="004B4569" w:rsidRDefault="004B4569" w:rsidP="004B4569">
    <w:pPr>
      <w:pStyle w:val="Header"/>
      <w:rPr>
        <w:rFonts w:ascii="Tahoma" w:hAnsi="Tahoma" w:cs="Tahoma"/>
        <w:sz w:val="20"/>
        <w:szCs w:val="20"/>
      </w:rPr>
    </w:pPr>
    <w:r w:rsidRPr="00C33412">
      <w:rPr>
        <w:rFonts w:ascii="Tahoma" w:hAnsi="Tahoma" w:cs="Tahoma"/>
        <w:sz w:val="20"/>
        <w:szCs w:val="20"/>
      </w:rPr>
      <w:t xml:space="preserve">Vol </w:t>
    </w:r>
    <w:r w:rsidR="00DC1C33">
      <w:rPr>
        <w:rFonts w:ascii="Tahoma" w:hAnsi="Tahoma" w:cs="Tahoma"/>
        <w:sz w:val="20"/>
        <w:szCs w:val="20"/>
      </w:rPr>
      <w:t>5</w:t>
    </w:r>
    <w:r w:rsidRPr="00C33412">
      <w:rPr>
        <w:rFonts w:ascii="Tahoma" w:hAnsi="Tahoma" w:cs="Tahoma"/>
        <w:sz w:val="20"/>
        <w:szCs w:val="20"/>
      </w:rPr>
      <w:t xml:space="preserve"> (</w:t>
    </w:r>
    <w:r w:rsidR="00DC1C33">
      <w:rPr>
        <w:rFonts w:ascii="Tahoma" w:hAnsi="Tahoma" w:cs="Tahoma"/>
        <w:sz w:val="20"/>
        <w:szCs w:val="20"/>
      </w:rPr>
      <w:t>1</w:t>
    </w:r>
    <w:r w:rsidRPr="00C33412">
      <w:rPr>
        <w:rFonts w:ascii="Tahoma" w:hAnsi="Tahoma" w:cs="Tahoma"/>
        <w:sz w:val="20"/>
        <w:szCs w:val="20"/>
      </w:rPr>
      <w:t xml:space="preserve">) </w:t>
    </w:r>
    <w:r>
      <w:rPr>
        <w:rFonts w:ascii="Tahoma" w:hAnsi="Tahoma" w:cs="Tahoma"/>
        <w:sz w:val="20"/>
        <w:szCs w:val="20"/>
      </w:rPr>
      <w:t>May</w:t>
    </w:r>
    <w:r w:rsidRPr="00C33412">
      <w:rPr>
        <w:rFonts w:ascii="Tahoma" w:hAnsi="Tahoma" w:cs="Tahoma"/>
        <w:sz w:val="20"/>
        <w:szCs w:val="20"/>
      </w:rPr>
      <w:t xml:space="preserve"> 2023</w:t>
    </w:r>
    <w:r w:rsidRPr="00C33412">
      <w:rPr>
        <w:rFonts w:ascii="Tahoma" w:hAnsi="Tahoma" w:cs="Tahoma"/>
        <w:sz w:val="20"/>
        <w:szCs w:val="20"/>
      </w:rPr>
      <w:tab/>
    </w:r>
    <w:r w:rsidRPr="00C33412">
      <w:rPr>
        <w:rFonts w:ascii="Tahoma" w:hAnsi="Tahoma" w:cs="Tahoma"/>
        <w:sz w:val="20"/>
        <w:szCs w:val="20"/>
      </w:rPr>
      <w:tab/>
    </w:r>
    <w:r w:rsidR="0081114C">
      <w:rPr>
        <w:rFonts w:ascii="Tahoma" w:hAnsi="Tahoma" w:cs="Tahoma"/>
        <w:sz w:val="20"/>
        <w:szCs w:val="20"/>
      </w:rPr>
      <w:t>SoTL Community of Practice for</w:t>
    </w:r>
    <w:r>
      <w:rPr>
        <w:rFonts w:ascii="Tahoma" w:hAnsi="Tahoma" w:cs="Tahoma"/>
        <w:sz w:val="20"/>
        <w:szCs w:val="20"/>
      </w:rPr>
      <w:t xml:space="preserve"> </w:t>
    </w:r>
  </w:p>
  <w:p w14:paraId="0A87227A" w14:textId="1488675F" w:rsidR="004B4569" w:rsidRPr="00C33412" w:rsidRDefault="004B4569" w:rsidP="004B4569">
    <w:pPr>
      <w:pStyle w:val="Header"/>
      <w:rPr>
        <w:rFonts w:ascii="Tahoma" w:hAnsi="Tahoma" w:cs="Tahoma"/>
        <w:sz w:val="20"/>
        <w:szCs w:val="20"/>
      </w:rPr>
    </w:pPr>
    <w:r>
      <w:rPr>
        <w:rFonts w:ascii="Tahoma" w:hAnsi="Tahoma" w:cs="Tahoma"/>
        <w:sz w:val="20"/>
        <w:szCs w:val="20"/>
      </w:rPr>
      <w:tab/>
    </w:r>
    <w:r>
      <w:rPr>
        <w:rFonts w:ascii="Tahoma" w:hAnsi="Tahoma" w:cs="Tahoma"/>
        <w:sz w:val="20"/>
        <w:szCs w:val="20"/>
      </w:rPr>
      <w:tab/>
    </w:r>
    <w:r w:rsidR="0081114C">
      <w:rPr>
        <w:rFonts w:ascii="Tahoma" w:hAnsi="Tahoma" w:cs="Tahoma"/>
        <w:sz w:val="20"/>
        <w:szCs w:val="20"/>
      </w:rPr>
      <w:t>Trauma-sensitive Classroom</w:t>
    </w:r>
  </w:p>
  <w:p w14:paraId="3DE5AFEE" w14:textId="77777777" w:rsidR="004B4569" w:rsidRDefault="004B45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EF134" w14:textId="77777777" w:rsidR="00DC1C33" w:rsidRDefault="00DC1C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8DAA36"/>
    <w:rsid w:val="00056DF9"/>
    <w:rsid w:val="00107121"/>
    <w:rsid w:val="001B4C44"/>
    <w:rsid w:val="002C1FEF"/>
    <w:rsid w:val="004B4569"/>
    <w:rsid w:val="005151B1"/>
    <w:rsid w:val="005B7819"/>
    <w:rsid w:val="005D021F"/>
    <w:rsid w:val="007A35A5"/>
    <w:rsid w:val="0081114C"/>
    <w:rsid w:val="00817AD1"/>
    <w:rsid w:val="00876CD0"/>
    <w:rsid w:val="00992C7D"/>
    <w:rsid w:val="009E34AD"/>
    <w:rsid w:val="009F0E73"/>
    <w:rsid w:val="00A0316A"/>
    <w:rsid w:val="00AF081A"/>
    <w:rsid w:val="00BA066F"/>
    <w:rsid w:val="00BC4930"/>
    <w:rsid w:val="00CC5DC9"/>
    <w:rsid w:val="00DC1C33"/>
    <w:rsid w:val="00E3212E"/>
    <w:rsid w:val="00F22DD1"/>
    <w:rsid w:val="00F50E9B"/>
    <w:rsid w:val="0D8DAA36"/>
    <w:rsid w:val="3F987EA3"/>
    <w:rsid w:val="5A237D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DAA36"/>
  <w15:chartTrackingRefBased/>
  <w15:docId w15:val="{F8620429-8913-4F09-979A-AEAAA2410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F22DD1"/>
    <w:rPr>
      <w:color w:val="605E5C"/>
      <w:shd w:val="clear" w:color="auto" w:fill="E1DFDD"/>
    </w:rPr>
  </w:style>
  <w:style w:type="paragraph" w:styleId="Header">
    <w:name w:val="header"/>
    <w:basedOn w:val="Normal"/>
    <w:link w:val="HeaderChar"/>
    <w:uiPriority w:val="99"/>
    <w:unhideWhenUsed/>
    <w:rsid w:val="004B45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4569"/>
  </w:style>
  <w:style w:type="paragraph" w:styleId="Footer">
    <w:name w:val="footer"/>
    <w:basedOn w:val="Normal"/>
    <w:link w:val="FooterChar"/>
    <w:uiPriority w:val="99"/>
    <w:unhideWhenUsed/>
    <w:rsid w:val="004B45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4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refugeeeducationinitiatives.org/handbooks"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orana.misic@glasgow.ac.uk"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532</Words>
  <Characters>3035</Characters>
  <Application>Microsoft Office Word</Application>
  <DocSecurity>0</DocSecurity>
  <Lines>25</Lines>
  <Paragraphs>7</Paragraphs>
  <ScaleCrop>false</ScaleCrop>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Gorana Misic</dc:creator>
  <cp:keywords/>
  <dc:description/>
  <cp:lastModifiedBy>Christopher Little</cp:lastModifiedBy>
  <cp:revision>25</cp:revision>
  <dcterms:created xsi:type="dcterms:W3CDTF">2023-03-13T11:44:00Z</dcterms:created>
  <dcterms:modified xsi:type="dcterms:W3CDTF">2023-05-22T15:19:00Z</dcterms:modified>
</cp:coreProperties>
</file>