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8991" w14:textId="722E14ED" w:rsidR="00D371FC" w:rsidRDefault="00D371FC" w:rsidP="00424131">
      <w:pPr>
        <w:pStyle w:val="Title"/>
      </w:pPr>
      <w:r>
        <w:t xml:space="preserve">Student experiences of </w:t>
      </w:r>
      <w:r w:rsidR="00F414D1">
        <w:t xml:space="preserve">assessment </w:t>
      </w:r>
      <w:r>
        <w:t>feedback in the geography subject area</w:t>
      </w:r>
      <w:r w:rsidR="00BF2D7C">
        <w:t>: insights from a post-1992 institution</w:t>
      </w:r>
    </w:p>
    <w:p w14:paraId="65014803" w14:textId="77777777" w:rsidR="00D116F8" w:rsidRDefault="00D116F8" w:rsidP="00424131">
      <w:pPr>
        <w:rPr>
          <w:b/>
          <w:bCs/>
        </w:rPr>
      </w:pPr>
    </w:p>
    <w:p w14:paraId="41FAE446" w14:textId="33E14AD9" w:rsidR="00D371FC" w:rsidRPr="00D116F8" w:rsidRDefault="00170ABC" w:rsidP="00424131">
      <w:pPr>
        <w:rPr>
          <w:b/>
          <w:bCs/>
        </w:rPr>
      </w:pPr>
      <w:r w:rsidRPr="00D116F8">
        <w:rPr>
          <w:b/>
          <w:bCs/>
        </w:rPr>
        <w:t>Toby Tonkin</w:t>
      </w:r>
    </w:p>
    <w:p w14:paraId="2954585E" w14:textId="1B6848EA" w:rsidR="00170ABC" w:rsidRDefault="00170ABC" w:rsidP="00424131">
      <w:r>
        <w:t>University of Northampton</w:t>
      </w:r>
    </w:p>
    <w:p w14:paraId="0B56F739" w14:textId="77777777" w:rsidR="00170ABC" w:rsidRPr="00D116F8" w:rsidRDefault="00170ABC" w:rsidP="00424131">
      <w:pPr>
        <w:rPr>
          <w:b/>
          <w:bCs/>
        </w:rPr>
      </w:pPr>
      <w:r w:rsidRPr="00D116F8">
        <w:rPr>
          <w:b/>
          <w:bCs/>
        </w:rPr>
        <w:t xml:space="preserve">Annabelle Boulay </w:t>
      </w:r>
    </w:p>
    <w:p w14:paraId="5A4DBB2A" w14:textId="1751D154" w:rsidR="00170ABC" w:rsidRDefault="00170ABC" w:rsidP="00424131">
      <w:r>
        <w:t xml:space="preserve">University of </w:t>
      </w:r>
      <w:r w:rsidR="00E4732E">
        <w:t>Winchester</w:t>
      </w:r>
    </w:p>
    <w:p w14:paraId="7EC53171" w14:textId="54537AE6" w:rsidR="00170ABC" w:rsidRDefault="00170ABC" w:rsidP="00424131">
      <w:r>
        <w:t xml:space="preserve">Corresponding author: </w:t>
      </w:r>
      <w:r w:rsidR="00D116F8" w:rsidRPr="008B2D16">
        <w:t>toby.tonkin@northampton.ac.uk</w:t>
      </w:r>
      <w:r w:rsidR="00D116F8">
        <w:t xml:space="preserve"> </w:t>
      </w:r>
    </w:p>
    <w:p w14:paraId="668CBE27" w14:textId="77777777" w:rsidR="000C5E94" w:rsidRDefault="000C5E94" w:rsidP="00424131"/>
    <w:p w14:paraId="420DDB8B" w14:textId="414BCA5C" w:rsidR="00D371FC" w:rsidRPr="00D116F8" w:rsidRDefault="00D371FC" w:rsidP="00360DE2">
      <w:pPr>
        <w:pStyle w:val="Heading1"/>
        <w:tabs>
          <w:tab w:val="left" w:pos="2463"/>
        </w:tabs>
        <w:spacing w:after="240"/>
        <w:rPr>
          <w:b/>
          <w:bCs/>
        </w:rPr>
      </w:pPr>
      <w:r w:rsidRPr="00D116F8">
        <w:rPr>
          <w:b/>
          <w:bCs/>
        </w:rPr>
        <w:t>Abstract</w:t>
      </w:r>
    </w:p>
    <w:p w14:paraId="28AC2F8D" w14:textId="6B1DBD36" w:rsidR="00D371FC" w:rsidRDefault="00D371FC" w:rsidP="00360DE2">
      <w:pPr>
        <w:spacing w:after="240"/>
      </w:pPr>
      <w:r>
        <w:t xml:space="preserve">Across the </w:t>
      </w:r>
      <w:r w:rsidR="00EA4826">
        <w:t xml:space="preserve">Higher Education </w:t>
      </w:r>
      <w:r>
        <w:t>sector students typically express dissatisfaction in assessment and feedback process</w:t>
      </w:r>
      <w:r w:rsidR="00EA4826">
        <w:t>es</w:t>
      </w:r>
      <w:r w:rsidR="00D20320">
        <w:t xml:space="preserve">. This </w:t>
      </w:r>
      <w:r>
        <w:t xml:space="preserve">is concerning due to the importance of </w:t>
      </w:r>
      <w:r w:rsidR="00C854A1">
        <w:t>a</w:t>
      </w:r>
      <w:r w:rsidR="00D20320">
        <w:t>ssessment</w:t>
      </w:r>
      <w:r>
        <w:t xml:space="preserve"> feedback for helping promote good</w:t>
      </w:r>
      <w:r w:rsidR="00D20320">
        <w:t xml:space="preserve"> student</w:t>
      </w:r>
      <w:r>
        <w:t xml:space="preserve"> outcomes. </w:t>
      </w:r>
      <w:r w:rsidR="007D0F1F">
        <w:t>In this study</w:t>
      </w:r>
      <w:r>
        <w:t xml:space="preserve"> the perceptions of 47 students were captured in focus groups</w:t>
      </w:r>
      <w:r w:rsidR="00EA4826">
        <w:t xml:space="preserve"> to explore the challenges students face when receiving assessment feedback. </w:t>
      </w:r>
      <w:r>
        <w:t xml:space="preserve">The findings document </w:t>
      </w:r>
      <w:r w:rsidR="007D0F1F">
        <w:t>a</w:t>
      </w:r>
      <w:r>
        <w:t xml:space="preserve"> broad range of opinions held by students on the provision and effectiveness of feedback within the </w:t>
      </w:r>
      <w:r w:rsidR="2DD33304">
        <w:t>geography</w:t>
      </w:r>
      <w:r w:rsidR="007D0F1F">
        <w:t xml:space="preserve"> </w:t>
      </w:r>
      <w:r>
        <w:t xml:space="preserve">subject area, with preferences for feedback style and approach varying at the individual level. The findings indicate that poor assessment literacy limits the application of tutor feedback between separate assessment points. </w:t>
      </w:r>
      <w:r w:rsidR="00424131">
        <w:t>T</w:t>
      </w:r>
      <w:r>
        <w:t xml:space="preserve">he language used </w:t>
      </w:r>
      <w:r w:rsidR="00C854A1">
        <w:t xml:space="preserve">by tutors </w:t>
      </w:r>
      <w:r>
        <w:t>when providing feedback was commented on</w:t>
      </w:r>
      <w:r w:rsidR="007D0F1F">
        <w:t xml:space="preserve">. This </w:t>
      </w:r>
      <w:r>
        <w:t xml:space="preserve">relates to both the </w:t>
      </w:r>
      <w:r w:rsidR="007D0F1F">
        <w:t>affective</w:t>
      </w:r>
      <w:r>
        <w:t xml:space="preserve"> response of students </w:t>
      </w:r>
      <w:r w:rsidR="007D0F1F">
        <w:t xml:space="preserve">to tutor feedback </w:t>
      </w:r>
      <w:r>
        <w:t xml:space="preserve">and their ability to de-code tutor comments. </w:t>
      </w:r>
      <w:r w:rsidR="00D20320">
        <w:t>We</w:t>
      </w:r>
      <w:r w:rsidR="002E2C89">
        <w:t xml:space="preserve"> </w:t>
      </w:r>
      <w:r w:rsidR="00043FD0">
        <w:t xml:space="preserve">underline the </w:t>
      </w:r>
      <w:r w:rsidR="00D20320">
        <w:t>importance</w:t>
      </w:r>
      <w:r w:rsidR="00043FD0">
        <w:t xml:space="preserve"> </w:t>
      </w:r>
      <w:r w:rsidR="00D20320">
        <w:t>of</w:t>
      </w:r>
      <w:r w:rsidR="00043FD0">
        <w:t xml:space="preserve"> building students’ assessment literacy to ensure they </w:t>
      </w:r>
      <w:r w:rsidR="004D6594">
        <w:t>are able to fully benefit from both formative and summative feedback</w:t>
      </w:r>
      <w:r w:rsidR="00B368E9">
        <w:t xml:space="preserve"> </w:t>
      </w:r>
      <w:r w:rsidR="00DD0A92">
        <w:t>opportunities</w:t>
      </w:r>
      <w:r w:rsidR="004D6594">
        <w:t>.</w:t>
      </w:r>
    </w:p>
    <w:p w14:paraId="1CE71785" w14:textId="11572AF7" w:rsidR="00D371FC" w:rsidRPr="00D116F8" w:rsidRDefault="00D371FC" w:rsidP="00A827C6">
      <w:pPr>
        <w:pStyle w:val="Heading1"/>
        <w:rPr>
          <w:b/>
          <w:bCs/>
        </w:rPr>
      </w:pPr>
      <w:r w:rsidRPr="00D116F8">
        <w:rPr>
          <w:b/>
          <w:bCs/>
        </w:rPr>
        <w:t>Keywords</w:t>
      </w:r>
    </w:p>
    <w:p w14:paraId="45EE1E77" w14:textId="07BE0F69" w:rsidR="0006134E" w:rsidRDefault="00D537E0" w:rsidP="00360DE2">
      <w:pPr>
        <w:spacing w:after="240"/>
      </w:pPr>
      <w:r>
        <w:t xml:space="preserve">Effective </w:t>
      </w:r>
      <w:r w:rsidR="00D371FC">
        <w:t>feedback, summative, formative, analytical rubrics, student satisfaction</w:t>
      </w:r>
      <w:r w:rsidR="0006134E">
        <w:br w:type="page"/>
      </w:r>
    </w:p>
    <w:p w14:paraId="6D1638BA" w14:textId="285AA4A2" w:rsidR="00D371FC" w:rsidRPr="00D116F8" w:rsidRDefault="000053DD" w:rsidP="00360DE2">
      <w:pPr>
        <w:pStyle w:val="Heading1"/>
        <w:spacing w:after="240"/>
        <w:rPr>
          <w:b/>
          <w:bCs/>
        </w:rPr>
      </w:pPr>
      <w:r w:rsidRPr="00D116F8">
        <w:rPr>
          <w:b/>
          <w:bCs/>
        </w:rPr>
        <w:lastRenderedPageBreak/>
        <w:t>Research Context</w:t>
      </w:r>
    </w:p>
    <w:p w14:paraId="43623339" w14:textId="523D9FD6" w:rsidR="00726E08" w:rsidRDefault="001D74F9" w:rsidP="00360DE2">
      <w:pPr>
        <w:spacing w:after="240"/>
      </w:pPr>
      <w:r>
        <w:t>F</w:t>
      </w:r>
      <w:r w:rsidR="000053DD">
        <w:t xml:space="preserve">eedback is an interface between </w:t>
      </w:r>
      <w:r w:rsidR="006752FC">
        <w:t xml:space="preserve">tutors </w:t>
      </w:r>
      <w:r w:rsidR="000053DD">
        <w:t>and students</w:t>
      </w:r>
      <w:r w:rsidR="007D0F1F">
        <w:t xml:space="preserve">, </w:t>
      </w:r>
      <w:r w:rsidR="000053DD">
        <w:t>represent</w:t>
      </w:r>
      <w:r w:rsidR="007D0F1F">
        <w:t>ing</w:t>
      </w:r>
      <w:r w:rsidR="000053DD">
        <w:t xml:space="preserve"> an </w:t>
      </w:r>
      <w:r w:rsidR="0F6CA5C8">
        <w:t xml:space="preserve">important </w:t>
      </w:r>
      <w:r w:rsidR="000053DD">
        <w:t xml:space="preserve">opportunity for </w:t>
      </w:r>
      <w:r w:rsidR="008D15D9">
        <w:t xml:space="preserve">educators </w:t>
      </w:r>
      <w:r w:rsidR="000053DD">
        <w:t xml:space="preserve">to shape goals for individual learners, and for students to have their learning needs met (Bailey and Garner, 2010). Unsurprisingly, students learn faster and more effectively when they have a clear sense of how to improve their </w:t>
      </w:r>
      <w:r w:rsidR="005E441F">
        <w:t xml:space="preserve">academic </w:t>
      </w:r>
      <w:r w:rsidR="00671B9A">
        <w:t xml:space="preserve">performance </w:t>
      </w:r>
      <w:r w:rsidR="000053DD">
        <w:t>(Hounsell, 2003; Carless, 2006; Vardi, 2012).</w:t>
      </w:r>
      <w:r w:rsidR="004D6594">
        <w:t xml:space="preserve"> </w:t>
      </w:r>
      <w:r w:rsidR="000053DD">
        <w:t>Despite the obvious importance of</w:t>
      </w:r>
      <w:r w:rsidR="007D0F1F">
        <w:t xml:space="preserve"> </w:t>
      </w:r>
      <w:r w:rsidR="000053DD">
        <w:t xml:space="preserve">feedback, at present poor student satisfaction in feedback </w:t>
      </w:r>
      <w:r w:rsidR="430016B3">
        <w:t xml:space="preserve">approaches </w:t>
      </w:r>
      <w:r w:rsidR="000053DD">
        <w:t>across the sector are reflected in the United Kingdom’s National Student Survey (NSS)</w:t>
      </w:r>
      <w:r w:rsidR="00271325">
        <w:t>. S</w:t>
      </w:r>
      <w:r w:rsidR="000053DD">
        <w:t xml:space="preserve">tudents </w:t>
      </w:r>
      <w:r w:rsidR="00271325">
        <w:t>may be</w:t>
      </w:r>
      <w:r w:rsidR="000053DD">
        <w:t xml:space="preserve"> unhappy with written feedback in relation to its detail, clarity</w:t>
      </w:r>
      <w:r w:rsidR="00611FE2">
        <w:t>,</w:t>
      </w:r>
      <w:r w:rsidR="000053DD">
        <w:t xml:space="preserve"> and delivery time (Nicol, 2010). Recent research has identified that students value, amongst other aspects, detailed and personalised feedback (Dawson et al., 2018)</w:t>
      </w:r>
      <w:r w:rsidR="007D0F1F">
        <w:t xml:space="preserve"> and </w:t>
      </w:r>
      <w:r w:rsidR="006752FC">
        <w:t>Advance HE</w:t>
      </w:r>
      <w:r w:rsidR="000053DD">
        <w:t xml:space="preserve"> </w:t>
      </w:r>
      <w:r w:rsidR="005A0C26">
        <w:t>highlights</w:t>
      </w:r>
      <w:r w:rsidR="000053DD">
        <w:t xml:space="preserve"> the need for students to understand assessment procedures (‘assessment literacy’)</w:t>
      </w:r>
      <w:r w:rsidR="005E441F">
        <w:t>,</w:t>
      </w:r>
      <w:r w:rsidR="000053DD">
        <w:t xml:space="preserve"> which may play a role in helping students independently manage their learning</w:t>
      </w:r>
      <w:r w:rsidR="00DA62D7">
        <w:t xml:space="preserve"> (Jackel et al., 2017)</w:t>
      </w:r>
      <w:r w:rsidR="000053DD">
        <w:t xml:space="preserve">. </w:t>
      </w:r>
      <w:r w:rsidR="007D0F1F">
        <w:t>Linked to this, g</w:t>
      </w:r>
      <w:r w:rsidR="0089383E">
        <w:t>rading r</w:t>
      </w:r>
      <w:r w:rsidR="000053DD">
        <w:t xml:space="preserve">ubrics </w:t>
      </w:r>
      <w:r w:rsidR="007D0F1F">
        <w:t>are suggested</w:t>
      </w:r>
      <w:r w:rsidR="006752FC">
        <w:t xml:space="preserve"> to</w:t>
      </w:r>
      <w:r w:rsidR="000053DD">
        <w:t xml:space="preserve"> play a role in facilitating student assessment literacy</w:t>
      </w:r>
      <w:r w:rsidR="00387EB4">
        <w:t xml:space="preserve"> and </w:t>
      </w:r>
      <w:r w:rsidR="000053DD">
        <w:t xml:space="preserve">Smith et al. (2013) demonstrate that through improving the assessment literacy of a set </w:t>
      </w:r>
      <w:r w:rsidR="006752FC">
        <w:t xml:space="preserve">of </w:t>
      </w:r>
      <w:r w:rsidR="000053DD">
        <w:t xml:space="preserve">learners, one can enhance </w:t>
      </w:r>
      <w:r w:rsidR="74250A2D">
        <w:t xml:space="preserve">levels of </w:t>
      </w:r>
      <w:r w:rsidR="28C4D966">
        <w:t>attainment</w:t>
      </w:r>
      <w:r w:rsidR="000053DD">
        <w:t xml:space="preserve">. </w:t>
      </w:r>
      <w:r w:rsidR="00BA67A4">
        <w:t xml:space="preserve">Despite these advances in our understanding of what constitutes effective feedback, </w:t>
      </w:r>
      <w:r w:rsidR="00440FBE">
        <w:t xml:space="preserve">issues around the ‘entanglement’ between assessment, grading, </w:t>
      </w:r>
      <w:r w:rsidR="00440FBE" w:rsidRPr="0035583C">
        <w:t>and</w:t>
      </w:r>
      <w:r w:rsidR="00440FBE">
        <w:t xml:space="preserve"> effectiv</w:t>
      </w:r>
      <w:r w:rsidR="00387EB4">
        <w:t xml:space="preserve">eness of </w:t>
      </w:r>
      <w:r w:rsidR="00440FBE">
        <w:t xml:space="preserve">feedback have been noted and explored in a recent study by </w:t>
      </w:r>
      <w:r w:rsidR="005302ED">
        <w:t>Winstone and Boud (2022).</w:t>
      </w:r>
    </w:p>
    <w:p w14:paraId="3ED37649" w14:textId="7040004D" w:rsidR="00726E08" w:rsidRPr="000053DD" w:rsidRDefault="0060079F" w:rsidP="00360DE2">
      <w:pPr>
        <w:spacing w:after="240"/>
      </w:pPr>
      <w:r>
        <w:t>Multiple studies have note</w:t>
      </w:r>
      <w:r w:rsidR="00771264">
        <w:t>d</w:t>
      </w:r>
      <w:r>
        <w:t xml:space="preserve"> the role of learner emotions in explaining why feedback </w:t>
      </w:r>
      <w:r w:rsidR="27146AE2">
        <w:t>may or</w:t>
      </w:r>
      <w:r>
        <w:t xml:space="preserve"> may not be acted on or well received (</w:t>
      </w:r>
      <w:r w:rsidR="00E7329D">
        <w:t xml:space="preserve">e.g., </w:t>
      </w:r>
      <w:r w:rsidR="6AFA3492">
        <w:t>Evans, 2013</w:t>
      </w:r>
      <w:r w:rsidR="00E7329D">
        <w:t xml:space="preserve">; </w:t>
      </w:r>
      <w:r>
        <w:t>Pitt and Norton</w:t>
      </w:r>
      <w:r w:rsidR="00602265">
        <w:t xml:space="preserve">, </w:t>
      </w:r>
      <w:r>
        <w:t xml:space="preserve">2017). Pitt et al. (2020) </w:t>
      </w:r>
      <w:r w:rsidR="001235EE">
        <w:t xml:space="preserve">highlight the </w:t>
      </w:r>
      <w:r w:rsidR="000B275D">
        <w:t xml:space="preserve">need to cultivate learning environments that provide frequent and regular opportunities for students to receive feedback in ‘low stakes’ </w:t>
      </w:r>
      <w:r w:rsidR="00726E08">
        <w:t>situations</w:t>
      </w:r>
      <w:r w:rsidR="5888E3C5">
        <w:t>,</w:t>
      </w:r>
      <w:r w:rsidR="00726E08">
        <w:t xml:space="preserve"> and</w:t>
      </w:r>
      <w:r w:rsidR="08343F85">
        <w:t xml:space="preserve"> the </w:t>
      </w:r>
      <w:r w:rsidR="001235EE">
        <w:t xml:space="preserve">value of </w:t>
      </w:r>
      <w:r w:rsidR="000B275D">
        <w:t>u</w:t>
      </w:r>
      <w:r w:rsidR="001235EE">
        <w:t>sing</w:t>
      </w:r>
      <w:r w:rsidR="000B275D">
        <w:t xml:space="preserve"> praise to promote a growth-mind set</w:t>
      </w:r>
      <w:r>
        <w:t xml:space="preserve">. </w:t>
      </w:r>
      <w:r w:rsidR="2B925BB8">
        <w:t xml:space="preserve">The </w:t>
      </w:r>
      <w:r w:rsidR="752188C5">
        <w:t>value in developing</w:t>
      </w:r>
      <w:r w:rsidR="2B925BB8">
        <w:t xml:space="preserve"> </w:t>
      </w:r>
      <w:r w:rsidR="00726E08">
        <w:t xml:space="preserve">student agency </w:t>
      </w:r>
      <w:r w:rsidR="1E7DABCA">
        <w:t>and independence, as a means to en</w:t>
      </w:r>
      <w:r w:rsidR="008D15D9">
        <w:t>s</w:t>
      </w:r>
      <w:r w:rsidR="1E7DABCA">
        <w:t>ure feedback h</w:t>
      </w:r>
      <w:r w:rsidR="001235EE">
        <w:t>as</w:t>
      </w:r>
      <w:r w:rsidR="1E7DABCA">
        <w:t xml:space="preserve"> the </w:t>
      </w:r>
      <w:r w:rsidR="00F86FFB">
        <w:t>intended</w:t>
      </w:r>
      <w:r w:rsidR="1E7DABCA">
        <w:t xml:space="preserve"> learning pay-off was</w:t>
      </w:r>
      <w:r w:rsidR="00726E08">
        <w:t xml:space="preserve"> noted in a study of </w:t>
      </w:r>
      <w:r w:rsidR="5BEA8FD7">
        <w:t>g</w:t>
      </w:r>
      <w:r w:rsidR="00726E08">
        <w:t xml:space="preserve">eography students at King’s College London – a Russell group institution </w:t>
      </w:r>
      <w:r w:rsidR="00EB2882">
        <w:t xml:space="preserve">with a high proportion of international students </w:t>
      </w:r>
      <w:r w:rsidR="00726E08">
        <w:lastRenderedPageBreak/>
        <w:t>(Francis et al., 2019).</w:t>
      </w:r>
      <w:r w:rsidR="0EC55B41">
        <w:t xml:space="preserve"> </w:t>
      </w:r>
      <w:r w:rsidR="00C81D47">
        <w:t xml:space="preserve">However, </w:t>
      </w:r>
      <w:r w:rsidR="00290920">
        <w:t xml:space="preserve">other </w:t>
      </w:r>
      <w:r w:rsidR="00C81D47">
        <w:t>s</w:t>
      </w:r>
      <w:r w:rsidR="00726E08">
        <w:t>tudies have drawn attention</w:t>
      </w:r>
      <w:r w:rsidR="1D945F5B">
        <w:t xml:space="preserve"> to the</w:t>
      </w:r>
      <w:r w:rsidR="00726E08">
        <w:t xml:space="preserve"> </w:t>
      </w:r>
      <w:r w:rsidR="00602265">
        <w:t xml:space="preserve">experiences of </w:t>
      </w:r>
      <w:r w:rsidR="00F86FFB">
        <w:t>‘</w:t>
      </w:r>
      <w:r w:rsidR="00602265">
        <w:t>non-traditional</w:t>
      </w:r>
      <w:r w:rsidR="00F86FFB">
        <w:t>’</w:t>
      </w:r>
      <w:r w:rsidR="00602265">
        <w:t xml:space="preserve"> </w:t>
      </w:r>
      <w:r w:rsidR="00726E08">
        <w:t xml:space="preserve">students </w:t>
      </w:r>
      <w:r w:rsidR="00602265">
        <w:t>in Higher Education (</w:t>
      </w:r>
      <w:r w:rsidR="00E91936">
        <w:t xml:space="preserve">e.g., </w:t>
      </w:r>
      <w:r w:rsidR="002701E1">
        <w:t xml:space="preserve">Hoskins, 2012; </w:t>
      </w:r>
      <w:r w:rsidR="00602265">
        <w:t>Gill, 2020)</w:t>
      </w:r>
      <w:r w:rsidR="3835DE70">
        <w:t>.</w:t>
      </w:r>
      <w:r w:rsidR="00771264">
        <w:t xml:space="preserve"> </w:t>
      </w:r>
      <w:r w:rsidR="00F86FFB">
        <w:t>Critically, w</w:t>
      </w:r>
      <w:r w:rsidR="00771264">
        <w:t xml:space="preserve">ithin the </w:t>
      </w:r>
      <w:r w:rsidR="2F7578FE">
        <w:t>g</w:t>
      </w:r>
      <w:r w:rsidR="00771264">
        <w:t>eography subject area, there has been limited exploration of feedback experiences</w:t>
      </w:r>
      <w:r w:rsidR="00EB2882">
        <w:t xml:space="preserve"> in this context.</w:t>
      </w:r>
    </w:p>
    <w:p w14:paraId="13516950" w14:textId="5DF2AFB5" w:rsidR="00D371FC" w:rsidRDefault="00771264" w:rsidP="00360DE2">
      <w:pPr>
        <w:spacing w:after="240"/>
      </w:pPr>
      <w:r>
        <w:t>Therefore,</w:t>
      </w:r>
      <w:r w:rsidR="000053DD">
        <w:t xml:space="preserve"> </w:t>
      </w:r>
      <w:r w:rsidR="006752FC">
        <w:t xml:space="preserve">this </w:t>
      </w:r>
      <w:r w:rsidR="00201900">
        <w:t>study set out to</w:t>
      </w:r>
      <w:r w:rsidR="000053DD">
        <w:t xml:space="preserve"> identify how </w:t>
      </w:r>
      <w:r w:rsidR="5C1B6D6B">
        <w:t>g</w:t>
      </w:r>
      <w:r w:rsidR="000053DD">
        <w:t>eography students read and use feedback within the context of a post-1992 institution where many entrants are from a ‘non-traditional’ background</w:t>
      </w:r>
      <w:r w:rsidR="00761C7A">
        <w:t xml:space="preserve">. This </w:t>
      </w:r>
      <w:r>
        <w:t xml:space="preserve">provides a timely comparison </w:t>
      </w:r>
      <w:r w:rsidR="00761C7A">
        <w:t>to</w:t>
      </w:r>
      <w:r w:rsidR="000053DD">
        <w:t xml:space="preserve"> existing published </w:t>
      </w:r>
      <w:r w:rsidR="00C76140">
        <w:t>work</w:t>
      </w:r>
      <w:r w:rsidR="004C750B">
        <w:t xml:space="preserve">, which </w:t>
      </w:r>
      <w:r>
        <w:t xml:space="preserve">documents </w:t>
      </w:r>
      <w:r w:rsidR="00F437C5">
        <w:t>g</w:t>
      </w:r>
      <w:r w:rsidR="00761C7A">
        <w:t>eography</w:t>
      </w:r>
      <w:r w:rsidR="004C750B">
        <w:t xml:space="preserve"> </w:t>
      </w:r>
      <w:r w:rsidR="00761C7A">
        <w:t>s</w:t>
      </w:r>
      <w:r w:rsidR="004C750B">
        <w:t>tudent experiences</w:t>
      </w:r>
      <w:r>
        <w:t xml:space="preserve"> of feedback</w:t>
      </w:r>
      <w:r w:rsidR="004C750B">
        <w:t xml:space="preserve"> within the context of a Russel</w:t>
      </w:r>
      <w:r w:rsidR="00CF2CCB">
        <w:t>l</w:t>
      </w:r>
      <w:r w:rsidR="004C750B">
        <w:t xml:space="preserve"> Group institution</w:t>
      </w:r>
      <w:r w:rsidR="000053DD">
        <w:t xml:space="preserve"> (e.g</w:t>
      </w:r>
      <w:r w:rsidR="00A010BC">
        <w:t>.</w:t>
      </w:r>
      <w:r w:rsidR="000053DD">
        <w:t xml:space="preserve"> </w:t>
      </w:r>
      <w:r w:rsidR="005F5678">
        <w:t xml:space="preserve">Francis </w:t>
      </w:r>
      <w:r w:rsidR="000053DD">
        <w:t>et al.</w:t>
      </w:r>
      <w:r w:rsidR="00EF5863">
        <w:t>,</w:t>
      </w:r>
      <w:r w:rsidR="000053DD">
        <w:t xml:space="preserve"> 2019)</w:t>
      </w:r>
      <w:r>
        <w:t xml:space="preserve">, </w:t>
      </w:r>
      <w:r w:rsidR="00A3305F">
        <w:t xml:space="preserve">therefore </w:t>
      </w:r>
      <w:r>
        <w:t xml:space="preserve">offering an opportunity to explore differences and </w:t>
      </w:r>
      <w:r w:rsidR="00851C3C">
        <w:t>similarities</w:t>
      </w:r>
      <w:r>
        <w:t xml:space="preserve"> of undergraduate </w:t>
      </w:r>
      <w:r w:rsidR="38B9C2C1">
        <w:t>g</w:t>
      </w:r>
      <w:r>
        <w:t>eographers in different educational contexts</w:t>
      </w:r>
      <w:r w:rsidR="004C750B">
        <w:t>.</w:t>
      </w:r>
      <w:r w:rsidR="00201900">
        <w:t xml:space="preserve"> </w:t>
      </w:r>
      <w:r w:rsidR="000053DD">
        <w:t xml:space="preserve">The objectives of this work </w:t>
      </w:r>
      <w:r w:rsidR="00644AB0">
        <w:t xml:space="preserve">were </w:t>
      </w:r>
      <w:r w:rsidR="008643E6">
        <w:t xml:space="preserve">to explore, in the local context of a post-1992 </w:t>
      </w:r>
      <w:r w:rsidR="00F437C5">
        <w:t>g</w:t>
      </w:r>
      <w:r w:rsidR="008643E6">
        <w:t xml:space="preserve">eography </w:t>
      </w:r>
      <w:r w:rsidR="00F437C5">
        <w:t>subject area</w:t>
      </w:r>
      <w:r w:rsidR="000053DD">
        <w:t xml:space="preserve">: (i) students understanding of operational feedback terminology; (ii) student expectations for assessment feedback such as their perspective on the use of rubrics; and (iii) strategies for providing feedback that enhance student experience and </w:t>
      </w:r>
      <w:r w:rsidR="00644AB0">
        <w:t xml:space="preserve">maximise </w:t>
      </w:r>
      <w:r w:rsidR="000053DD">
        <w:t>learning</w:t>
      </w:r>
      <w:r w:rsidR="00644AB0">
        <w:t xml:space="preserve"> pay-off</w:t>
      </w:r>
      <w:r w:rsidR="000053DD">
        <w:t>.</w:t>
      </w:r>
    </w:p>
    <w:p w14:paraId="3541D4F1" w14:textId="4C0DECDA" w:rsidR="00D371FC" w:rsidRPr="00D116F8" w:rsidRDefault="00D371FC" w:rsidP="00360DE2">
      <w:pPr>
        <w:pStyle w:val="Heading1"/>
        <w:spacing w:after="240"/>
        <w:rPr>
          <w:b/>
          <w:bCs/>
        </w:rPr>
      </w:pPr>
      <w:r w:rsidRPr="00D116F8">
        <w:rPr>
          <w:b/>
          <w:bCs/>
        </w:rPr>
        <w:t>Methods</w:t>
      </w:r>
    </w:p>
    <w:p w14:paraId="510956FE" w14:textId="0E98592A" w:rsidR="005D056E" w:rsidRDefault="00D371FC" w:rsidP="00360DE2">
      <w:pPr>
        <w:spacing w:after="240"/>
      </w:pPr>
      <w:r>
        <w:t>The focus groups (</w:t>
      </w:r>
      <w:r w:rsidRPr="55D09E42">
        <w:rPr>
          <w:i/>
          <w:iCs/>
        </w:rPr>
        <w:t>n</w:t>
      </w:r>
      <w:r>
        <w:t xml:space="preserve"> = 7) lasted between 39 to 56 minutes (average</w:t>
      </w:r>
      <w:r w:rsidR="1A47854D">
        <w:t xml:space="preserve"> =</w:t>
      </w:r>
      <w:r>
        <w:t xml:space="preserve"> 46 minutes) and involved between </w:t>
      </w:r>
      <w:r w:rsidR="008C2B9B">
        <w:t>four</w:t>
      </w:r>
      <w:r>
        <w:t xml:space="preserve"> and </w:t>
      </w:r>
      <w:r w:rsidR="008C2B9B">
        <w:t>ni</w:t>
      </w:r>
      <w:r w:rsidR="002157C6">
        <w:t>n</w:t>
      </w:r>
      <w:r w:rsidR="008C2B9B">
        <w:t>e p</w:t>
      </w:r>
      <w:r>
        <w:t>articipants</w:t>
      </w:r>
      <w:r w:rsidR="008C2B9B">
        <w:t xml:space="preserve"> (</w:t>
      </w:r>
      <w:r>
        <w:t>47 student participants in total)</w:t>
      </w:r>
      <w:r w:rsidR="00C82B22">
        <w:t xml:space="preserve"> (Table 1)</w:t>
      </w:r>
      <w:r>
        <w:t xml:space="preserve">. </w:t>
      </w:r>
      <w:r w:rsidR="0047368D">
        <w:t xml:space="preserve">Focus groups were used as a non-quantitative exploratory approach to capture the opinions and </w:t>
      </w:r>
      <w:r w:rsidR="082E98B4">
        <w:t>perceptions</w:t>
      </w:r>
      <w:r w:rsidR="0047368D">
        <w:t xml:space="preserve"> of the participants (Cope, 2010). </w:t>
      </w:r>
      <w:r>
        <w:t xml:space="preserve">All focus groups were conducted </w:t>
      </w:r>
      <w:r w:rsidR="002157C6">
        <w:t>at</w:t>
      </w:r>
      <w:r>
        <w:t xml:space="preserve"> the University of Derby’s Kedleston Road campus. </w:t>
      </w:r>
      <w:r w:rsidR="00675F77">
        <w:t>To ensure inclusion a</w:t>
      </w:r>
      <w:r>
        <w:t xml:space="preserve">ll students from </w:t>
      </w:r>
      <w:r w:rsidR="007A3914">
        <w:t xml:space="preserve">Geographical Sciences </w:t>
      </w:r>
      <w:r>
        <w:t xml:space="preserve">were invited to participate in this project and participation was voluntary. Participants were recruited via emails sent from programme </w:t>
      </w:r>
      <w:r w:rsidR="002157C6">
        <w:t>and</w:t>
      </w:r>
      <w:r>
        <w:t xml:space="preserve"> module leader</w:t>
      </w:r>
      <w:r w:rsidR="002157C6">
        <w:t>s</w:t>
      </w:r>
      <w:r w:rsidR="00E76AE1">
        <w:t xml:space="preserve">. There was </w:t>
      </w:r>
      <w:r w:rsidR="00675F77">
        <w:t xml:space="preserve">no financial incentive for participating in the focus groups. The participants represent a range of genders, nationalities, and backgrounds. In relation to the latter, the University of Derby is known for its widening participation mission, providing </w:t>
      </w:r>
      <w:r w:rsidR="00675F77">
        <w:lastRenderedPageBreak/>
        <w:t xml:space="preserve">opportunities to a considerable proportion of students from </w:t>
      </w:r>
      <w:r w:rsidR="2B71B04F">
        <w:t xml:space="preserve">a </w:t>
      </w:r>
      <w:r w:rsidR="00675F77">
        <w:t xml:space="preserve">low socioeconomic background (Mutton and Plowden, 2016). </w:t>
      </w:r>
    </w:p>
    <w:p w14:paraId="5D5DFA2C" w14:textId="67353303" w:rsidR="00A32CC2" w:rsidRDefault="00201900" w:rsidP="00360DE2">
      <w:pPr>
        <w:spacing w:after="240"/>
      </w:pPr>
      <w:r>
        <w:t>At the University of Derby, where the study was undertaken, teaching is operated under a two-semester format. Within each</w:t>
      </w:r>
      <w:r w:rsidR="0047368D">
        <w:t xml:space="preserve"> 20-credit</w:t>
      </w:r>
      <w:r>
        <w:t xml:space="preserve"> module, typically students are assessed summatively at two points</w:t>
      </w:r>
      <w:r w:rsidR="005A0C26">
        <w:t>:</w:t>
      </w:r>
      <w:r w:rsidR="006752FC">
        <w:t xml:space="preserve"> </w:t>
      </w:r>
      <w:r>
        <w:t>a mid-semester</w:t>
      </w:r>
      <w:r w:rsidR="005A0C26">
        <w:t xml:space="preserve"> assignment, </w:t>
      </w:r>
      <w:r>
        <w:t>and</w:t>
      </w:r>
      <w:r w:rsidR="006752FC">
        <w:t xml:space="preserve"> an</w:t>
      </w:r>
      <w:r>
        <w:t xml:space="preserve"> end of semester assignment. </w:t>
      </w:r>
      <w:r w:rsidR="3E214159">
        <w:t>Weighting of the assessments may vary</w:t>
      </w:r>
      <w:r w:rsidR="00A75A66">
        <w:t xml:space="preserve"> within a module</w:t>
      </w:r>
      <w:r w:rsidR="3E214159">
        <w:t xml:space="preserve">, and assessments are linked to specific learning outcomes. </w:t>
      </w:r>
      <w:r w:rsidR="00D371FC">
        <w:t>Student participants were registered on either the BSc (Hons) Geography programme, BSc (Hons) Geology programme, or BSc (Hons) Joint Honours programme (Geography, Geology, Environmental Hazards</w:t>
      </w:r>
      <w:r w:rsidR="002B6374">
        <w:t xml:space="preserve">, and </w:t>
      </w:r>
      <w:r w:rsidR="00D371FC">
        <w:t>Global Development)</w:t>
      </w:r>
      <w:r w:rsidR="59FD0165">
        <w:t xml:space="preserve"> (Table 1)</w:t>
      </w:r>
      <w:r w:rsidR="003A42A7">
        <w:rPr>
          <w:rStyle w:val="CommentReference"/>
        </w:rPr>
        <w:t>.</w:t>
      </w:r>
      <w:r w:rsidR="00C21328">
        <w:t xml:space="preserve"> </w:t>
      </w:r>
      <w:r w:rsidR="00771264">
        <w:t xml:space="preserve">Students were therefore given the opportunity to comment on assessment feedback, as they had experienced it, </w:t>
      </w:r>
      <w:r w:rsidR="002B6374">
        <w:t xml:space="preserve">as </w:t>
      </w:r>
      <w:r w:rsidR="00771264">
        <w:t xml:space="preserve">related </w:t>
      </w:r>
      <w:r w:rsidR="002B6374">
        <w:t xml:space="preserve">to </w:t>
      </w:r>
      <w:r w:rsidR="00771264">
        <w:t xml:space="preserve">multiple modules, </w:t>
      </w:r>
      <w:r w:rsidR="00C21328">
        <w:t>tutors,</w:t>
      </w:r>
      <w:r w:rsidR="00771264">
        <w:t xml:space="preserve"> and assessment types.</w:t>
      </w:r>
      <w:r w:rsidR="00D371FC">
        <w:t xml:space="preserve"> </w:t>
      </w:r>
      <w:r w:rsidR="00C21328">
        <w:t xml:space="preserve">Ethical approval for this project was granted by the College of Life and Natural Sciences ethics committee. </w:t>
      </w:r>
      <w:r w:rsidR="00D371FC">
        <w:t>On the day of the focus group</w:t>
      </w:r>
      <w:r w:rsidR="00640F1F">
        <w:t>s</w:t>
      </w:r>
      <w:r w:rsidR="002157C6">
        <w:t xml:space="preserve"> </w:t>
      </w:r>
      <w:r w:rsidR="00D371FC">
        <w:t>participants were asked to sign a consent form and were reminded of the aims of the project</w:t>
      </w:r>
      <w:r w:rsidR="00F42415">
        <w:t xml:space="preserve">. In each focus group </w:t>
      </w:r>
      <w:r w:rsidR="00D371FC">
        <w:t xml:space="preserve">the moderator </w:t>
      </w:r>
      <w:r w:rsidR="00F42415">
        <w:t>confirmed with participants that</w:t>
      </w:r>
      <w:r w:rsidR="00D371FC">
        <w:t xml:space="preserve"> the focus group could be recorded in accordance with the Ethics Committee Regulations</w:t>
      </w:r>
      <w:r>
        <w:t>.</w:t>
      </w:r>
      <w:r w:rsidR="00C21328">
        <w:t xml:space="preserve"> All participants consented to the use of anonymised comments in</w:t>
      </w:r>
      <w:r w:rsidR="00640F1F">
        <w:t xml:space="preserve"> any</w:t>
      </w:r>
      <w:r w:rsidR="00C21328">
        <w:t xml:space="preserve"> published research linked </w:t>
      </w:r>
      <w:r w:rsidR="6EA77BA9">
        <w:t>to</w:t>
      </w:r>
      <w:r w:rsidR="00C21328">
        <w:t xml:space="preserve"> the project</w:t>
      </w:r>
      <w:r w:rsidR="00640F1F">
        <w:t>.</w:t>
      </w:r>
      <w:r w:rsidR="00C21328">
        <w:t xml:space="preserve"> </w:t>
      </w:r>
      <w:r w:rsidR="00640F1F">
        <w:t>N</w:t>
      </w:r>
      <w:r w:rsidR="00C21328">
        <w:t>o participants</w:t>
      </w:r>
      <w:r w:rsidR="1782CCBC">
        <w:t xml:space="preserve"> </w:t>
      </w:r>
      <w:r w:rsidR="00C21328">
        <w:t>withdr</w:t>
      </w:r>
      <w:r w:rsidR="00640F1F">
        <w:t>ew</w:t>
      </w:r>
      <w:r w:rsidR="00C21328">
        <w:t xml:space="preserve"> </w:t>
      </w:r>
      <w:r w:rsidR="3FCE2280">
        <w:t>their</w:t>
      </w:r>
      <w:r w:rsidR="00C21328">
        <w:t xml:space="preserve"> consent since the completion of the focus groups in 2018.</w:t>
      </w:r>
    </w:p>
    <w:p w14:paraId="6F1C3D88" w14:textId="01CB507C" w:rsidR="00D371FC" w:rsidRDefault="00D371FC" w:rsidP="00360DE2">
      <w:pPr>
        <w:spacing w:after="240"/>
      </w:pPr>
      <w:r>
        <w:t xml:space="preserve">The themes discussed </w:t>
      </w:r>
      <w:r w:rsidR="00F42415">
        <w:t>in</w:t>
      </w:r>
      <w:r>
        <w:t xml:space="preserve"> the focus groups were derived from reviewing academic literature on assessment feedback</w:t>
      </w:r>
      <w:r w:rsidR="00B855A9">
        <w:t xml:space="preserve"> (see research context)</w:t>
      </w:r>
      <w:r>
        <w:t xml:space="preserve">. </w:t>
      </w:r>
      <w:r w:rsidR="00F42415">
        <w:t>The</w:t>
      </w:r>
      <w:r>
        <w:t xml:space="preserve"> </w:t>
      </w:r>
      <w:r w:rsidR="00F42415">
        <w:t>following</w:t>
      </w:r>
      <w:r>
        <w:t xml:space="preserve"> themes were discussed: (i) </w:t>
      </w:r>
      <w:r w:rsidR="00F42415">
        <w:t>student understanding of feedback processes</w:t>
      </w:r>
      <w:r>
        <w:t>; (ii) the use of rubrics to structure summative feedback;</w:t>
      </w:r>
      <w:r w:rsidR="00F42415">
        <w:t xml:space="preserve"> and</w:t>
      </w:r>
      <w:r>
        <w:t xml:space="preserve"> (iii) perceptions </w:t>
      </w:r>
      <w:r w:rsidR="28BB7AB2">
        <w:t>relating to</w:t>
      </w:r>
      <w:r w:rsidR="006752FC">
        <w:t xml:space="preserve"> </w:t>
      </w:r>
      <w:r w:rsidR="00201900">
        <w:t xml:space="preserve">the tone and language </w:t>
      </w:r>
      <w:r w:rsidR="006752FC">
        <w:t>used</w:t>
      </w:r>
      <w:r w:rsidR="5CD58DEB">
        <w:t xml:space="preserve"> by tutors when providing</w:t>
      </w:r>
      <w:r w:rsidR="00655996">
        <w:t xml:space="preserve"> </w:t>
      </w:r>
      <w:r w:rsidR="00201900">
        <w:t>feedback</w:t>
      </w:r>
      <w:r>
        <w:t>. A series of prompts were used to guide the discussion when needed. During the focus groups, students were also presented with a series of</w:t>
      </w:r>
      <w:r w:rsidR="00201900">
        <w:t xml:space="preserve"> </w:t>
      </w:r>
      <w:r w:rsidR="2F221116">
        <w:t>Turnitin</w:t>
      </w:r>
      <w:r>
        <w:t xml:space="preserve"> grading rubrics </w:t>
      </w:r>
      <w:r w:rsidR="27CF328B">
        <w:t>to</w:t>
      </w:r>
      <w:r w:rsidR="003A6293">
        <w:t xml:space="preserve"> </w:t>
      </w:r>
      <w:r>
        <w:t>prompt discussion</w:t>
      </w:r>
      <w:r w:rsidR="00903398">
        <w:t>.</w:t>
      </w:r>
      <w:r>
        <w:t xml:space="preserve"> The focus groups were </w:t>
      </w:r>
      <w:r>
        <w:lastRenderedPageBreak/>
        <w:t xml:space="preserve">transcribed verbatim by a third party and the data was analysed </w:t>
      </w:r>
      <w:r w:rsidR="006752FC">
        <w:t xml:space="preserve">using </w:t>
      </w:r>
      <w:r>
        <w:t xml:space="preserve">NVIVO </w:t>
      </w:r>
      <w:r w:rsidR="006752FC">
        <w:t xml:space="preserve">Pro </w:t>
      </w:r>
      <w:r>
        <w:t>(ver. 12)</w:t>
      </w:r>
      <w:r w:rsidR="410686BE">
        <w:t xml:space="preserve">. </w:t>
      </w:r>
    </w:p>
    <w:p w14:paraId="05BC71DB" w14:textId="7356B47A" w:rsidR="00AE65D6" w:rsidRPr="00D116F8" w:rsidRDefault="00AE65D6" w:rsidP="00360DE2">
      <w:pPr>
        <w:spacing w:after="240"/>
        <w:rPr>
          <w:i/>
          <w:iCs/>
        </w:rPr>
      </w:pPr>
      <w:r w:rsidRPr="00D116F8">
        <w:rPr>
          <w:i/>
          <w:iCs/>
        </w:rPr>
        <w:t xml:space="preserve">Table 1: Focus group information </w:t>
      </w:r>
    </w:p>
    <w:tbl>
      <w:tblPr>
        <w:tblW w:w="8704" w:type="dxa"/>
        <w:tblLayout w:type="fixed"/>
        <w:tblLook w:val="04A0" w:firstRow="1" w:lastRow="0" w:firstColumn="1" w:lastColumn="0" w:noHBand="0" w:noVBand="1"/>
      </w:tblPr>
      <w:tblGrid>
        <w:gridCol w:w="937"/>
        <w:gridCol w:w="906"/>
        <w:gridCol w:w="1134"/>
        <w:gridCol w:w="992"/>
        <w:gridCol w:w="785"/>
        <w:gridCol w:w="623"/>
        <w:gridCol w:w="157"/>
        <w:gridCol w:w="799"/>
        <w:gridCol w:w="1177"/>
        <w:gridCol w:w="1194"/>
      </w:tblGrid>
      <w:tr w:rsidR="00E76AE1" w:rsidRPr="00360DE2" w14:paraId="48348E9D" w14:textId="77777777" w:rsidTr="0035583C">
        <w:trPr>
          <w:trHeight w:val="634"/>
        </w:trPr>
        <w:tc>
          <w:tcPr>
            <w:tcW w:w="937" w:type="dxa"/>
            <w:vMerge w:val="restart"/>
            <w:tcBorders>
              <w:top w:val="single" w:sz="4" w:space="0" w:color="auto"/>
            </w:tcBorders>
            <w:shd w:val="clear" w:color="auto" w:fill="auto"/>
            <w:vAlign w:val="center"/>
            <w:hideMark/>
          </w:tcPr>
          <w:p w14:paraId="134A9F10" w14:textId="274FABB3" w:rsidR="00B73847" w:rsidRPr="00360DE2" w:rsidRDefault="00B73847" w:rsidP="00360DE2">
            <w:pPr>
              <w:spacing w:after="240" w:line="240" w:lineRule="auto"/>
              <w:jc w:val="both"/>
              <w:rPr>
                <w:rFonts w:eastAsia="Times New Roman"/>
                <w:b/>
                <w:bCs/>
                <w:color w:val="000000"/>
                <w:sz w:val="16"/>
                <w:szCs w:val="16"/>
                <w:lang w:eastAsia="en-GB"/>
              </w:rPr>
            </w:pPr>
            <w:r w:rsidRPr="00360DE2">
              <w:rPr>
                <w:rFonts w:eastAsia="Times New Roman"/>
                <w:b/>
                <w:bCs/>
                <w:color w:val="000000"/>
                <w:sz w:val="16"/>
                <w:szCs w:val="16"/>
                <w:lang w:eastAsia="en-GB"/>
              </w:rPr>
              <w:t>Focus group no. </w:t>
            </w:r>
          </w:p>
        </w:tc>
        <w:tc>
          <w:tcPr>
            <w:tcW w:w="906" w:type="dxa"/>
            <w:vMerge w:val="restart"/>
            <w:tcBorders>
              <w:top w:val="single" w:sz="4" w:space="0" w:color="auto"/>
            </w:tcBorders>
            <w:shd w:val="clear" w:color="auto" w:fill="auto"/>
            <w:vAlign w:val="center"/>
            <w:hideMark/>
          </w:tcPr>
          <w:p w14:paraId="68D591AD" w14:textId="77777777" w:rsidR="00B73847" w:rsidRPr="00360DE2" w:rsidRDefault="00B73847" w:rsidP="00360DE2">
            <w:pPr>
              <w:spacing w:after="240" w:line="240" w:lineRule="auto"/>
              <w:jc w:val="center"/>
              <w:rPr>
                <w:rFonts w:eastAsia="Times New Roman"/>
                <w:b/>
                <w:bCs/>
                <w:color w:val="000000"/>
                <w:sz w:val="16"/>
                <w:szCs w:val="16"/>
                <w:lang w:eastAsia="en-GB"/>
              </w:rPr>
            </w:pPr>
            <w:r w:rsidRPr="00360DE2">
              <w:rPr>
                <w:rFonts w:eastAsia="Times New Roman"/>
                <w:b/>
                <w:bCs/>
                <w:color w:val="000000"/>
                <w:sz w:val="16"/>
                <w:szCs w:val="16"/>
                <w:lang w:eastAsia="en-GB"/>
              </w:rPr>
              <w:t xml:space="preserve">No. of </w:t>
            </w:r>
          </w:p>
          <w:p w14:paraId="30C4DACA" w14:textId="378AF494" w:rsidR="00B73847" w:rsidRPr="00360DE2" w:rsidRDefault="00B73847" w:rsidP="00360DE2">
            <w:pPr>
              <w:spacing w:after="240" w:line="240" w:lineRule="auto"/>
              <w:jc w:val="center"/>
              <w:rPr>
                <w:rFonts w:eastAsia="Times New Roman"/>
                <w:b/>
                <w:bCs/>
                <w:color w:val="000000"/>
                <w:sz w:val="16"/>
                <w:szCs w:val="16"/>
                <w:lang w:eastAsia="en-GB"/>
              </w:rPr>
            </w:pPr>
            <w:r w:rsidRPr="00360DE2">
              <w:rPr>
                <w:rFonts w:eastAsia="Times New Roman"/>
                <w:b/>
                <w:bCs/>
                <w:color w:val="000000"/>
                <w:sz w:val="16"/>
                <w:szCs w:val="16"/>
                <w:lang w:eastAsia="en-GB"/>
              </w:rPr>
              <w:t>participants</w:t>
            </w:r>
          </w:p>
        </w:tc>
        <w:tc>
          <w:tcPr>
            <w:tcW w:w="2126" w:type="dxa"/>
            <w:gridSpan w:val="2"/>
            <w:tcBorders>
              <w:top w:val="single" w:sz="4" w:space="0" w:color="auto"/>
              <w:bottom w:val="single" w:sz="4" w:space="0" w:color="auto"/>
            </w:tcBorders>
            <w:shd w:val="clear" w:color="auto" w:fill="auto"/>
            <w:vAlign w:val="center"/>
            <w:hideMark/>
          </w:tcPr>
          <w:p w14:paraId="0B0A5725" w14:textId="679CA56A" w:rsidR="00B73847" w:rsidRPr="00360DE2" w:rsidRDefault="00B73847" w:rsidP="00360DE2">
            <w:pPr>
              <w:spacing w:after="240" w:line="240" w:lineRule="auto"/>
              <w:jc w:val="center"/>
              <w:rPr>
                <w:rFonts w:eastAsia="Times New Roman"/>
                <w:b/>
                <w:bCs/>
                <w:color w:val="000000"/>
                <w:sz w:val="16"/>
                <w:szCs w:val="16"/>
                <w:lang w:eastAsia="en-GB"/>
              </w:rPr>
            </w:pPr>
            <w:r w:rsidRPr="00360DE2">
              <w:rPr>
                <w:rFonts w:eastAsia="Times New Roman"/>
                <w:b/>
                <w:bCs/>
                <w:color w:val="000000"/>
                <w:sz w:val="16"/>
                <w:szCs w:val="16"/>
                <w:lang w:eastAsia="en-GB"/>
              </w:rPr>
              <w:t>Age</w:t>
            </w:r>
          </w:p>
        </w:tc>
        <w:tc>
          <w:tcPr>
            <w:tcW w:w="1408" w:type="dxa"/>
            <w:gridSpan w:val="2"/>
            <w:tcBorders>
              <w:top w:val="single" w:sz="4" w:space="0" w:color="auto"/>
              <w:bottom w:val="single" w:sz="4" w:space="0" w:color="auto"/>
            </w:tcBorders>
            <w:shd w:val="clear" w:color="auto" w:fill="auto"/>
            <w:vAlign w:val="center"/>
            <w:hideMark/>
          </w:tcPr>
          <w:p w14:paraId="26BDDF2A" w14:textId="6DC5D8DA" w:rsidR="00B73847" w:rsidRPr="00360DE2" w:rsidRDefault="00B73847" w:rsidP="00360DE2">
            <w:pPr>
              <w:spacing w:after="240" w:line="240" w:lineRule="auto"/>
              <w:jc w:val="center"/>
              <w:rPr>
                <w:rFonts w:eastAsia="Times New Roman"/>
                <w:b/>
                <w:bCs/>
                <w:color w:val="000000"/>
                <w:sz w:val="16"/>
                <w:szCs w:val="16"/>
                <w:lang w:eastAsia="en-GB"/>
              </w:rPr>
            </w:pPr>
            <w:r w:rsidRPr="00360DE2">
              <w:rPr>
                <w:rFonts w:eastAsia="Times New Roman"/>
                <w:b/>
                <w:bCs/>
                <w:color w:val="000000"/>
                <w:sz w:val="16"/>
                <w:szCs w:val="16"/>
                <w:lang w:eastAsia="en-GB"/>
              </w:rPr>
              <w:t>Gender</w:t>
            </w:r>
          </w:p>
        </w:tc>
        <w:tc>
          <w:tcPr>
            <w:tcW w:w="956" w:type="dxa"/>
            <w:gridSpan w:val="2"/>
            <w:vMerge w:val="restart"/>
            <w:tcBorders>
              <w:top w:val="single" w:sz="4" w:space="0" w:color="auto"/>
            </w:tcBorders>
            <w:shd w:val="clear" w:color="auto" w:fill="auto"/>
            <w:vAlign w:val="center"/>
            <w:hideMark/>
          </w:tcPr>
          <w:p w14:paraId="16145A6D" w14:textId="353F9990" w:rsidR="00B73847" w:rsidRPr="00360DE2" w:rsidRDefault="00B73847" w:rsidP="00360DE2">
            <w:pPr>
              <w:spacing w:after="240" w:line="240" w:lineRule="auto"/>
              <w:jc w:val="center"/>
              <w:rPr>
                <w:rFonts w:eastAsia="Times New Roman"/>
                <w:b/>
                <w:bCs/>
                <w:color w:val="000000"/>
                <w:sz w:val="16"/>
                <w:szCs w:val="16"/>
                <w:lang w:eastAsia="en-GB"/>
              </w:rPr>
            </w:pPr>
            <w:r w:rsidRPr="00360DE2">
              <w:rPr>
                <w:rFonts w:eastAsia="Times New Roman"/>
                <w:b/>
                <w:bCs/>
                <w:color w:val="000000"/>
                <w:sz w:val="16"/>
                <w:szCs w:val="16"/>
                <w:lang w:eastAsia="en-GB"/>
              </w:rPr>
              <w:t>FHEQ</w:t>
            </w:r>
          </w:p>
          <w:p w14:paraId="31D4C683" w14:textId="3B5063E0" w:rsidR="00B73847" w:rsidRPr="00360DE2" w:rsidRDefault="00B73847" w:rsidP="00360DE2">
            <w:pPr>
              <w:spacing w:after="240" w:line="240" w:lineRule="auto"/>
              <w:jc w:val="center"/>
              <w:rPr>
                <w:rFonts w:eastAsia="Times New Roman"/>
                <w:b/>
                <w:bCs/>
                <w:color w:val="000000"/>
                <w:sz w:val="16"/>
                <w:szCs w:val="16"/>
                <w:lang w:eastAsia="en-GB"/>
              </w:rPr>
            </w:pPr>
            <w:r w:rsidRPr="00360DE2">
              <w:rPr>
                <w:rFonts w:eastAsia="Times New Roman"/>
                <w:b/>
                <w:bCs/>
                <w:color w:val="000000"/>
                <w:sz w:val="16"/>
                <w:szCs w:val="16"/>
                <w:lang w:eastAsia="en-GB"/>
              </w:rPr>
              <w:t>Level</w:t>
            </w:r>
          </w:p>
          <w:p w14:paraId="5D2714FD" w14:textId="577CB03F" w:rsidR="00B73847" w:rsidRPr="00360DE2" w:rsidRDefault="00B73847" w:rsidP="00360DE2">
            <w:pPr>
              <w:spacing w:after="240" w:line="240" w:lineRule="auto"/>
              <w:jc w:val="center"/>
              <w:rPr>
                <w:rFonts w:eastAsia="Times New Roman"/>
                <w:b/>
                <w:bCs/>
                <w:color w:val="000000"/>
                <w:sz w:val="16"/>
                <w:szCs w:val="16"/>
                <w:lang w:eastAsia="en-GB"/>
              </w:rPr>
            </w:pPr>
          </w:p>
        </w:tc>
        <w:tc>
          <w:tcPr>
            <w:tcW w:w="1177" w:type="dxa"/>
            <w:vMerge w:val="restart"/>
            <w:tcBorders>
              <w:top w:val="single" w:sz="4" w:space="0" w:color="auto"/>
            </w:tcBorders>
            <w:shd w:val="clear" w:color="auto" w:fill="auto"/>
            <w:vAlign w:val="center"/>
            <w:hideMark/>
          </w:tcPr>
          <w:p w14:paraId="795112BF" w14:textId="65824D9B" w:rsidR="00B73847" w:rsidRPr="00360DE2" w:rsidRDefault="00B73847" w:rsidP="00360DE2">
            <w:pPr>
              <w:spacing w:after="240" w:line="240" w:lineRule="auto"/>
              <w:jc w:val="center"/>
              <w:rPr>
                <w:rFonts w:eastAsia="Times New Roman"/>
                <w:b/>
                <w:bCs/>
                <w:color w:val="000000"/>
                <w:sz w:val="16"/>
                <w:szCs w:val="16"/>
                <w:lang w:eastAsia="en-GB"/>
              </w:rPr>
            </w:pPr>
            <w:r w:rsidRPr="00360DE2">
              <w:rPr>
                <w:rFonts w:eastAsia="Times New Roman"/>
                <w:b/>
                <w:bCs/>
                <w:color w:val="000000"/>
                <w:sz w:val="16"/>
                <w:szCs w:val="16"/>
                <w:lang w:eastAsia="en-GB"/>
              </w:rPr>
              <w:t>Course</w:t>
            </w:r>
          </w:p>
          <w:p w14:paraId="3F5D19BB" w14:textId="52E822A7" w:rsidR="00B73847" w:rsidRPr="00360DE2" w:rsidRDefault="00B73847" w:rsidP="00360DE2">
            <w:pPr>
              <w:spacing w:after="240" w:line="240" w:lineRule="auto"/>
              <w:jc w:val="center"/>
              <w:rPr>
                <w:rFonts w:eastAsia="Times New Roman"/>
                <w:b/>
                <w:bCs/>
                <w:color w:val="000000"/>
                <w:sz w:val="16"/>
                <w:szCs w:val="16"/>
                <w:lang w:eastAsia="en-GB"/>
              </w:rPr>
            </w:pPr>
          </w:p>
        </w:tc>
        <w:tc>
          <w:tcPr>
            <w:tcW w:w="1194" w:type="dxa"/>
            <w:vMerge w:val="restart"/>
            <w:tcBorders>
              <w:top w:val="single" w:sz="4" w:space="0" w:color="auto"/>
            </w:tcBorders>
            <w:shd w:val="clear" w:color="auto" w:fill="auto"/>
            <w:vAlign w:val="center"/>
            <w:hideMark/>
          </w:tcPr>
          <w:p w14:paraId="1F9D2F9E" w14:textId="2E86375D" w:rsidR="00B73847" w:rsidRPr="00360DE2" w:rsidRDefault="00B73847" w:rsidP="00360DE2">
            <w:pPr>
              <w:spacing w:after="240" w:line="240" w:lineRule="auto"/>
              <w:jc w:val="center"/>
              <w:rPr>
                <w:rFonts w:eastAsia="Times New Roman"/>
                <w:b/>
                <w:bCs/>
                <w:color w:val="000000"/>
                <w:sz w:val="16"/>
                <w:szCs w:val="16"/>
                <w:lang w:eastAsia="en-GB"/>
              </w:rPr>
            </w:pPr>
            <w:r w:rsidRPr="00360DE2">
              <w:rPr>
                <w:rFonts w:eastAsia="Times New Roman"/>
                <w:b/>
                <w:bCs/>
                <w:color w:val="000000"/>
                <w:sz w:val="16"/>
                <w:szCs w:val="16"/>
                <w:lang w:eastAsia="en-GB"/>
              </w:rPr>
              <w:t>Length of focus group (minutes)</w:t>
            </w:r>
          </w:p>
          <w:p w14:paraId="71B10362" w14:textId="6E06A454" w:rsidR="00B73847" w:rsidRPr="00360DE2" w:rsidRDefault="00B73847" w:rsidP="00360DE2">
            <w:pPr>
              <w:spacing w:after="240" w:line="240" w:lineRule="auto"/>
              <w:jc w:val="center"/>
              <w:rPr>
                <w:rFonts w:eastAsia="Times New Roman"/>
                <w:b/>
                <w:bCs/>
                <w:color w:val="000000"/>
                <w:sz w:val="16"/>
                <w:szCs w:val="16"/>
                <w:lang w:eastAsia="en-GB"/>
              </w:rPr>
            </w:pPr>
          </w:p>
        </w:tc>
      </w:tr>
      <w:tr w:rsidR="00B73847" w:rsidRPr="00360DE2" w14:paraId="0644BFE7" w14:textId="77777777" w:rsidTr="0035583C">
        <w:trPr>
          <w:trHeight w:val="786"/>
        </w:trPr>
        <w:tc>
          <w:tcPr>
            <w:tcW w:w="937" w:type="dxa"/>
            <w:vMerge/>
            <w:tcBorders>
              <w:bottom w:val="single" w:sz="4" w:space="0" w:color="auto"/>
            </w:tcBorders>
            <w:vAlign w:val="center"/>
            <w:hideMark/>
          </w:tcPr>
          <w:p w14:paraId="3BD79317" w14:textId="77777777" w:rsidR="00B73847" w:rsidRPr="00360DE2" w:rsidRDefault="00B73847" w:rsidP="00360DE2">
            <w:pPr>
              <w:spacing w:after="240" w:line="240" w:lineRule="auto"/>
              <w:rPr>
                <w:rFonts w:eastAsia="Times New Roman"/>
                <w:color w:val="000000"/>
                <w:sz w:val="16"/>
                <w:szCs w:val="16"/>
                <w:lang w:eastAsia="en-GB"/>
              </w:rPr>
            </w:pPr>
          </w:p>
        </w:tc>
        <w:tc>
          <w:tcPr>
            <w:tcW w:w="906" w:type="dxa"/>
            <w:vMerge/>
            <w:tcBorders>
              <w:bottom w:val="single" w:sz="4" w:space="0" w:color="auto"/>
            </w:tcBorders>
            <w:vAlign w:val="center"/>
            <w:hideMark/>
          </w:tcPr>
          <w:p w14:paraId="5832AAE0" w14:textId="77777777" w:rsidR="00B73847" w:rsidRPr="00360DE2" w:rsidRDefault="00B73847" w:rsidP="00360DE2">
            <w:pPr>
              <w:spacing w:after="240" w:line="240" w:lineRule="auto"/>
              <w:jc w:val="center"/>
              <w:rPr>
                <w:rFonts w:eastAsia="Times New Roman"/>
                <w:color w:val="000000"/>
                <w:sz w:val="16"/>
                <w:szCs w:val="16"/>
                <w:lang w:eastAsia="en-GB"/>
              </w:rPr>
            </w:pPr>
          </w:p>
        </w:tc>
        <w:tc>
          <w:tcPr>
            <w:tcW w:w="1134" w:type="dxa"/>
            <w:tcBorders>
              <w:top w:val="single" w:sz="4" w:space="0" w:color="auto"/>
              <w:bottom w:val="single" w:sz="4" w:space="0" w:color="auto"/>
            </w:tcBorders>
            <w:shd w:val="clear" w:color="auto" w:fill="auto"/>
            <w:vAlign w:val="center"/>
            <w:hideMark/>
          </w:tcPr>
          <w:p w14:paraId="2AD24531" w14:textId="0FDB178A"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18 - 21 years old</w:t>
            </w:r>
          </w:p>
        </w:tc>
        <w:tc>
          <w:tcPr>
            <w:tcW w:w="992" w:type="dxa"/>
            <w:tcBorders>
              <w:top w:val="single" w:sz="4" w:space="0" w:color="auto"/>
              <w:bottom w:val="single" w:sz="4" w:space="0" w:color="auto"/>
            </w:tcBorders>
            <w:shd w:val="clear" w:color="auto" w:fill="auto"/>
            <w:vAlign w:val="center"/>
            <w:hideMark/>
          </w:tcPr>
          <w:p w14:paraId="5FB53F44" w14:textId="6322C7B2"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&gt;21 years old</w:t>
            </w:r>
          </w:p>
        </w:tc>
        <w:tc>
          <w:tcPr>
            <w:tcW w:w="785" w:type="dxa"/>
            <w:tcBorders>
              <w:top w:val="single" w:sz="4" w:space="0" w:color="auto"/>
              <w:bottom w:val="single" w:sz="4" w:space="0" w:color="auto"/>
            </w:tcBorders>
            <w:shd w:val="clear" w:color="auto" w:fill="auto"/>
            <w:vAlign w:val="center"/>
            <w:hideMark/>
          </w:tcPr>
          <w:p w14:paraId="47490512" w14:textId="77777777"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m</w:t>
            </w:r>
          </w:p>
        </w:tc>
        <w:tc>
          <w:tcPr>
            <w:tcW w:w="623" w:type="dxa"/>
            <w:tcBorders>
              <w:top w:val="single" w:sz="4" w:space="0" w:color="auto"/>
              <w:bottom w:val="single" w:sz="4" w:space="0" w:color="auto"/>
            </w:tcBorders>
            <w:shd w:val="clear" w:color="auto" w:fill="auto"/>
            <w:vAlign w:val="center"/>
            <w:hideMark/>
          </w:tcPr>
          <w:p w14:paraId="5754568F" w14:textId="77777777"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f</w:t>
            </w:r>
          </w:p>
        </w:tc>
        <w:tc>
          <w:tcPr>
            <w:tcW w:w="956" w:type="dxa"/>
            <w:gridSpan w:val="2"/>
            <w:vMerge/>
            <w:tcBorders>
              <w:bottom w:val="single" w:sz="4" w:space="0" w:color="auto"/>
            </w:tcBorders>
            <w:shd w:val="clear" w:color="auto" w:fill="auto"/>
            <w:vAlign w:val="center"/>
            <w:hideMark/>
          </w:tcPr>
          <w:p w14:paraId="59898FAD" w14:textId="02F9CE75" w:rsidR="00B73847" w:rsidRPr="00360DE2" w:rsidRDefault="00B73847" w:rsidP="00360DE2">
            <w:pPr>
              <w:spacing w:after="240" w:line="240" w:lineRule="auto"/>
              <w:jc w:val="center"/>
              <w:rPr>
                <w:rFonts w:eastAsia="Times New Roman"/>
                <w:color w:val="000000"/>
                <w:sz w:val="16"/>
                <w:szCs w:val="16"/>
                <w:lang w:eastAsia="en-GB"/>
              </w:rPr>
            </w:pPr>
          </w:p>
        </w:tc>
        <w:tc>
          <w:tcPr>
            <w:tcW w:w="1177" w:type="dxa"/>
            <w:vMerge/>
            <w:tcBorders>
              <w:bottom w:val="single" w:sz="4" w:space="0" w:color="auto"/>
            </w:tcBorders>
            <w:shd w:val="clear" w:color="auto" w:fill="auto"/>
            <w:vAlign w:val="center"/>
            <w:hideMark/>
          </w:tcPr>
          <w:p w14:paraId="0D59D6FD" w14:textId="4FFF1466" w:rsidR="00B73847" w:rsidRPr="00360DE2" w:rsidRDefault="00B73847" w:rsidP="00360DE2">
            <w:pPr>
              <w:spacing w:after="240" w:line="240" w:lineRule="auto"/>
              <w:jc w:val="center"/>
              <w:rPr>
                <w:rFonts w:eastAsia="Times New Roman"/>
                <w:color w:val="000000"/>
                <w:sz w:val="16"/>
                <w:szCs w:val="16"/>
                <w:lang w:eastAsia="en-GB"/>
              </w:rPr>
            </w:pPr>
          </w:p>
        </w:tc>
        <w:tc>
          <w:tcPr>
            <w:tcW w:w="1194" w:type="dxa"/>
            <w:vMerge/>
            <w:tcBorders>
              <w:bottom w:val="single" w:sz="4" w:space="0" w:color="auto"/>
            </w:tcBorders>
            <w:shd w:val="clear" w:color="auto" w:fill="auto"/>
            <w:vAlign w:val="center"/>
            <w:hideMark/>
          </w:tcPr>
          <w:p w14:paraId="4A99540B" w14:textId="5460F344" w:rsidR="00B73847" w:rsidRPr="00360DE2" w:rsidRDefault="00B73847" w:rsidP="00360DE2">
            <w:pPr>
              <w:spacing w:after="240" w:line="240" w:lineRule="auto"/>
              <w:jc w:val="center"/>
              <w:rPr>
                <w:rFonts w:eastAsia="Times New Roman"/>
                <w:color w:val="000000"/>
                <w:sz w:val="16"/>
                <w:szCs w:val="16"/>
                <w:lang w:eastAsia="en-GB"/>
              </w:rPr>
            </w:pPr>
          </w:p>
        </w:tc>
      </w:tr>
      <w:tr w:rsidR="00E76AE1" w:rsidRPr="00360DE2" w14:paraId="7177E20A" w14:textId="77777777" w:rsidTr="00E76AE1">
        <w:trPr>
          <w:trHeight w:val="681"/>
        </w:trPr>
        <w:tc>
          <w:tcPr>
            <w:tcW w:w="937" w:type="dxa"/>
            <w:tcBorders>
              <w:top w:val="single" w:sz="4" w:space="0" w:color="auto"/>
              <w:left w:val="nil"/>
            </w:tcBorders>
            <w:shd w:val="clear" w:color="auto" w:fill="auto"/>
            <w:vAlign w:val="center"/>
            <w:hideMark/>
          </w:tcPr>
          <w:p w14:paraId="079DDB53" w14:textId="77777777" w:rsidR="00B73847" w:rsidRPr="00360DE2" w:rsidRDefault="00B73847" w:rsidP="00360DE2">
            <w:pPr>
              <w:spacing w:after="240" w:line="240" w:lineRule="auto"/>
              <w:jc w:val="both"/>
              <w:rPr>
                <w:rFonts w:eastAsia="Times New Roman"/>
                <w:color w:val="000000"/>
                <w:sz w:val="16"/>
                <w:szCs w:val="16"/>
                <w:lang w:eastAsia="en-GB"/>
              </w:rPr>
            </w:pPr>
            <w:r w:rsidRPr="00360DE2">
              <w:rPr>
                <w:rFonts w:eastAsia="Times New Roman"/>
                <w:color w:val="000000"/>
                <w:sz w:val="16"/>
                <w:szCs w:val="16"/>
                <w:lang w:eastAsia="en-GB"/>
              </w:rPr>
              <w:t>1 </w:t>
            </w:r>
          </w:p>
        </w:tc>
        <w:tc>
          <w:tcPr>
            <w:tcW w:w="906" w:type="dxa"/>
            <w:tcBorders>
              <w:top w:val="single" w:sz="4" w:space="0" w:color="auto"/>
            </w:tcBorders>
            <w:shd w:val="clear" w:color="auto" w:fill="auto"/>
            <w:vAlign w:val="center"/>
            <w:hideMark/>
          </w:tcPr>
          <w:p w14:paraId="4DF3A8BD" w14:textId="4853EB34"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w:t>
            </w:r>
          </w:p>
        </w:tc>
        <w:tc>
          <w:tcPr>
            <w:tcW w:w="1134" w:type="dxa"/>
            <w:tcBorders>
              <w:top w:val="single" w:sz="4" w:space="0" w:color="auto"/>
            </w:tcBorders>
            <w:shd w:val="clear" w:color="auto" w:fill="auto"/>
            <w:vAlign w:val="center"/>
            <w:hideMark/>
          </w:tcPr>
          <w:p w14:paraId="179D2D3C" w14:textId="5673072D"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w:t>
            </w:r>
          </w:p>
        </w:tc>
        <w:tc>
          <w:tcPr>
            <w:tcW w:w="992" w:type="dxa"/>
            <w:tcBorders>
              <w:top w:val="single" w:sz="4" w:space="0" w:color="auto"/>
            </w:tcBorders>
            <w:shd w:val="clear" w:color="auto" w:fill="auto"/>
            <w:vAlign w:val="center"/>
            <w:hideMark/>
          </w:tcPr>
          <w:p w14:paraId="03DD10B8" w14:textId="15E728A9"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0</w:t>
            </w:r>
          </w:p>
        </w:tc>
        <w:tc>
          <w:tcPr>
            <w:tcW w:w="785" w:type="dxa"/>
            <w:tcBorders>
              <w:top w:val="single" w:sz="4" w:space="0" w:color="auto"/>
            </w:tcBorders>
            <w:shd w:val="clear" w:color="auto" w:fill="auto"/>
            <w:vAlign w:val="center"/>
            <w:hideMark/>
          </w:tcPr>
          <w:p w14:paraId="52D725FB" w14:textId="5A1D13D0"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1</w:t>
            </w:r>
          </w:p>
        </w:tc>
        <w:tc>
          <w:tcPr>
            <w:tcW w:w="623" w:type="dxa"/>
            <w:tcBorders>
              <w:top w:val="single" w:sz="4" w:space="0" w:color="auto"/>
            </w:tcBorders>
            <w:shd w:val="clear" w:color="auto" w:fill="auto"/>
            <w:vAlign w:val="center"/>
            <w:hideMark/>
          </w:tcPr>
          <w:p w14:paraId="22D8DE6F" w14:textId="288DECB4"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3</w:t>
            </w:r>
          </w:p>
        </w:tc>
        <w:tc>
          <w:tcPr>
            <w:tcW w:w="956" w:type="dxa"/>
            <w:gridSpan w:val="2"/>
            <w:tcBorders>
              <w:top w:val="single" w:sz="4" w:space="0" w:color="auto"/>
            </w:tcBorders>
            <w:shd w:val="clear" w:color="auto" w:fill="auto"/>
            <w:vAlign w:val="center"/>
            <w:hideMark/>
          </w:tcPr>
          <w:p w14:paraId="74DA1067" w14:textId="600F90AB"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w:t>
            </w:r>
          </w:p>
        </w:tc>
        <w:tc>
          <w:tcPr>
            <w:tcW w:w="1177" w:type="dxa"/>
            <w:tcBorders>
              <w:top w:val="single" w:sz="4" w:space="0" w:color="auto"/>
            </w:tcBorders>
            <w:shd w:val="clear" w:color="auto" w:fill="auto"/>
            <w:vAlign w:val="center"/>
            <w:hideMark/>
          </w:tcPr>
          <w:p w14:paraId="6CB43594" w14:textId="502DCF94"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Geography</w:t>
            </w:r>
          </w:p>
        </w:tc>
        <w:tc>
          <w:tcPr>
            <w:tcW w:w="1194" w:type="dxa"/>
            <w:tcBorders>
              <w:top w:val="single" w:sz="4" w:space="0" w:color="auto"/>
            </w:tcBorders>
            <w:shd w:val="clear" w:color="auto" w:fill="auto"/>
            <w:vAlign w:val="center"/>
            <w:hideMark/>
          </w:tcPr>
          <w:p w14:paraId="587859D6" w14:textId="08814A58"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39</w:t>
            </w:r>
          </w:p>
        </w:tc>
      </w:tr>
      <w:tr w:rsidR="00E76AE1" w:rsidRPr="00360DE2" w14:paraId="331862A7" w14:textId="77777777" w:rsidTr="00E76AE1">
        <w:trPr>
          <w:trHeight w:val="681"/>
        </w:trPr>
        <w:tc>
          <w:tcPr>
            <w:tcW w:w="937" w:type="dxa"/>
            <w:tcBorders>
              <w:top w:val="nil"/>
              <w:left w:val="nil"/>
            </w:tcBorders>
            <w:shd w:val="clear" w:color="auto" w:fill="auto"/>
            <w:vAlign w:val="center"/>
            <w:hideMark/>
          </w:tcPr>
          <w:p w14:paraId="5FCB004B" w14:textId="77777777" w:rsidR="00B73847" w:rsidRPr="00360DE2" w:rsidRDefault="00B73847" w:rsidP="00360DE2">
            <w:pPr>
              <w:spacing w:after="240" w:line="240" w:lineRule="auto"/>
              <w:jc w:val="both"/>
              <w:rPr>
                <w:rFonts w:eastAsia="Times New Roman"/>
                <w:color w:val="000000"/>
                <w:sz w:val="16"/>
                <w:szCs w:val="16"/>
                <w:lang w:eastAsia="en-GB"/>
              </w:rPr>
            </w:pPr>
            <w:r w:rsidRPr="00360DE2">
              <w:rPr>
                <w:rFonts w:eastAsia="Times New Roman"/>
                <w:color w:val="000000"/>
                <w:sz w:val="16"/>
                <w:szCs w:val="16"/>
                <w:lang w:eastAsia="en-GB"/>
              </w:rPr>
              <w:t>2 </w:t>
            </w:r>
          </w:p>
        </w:tc>
        <w:tc>
          <w:tcPr>
            <w:tcW w:w="906" w:type="dxa"/>
            <w:tcBorders>
              <w:top w:val="nil"/>
            </w:tcBorders>
            <w:shd w:val="clear" w:color="auto" w:fill="auto"/>
            <w:vAlign w:val="center"/>
            <w:hideMark/>
          </w:tcPr>
          <w:p w14:paraId="09D73728" w14:textId="630DC2D2"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6</w:t>
            </w:r>
          </w:p>
        </w:tc>
        <w:tc>
          <w:tcPr>
            <w:tcW w:w="1134" w:type="dxa"/>
            <w:tcBorders>
              <w:top w:val="nil"/>
            </w:tcBorders>
            <w:shd w:val="clear" w:color="auto" w:fill="auto"/>
            <w:vAlign w:val="center"/>
            <w:hideMark/>
          </w:tcPr>
          <w:p w14:paraId="206BC151" w14:textId="21F7DC9D"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2</w:t>
            </w:r>
          </w:p>
        </w:tc>
        <w:tc>
          <w:tcPr>
            <w:tcW w:w="992" w:type="dxa"/>
            <w:tcBorders>
              <w:top w:val="nil"/>
            </w:tcBorders>
            <w:shd w:val="clear" w:color="auto" w:fill="auto"/>
            <w:vAlign w:val="center"/>
            <w:hideMark/>
          </w:tcPr>
          <w:p w14:paraId="60E3F459" w14:textId="3CD74335"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w:t>
            </w:r>
          </w:p>
        </w:tc>
        <w:tc>
          <w:tcPr>
            <w:tcW w:w="785" w:type="dxa"/>
            <w:tcBorders>
              <w:top w:val="nil"/>
            </w:tcBorders>
            <w:shd w:val="clear" w:color="auto" w:fill="auto"/>
            <w:vAlign w:val="center"/>
            <w:hideMark/>
          </w:tcPr>
          <w:p w14:paraId="2421F5D1" w14:textId="67BE7C92"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6</w:t>
            </w:r>
          </w:p>
        </w:tc>
        <w:tc>
          <w:tcPr>
            <w:tcW w:w="623" w:type="dxa"/>
            <w:tcBorders>
              <w:top w:val="nil"/>
            </w:tcBorders>
            <w:shd w:val="clear" w:color="auto" w:fill="auto"/>
            <w:vAlign w:val="center"/>
            <w:hideMark/>
          </w:tcPr>
          <w:p w14:paraId="45E01397" w14:textId="11BDDC50"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0</w:t>
            </w:r>
          </w:p>
        </w:tc>
        <w:tc>
          <w:tcPr>
            <w:tcW w:w="956" w:type="dxa"/>
            <w:gridSpan w:val="2"/>
            <w:tcBorders>
              <w:top w:val="nil"/>
            </w:tcBorders>
            <w:shd w:val="clear" w:color="auto" w:fill="auto"/>
            <w:vAlign w:val="center"/>
            <w:hideMark/>
          </w:tcPr>
          <w:p w14:paraId="405C5854" w14:textId="293A2FBB"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6</w:t>
            </w:r>
          </w:p>
        </w:tc>
        <w:tc>
          <w:tcPr>
            <w:tcW w:w="1177" w:type="dxa"/>
            <w:tcBorders>
              <w:top w:val="nil"/>
            </w:tcBorders>
            <w:shd w:val="clear" w:color="auto" w:fill="auto"/>
            <w:vAlign w:val="center"/>
            <w:hideMark/>
          </w:tcPr>
          <w:p w14:paraId="31B56B81" w14:textId="3845ECDB"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Global Development Joint Honours</w:t>
            </w:r>
          </w:p>
        </w:tc>
        <w:tc>
          <w:tcPr>
            <w:tcW w:w="1194" w:type="dxa"/>
            <w:tcBorders>
              <w:top w:val="nil"/>
            </w:tcBorders>
            <w:shd w:val="clear" w:color="auto" w:fill="auto"/>
            <w:vAlign w:val="center"/>
            <w:hideMark/>
          </w:tcPr>
          <w:p w14:paraId="17E9F74D" w14:textId="6D9C51D1"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46</w:t>
            </w:r>
          </w:p>
        </w:tc>
      </w:tr>
      <w:tr w:rsidR="00E76AE1" w:rsidRPr="00360DE2" w14:paraId="58C04D3C" w14:textId="77777777" w:rsidTr="00E76AE1">
        <w:trPr>
          <w:trHeight w:val="681"/>
        </w:trPr>
        <w:tc>
          <w:tcPr>
            <w:tcW w:w="937" w:type="dxa"/>
            <w:tcBorders>
              <w:top w:val="nil"/>
              <w:left w:val="nil"/>
            </w:tcBorders>
            <w:shd w:val="clear" w:color="auto" w:fill="auto"/>
            <w:vAlign w:val="center"/>
            <w:hideMark/>
          </w:tcPr>
          <w:p w14:paraId="59C585E4" w14:textId="77777777" w:rsidR="00B73847" w:rsidRPr="00360DE2" w:rsidRDefault="00B73847" w:rsidP="00360DE2">
            <w:pPr>
              <w:spacing w:after="240" w:line="240" w:lineRule="auto"/>
              <w:jc w:val="both"/>
              <w:rPr>
                <w:rFonts w:eastAsia="Times New Roman"/>
                <w:color w:val="000000"/>
                <w:sz w:val="16"/>
                <w:szCs w:val="16"/>
                <w:lang w:eastAsia="en-GB"/>
              </w:rPr>
            </w:pPr>
            <w:r w:rsidRPr="00360DE2">
              <w:rPr>
                <w:rFonts w:eastAsia="Times New Roman"/>
                <w:color w:val="000000"/>
                <w:sz w:val="16"/>
                <w:szCs w:val="16"/>
                <w:lang w:eastAsia="en-GB"/>
              </w:rPr>
              <w:t>3 </w:t>
            </w:r>
          </w:p>
        </w:tc>
        <w:tc>
          <w:tcPr>
            <w:tcW w:w="906" w:type="dxa"/>
            <w:tcBorders>
              <w:top w:val="nil"/>
            </w:tcBorders>
            <w:shd w:val="clear" w:color="auto" w:fill="auto"/>
            <w:vAlign w:val="center"/>
            <w:hideMark/>
          </w:tcPr>
          <w:p w14:paraId="09AE737E" w14:textId="20FBAAFA"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7</w:t>
            </w:r>
          </w:p>
        </w:tc>
        <w:tc>
          <w:tcPr>
            <w:tcW w:w="1134" w:type="dxa"/>
            <w:tcBorders>
              <w:top w:val="nil"/>
            </w:tcBorders>
            <w:shd w:val="clear" w:color="auto" w:fill="auto"/>
            <w:vAlign w:val="center"/>
            <w:hideMark/>
          </w:tcPr>
          <w:p w14:paraId="04915F53" w14:textId="71DAE999"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6</w:t>
            </w:r>
          </w:p>
        </w:tc>
        <w:tc>
          <w:tcPr>
            <w:tcW w:w="992" w:type="dxa"/>
            <w:tcBorders>
              <w:top w:val="nil"/>
            </w:tcBorders>
            <w:shd w:val="clear" w:color="auto" w:fill="auto"/>
            <w:vAlign w:val="center"/>
            <w:hideMark/>
          </w:tcPr>
          <w:p w14:paraId="5802AF9E" w14:textId="764075EF"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1</w:t>
            </w:r>
          </w:p>
        </w:tc>
        <w:tc>
          <w:tcPr>
            <w:tcW w:w="785" w:type="dxa"/>
            <w:tcBorders>
              <w:top w:val="nil"/>
            </w:tcBorders>
            <w:shd w:val="clear" w:color="auto" w:fill="auto"/>
            <w:vAlign w:val="center"/>
            <w:hideMark/>
          </w:tcPr>
          <w:p w14:paraId="7A1830A3" w14:textId="3BB9926C"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2</w:t>
            </w:r>
          </w:p>
        </w:tc>
        <w:tc>
          <w:tcPr>
            <w:tcW w:w="623" w:type="dxa"/>
            <w:tcBorders>
              <w:top w:val="nil"/>
            </w:tcBorders>
            <w:shd w:val="clear" w:color="auto" w:fill="auto"/>
            <w:vAlign w:val="center"/>
            <w:hideMark/>
          </w:tcPr>
          <w:p w14:paraId="0D0EE12B" w14:textId="59331D43"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956" w:type="dxa"/>
            <w:gridSpan w:val="2"/>
            <w:tcBorders>
              <w:top w:val="nil"/>
            </w:tcBorders>
            <w:shd w:val="clear" w:color="auto" w:fill="auto"/>
            <w:vAlign w:val="center"/>
            <w:hideMark/>
          </w:tcPr>
          <w:p w14:paraId="0EE0DD28" w14:textId="21F94CA2"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1177" w:type="dxa"/>
            <w:tcBorders>
              <w:top w:val="nil"/>
            </w:tcBorders>
            <w:shd w:val="clear" w:color="auto" w:fill="auto"/>
            <w:vAlign w:val="center"/>
            <w:hideMark/>
          </w:tcPr>
          <w:p w14:paraId="6390F34A" w14:textId="73FDB199"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Geography and Joint Honours</w:t>
            </w:r>
          </w:p>
        </w:tc>
        <w:tc>
          <w:tcPr>
            <w:tcW w:w="1194" w:type="dxa"/>
            <w:tcBorders>
              <w:top w:val="nil"/>
            </w:tcBorders>
            <w:shd w:val="clear" w:color="auto" w:fill="auto"/>
            <w:vAlign w:val="center"/>
            <w:hideMark/>
          </w:tcPr>
          <w:p w14:paraId="4AD23AB8" w14:textId="6693371C"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56</w:t>
            </w:r>
          </w:p>
        </w:tc>
      </w:tr>
      <w:tr w:rsidR="00E76AE1" w:rsidRPr="00360DE2" w14:paraId="534508D8" w14:textId="77777777" w:rsidTr="00E76AE1">
        <w:trPr>
          <w:trHeight w:val="681"/>
        </w:trPr>
        <w:tc>
          <w:tcPr>
            <w:tcW w:w="937" w:type="dxa"/>
            <w:tcBorders>
              <w:top w:val="nil"/>
              <w:left w:val="nil"/>
            </w:tcBorders>
            <w:shd w:val="clear" w:color="auto" w:fill="auto"/>
            <w:vAlign w:val="center"/>
            <w:hideMark/>
          </w:tcPr>
          <w:p w14:paraId="330D6DC1" w14:textId="77777777" w:rsidR="00B73847" w:rsidRPr="00360DE2" w:rsidRDefault="00B73847" w:rsidP="00360DE2">
            <w:pPr>
              <w:spacing w:after="240" w:line="240" w:lineRule="auto"/>
              <w:jc w:val="both"/>
              <w:rPr>
                <w:rFonts w:eastAsia="Times New Roman"/>
                <w:color w:val="000000"/>
                <w:sz w:val="16"/>
                <w:szCs w:val="16"/>
                <w:lang w:eastAsia="en-GB"/>
              </w:rPr>
            </w:pPr>
            <w:r w:rsidRPr="00360DE2">
              <w:rPr>
                <w:rFonts w:eastAsia="Times New Roman"/>
                <w:color w:val="000000"/>
                <w:sz w:val="16"/>
                <w:szCs w:val="16"/>
                <w:lang w:eastAsia="en-GB"/>
              </w:rPr>
              <w:t>4 </w:t>
            </w:r>
          </w:p>
        </w:tc>
        <w:tc>
          <w:tcPr>
            <w:tcW w:w="906" w:type="dxa"/>
            <w:tcBorders>
              <w:top w:val="nil"/>
            </w:tcBorders>
            <w:shd w:val="clear" w:color="auto" w:fill="auto"/>
            <w:vAlign w:val="center"/>
            <w:hideMark/>
          </w:tcPr>
          <w:p w14:paraId="25386267" w14:textId="38B6292E"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9</w:t>
            </w:r>
          </w:p>
        </w:tc>
        <w:tc>
          <w:tcPr>
            <w:tcW w:w="1134" w:type="dxa"/>
            <w:tcBorders>
              <w:top w:val="nil"/>
            </w:tcBorders>
            <w:shd w:val="clear" w:color="auto" w:fill="auto"/>
            <w:vAlign w:val="center"/>
            <w:hideMark/>
          </w:tcPr>
          <w:p w14:paraId="7F23C25C" w14:textId="3F5694CA"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6</w:t>
            </w:r>
          </w:p>
        </w:tc>
        <w:tc>
          <w:tcPr>
            <w:tcW w:w="992" w:type="dxa"/>
            <w:tcBorders>
              <w:top w:val="nil"/>
            </w:tcBorders>
            <w:shd w:val="clear" w:color="auto" w:fill="auto"/>
            <w:vAlign w:val="center"/>
            <w:hideMark/>
          </w:tcPr>
          <w:p w14:paraId="19E4456D" w14:textId="7796E35E"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3</w:t>
            </w:r>
          </w:p>
        </w:tc>
        <w:tc>
          <w:tcPr>
            <w:tcW w:w="785" w:type="dxa"/>
            <w:tcBorders>
              <w:top w:val="nil"/>
            </w:tcBorders>
            <w:shd w:val="clear" w:color="auto" w:fill="auto"/>
            <w:vAlign w:val="center"/>
            <w:hideMark/>
          </w:tcPr>
          <w:p w14:paraId="65481FC4" w14:textId="18F67FFD"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623" w:type="dxa"/>
            <w:tcBorders>
              <w:top w:val="nil"/>
            </w:tcBorders>
            <w:shd w:val="clear" w:color="auto" w:fill="auto"/>
            <w:vAlign w:val="center"/>
            <w:hideMark/>
          </w:tcPr>
          <w:p w14:paraId="1AF792BF" w14:textId="4398CEEC"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w:t>
            </w:r>
          </w:p>
        </w:tc>
        <w:tc>
          <w:tcPr>
            <w:tcW w:w="956" w:type="dxa"/>
            <w:gridSpan w:val="2"/>
            <w:tcBorders>
              <w:top w:val="nil"/>
            </w:tcBorders>
            <w:shd w:val="clear" w:color="auto" w:fill="auto"/>
            <w:vAlign w:val="center"/>
            <w:hideMark/>
          </w:tcPr>
          <w:p w14:paraId="26C57C7C" w14:textId="729D931E"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1177" w:type="dxa"/>
            <w:tcBorders>
              <w:top w:val="nil"/>
            </w:tcBorders>
            <w:shd w:val="clear" w:color="auto" w:fill="auto"/>
            <w:vAlign w:val="center"/>
            <w:hideMark/>
          </w:tcPr>
          <w:p w14:paraId="01456563" w14:textId="2221DD69"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Geography and Joint Honours</w:t>
            </w:r>
          </w:p>
        </w:tc>
        <w:tc>
          <w:tcPr>
            <w:tcW w:w="1194" w:type="dxa"/>
            <w:tcBorders>
              <w:top w:val="nil"/>
            </w:tcBorders>
            <w:shd w:val="clear" w:color="auto" w:fill="auto"/>
            <w:vAlign w:val="center"/>
            <w:hideMark/>
          </w:tcPr>
          <w:p w14:paraId="5E4F2D40" w14:textId="0837D433"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49</w:t>
            </w:r>
          </w:p>
        </w:tc>
      </w:tr>
      <w:tr w:rsidR="00E76AE1" w:rsidRPr="00360DE2" w14:paraId="7A90D98A" w14:textId="77777777" w:rsidTr="00E76AE1">
        <w:trPr>
          <w:trHeight w:val="681"/>
        </w:trPr>
        <w:tc>
          <w:tcPr>
            <w:tcW w:w="937" w:type="dxa"/>
            <w:tcBorders>
              <w:top w:val="nil"/>
              <w:left w:val="nil"/>
            </w:tcBorders>
            <w:shd w:val="clear" w:color="auto" w:fill="auto"/>
            <w:vAlign w:val="center"/>
            <w:hideMark/>
          </w:tcPr>
          <w:p w14:paraId="5F151B4D" w14:textId="77777777" w:rsidR="00B73847" w:rsidRPr="00360DE2" w:rsidRDefault="00B73847" w:rsidP="00360DE2">
            <w:pPr>
              <w:spacing w:after="240" w:line="240" w:lineRule="auto"/>
              <w:jc w:val="both"/>
              <w:rPr>
                <w:rFonts w:eastAsia="Times New Roman"/>
                <w:color w:val="000000"/>
                <w:sz w:val="16"/>
                <w:szCs w:val="16"/>
                <w:lang w:eastAsia="en-GB"/>
              </w:rPr>
            </w:pPr>
            <w:r w:rsidRPr="00360DE2">
              <w:rPr>
                <w:rFonts w:eastAsia="Times New Roman"/>
                <w:color w:val="000000"/>
                <w:sz w:val="16"/>
                <w:szCs w:val="16"/>
                <w:lang w:eastAsia="en-GB"/>
              </w:rPr>
              <w:t>5 </w:t>
            </w:r>
          </w:p>
        </w:tc>
        <w:tc>
          <w:tcPr>
            <w:tcW w:w="906" w:type="dxa"/>
            <w:tcBorders>
              <w:top w:val="nil"/>
            </w:tcBorders>
            <w:shd w:val="clear" w:color="auto" w:fill="auto"/>
            <w:vAlign w:val="center"/>
            <w:hideMark/>
          </w:tcPr>
          <w:p w14:paraId="47C55055" w14:textId="60D44DD7"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7</w:t>
            </w:r>
          </w:p>
        </w:tc>
        <w:tc>
          <w:tcPr>
            <w:tcW w:w="1134" w:type="dxa"/>
            <w:tcBorders>
              <w:top w:val="nil"/>
            </w:tcBorders>
            <w:shd w:val="clear" w:color="auto" w:fill="auto"/>
            <w:vAlign w:val="center"/>
            <w:hideMark/>
          </w:tcPr>
          <w:p w14:paraId="77A7B447" w14:textId="4BBB1C7A"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992" w:type="dxa"/>
            <w:tcBorders>
              <w:top w:val="nil"/>
            </w:tcBorders>
            <w:shd w:val="clear" w:color="auto" w:fill="auto"/>
            <w:vAlign w:val="center"/>
            <w:hideMark/>
          </w:tcPr>
          <w:p w14:paraId="77BBFB1B" w14:textId="64405952"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2</w:t>
            </w:r>
          </w:p>
        </w:tc>
        <w:tc>
          <w:tcPr>
            <w:tcW w:w="785" w:type="dxa"/>
            <w:tcBorders>
              <w:top w:val="nil"/>
            </w:tcBorders>
            <w:shd w:val="clear" w:color="auto" w:fill="auto"/>
            <w:vAlign w:val="center"/>
            <w:hideMark/>
          </w:tcPr>
          <w:p w14:paraId="019D29A2" w14:textId="58470E8C"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2</w:t>
            </w:r>
          </w:p>
        </w:tc>
        <w:tc>
          <w:tcPr>
            <w:tcW w:w="623" w:type="dxa"/>
            <w:tcBorders>
              <w:top w:val="nil"/>
            </w:tcBorders>
            <w:shd w:val="clear" w:color="auto" w:fill="auto"/>
            <w:vAlign w:val="center"/>
            <w:hideMark/>
          </w:tcPr>
          <w:p w14:paraId="0552D1D8" w14:textId="3905F065"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956" w:type="dxa"/>
            <w:gridSpan w:val="2"/>
            <w:tcBorders>
              <w:top w:val="nil"/>
            </w:tcBorders>
            <w:shd w:val="clear" w:color="auto" w:fill="auto"/>
            <w:vAlign w:val="center"/>
            <w:hideMark/>
          </w:tcPr>
          <w:p w14:paraId="55490277" w14:textId="13AF994D"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1177" w:type="dxa"/>
            <w:tcBorders>
              <w:top w:val="nil"/>
            </w:tcBorders>
            <w:shd w:val="clear" w:color="auto" w:fill="auto"/>
            <w:vAlign w:val="center"/>
            <w:hideMark/>
          </w:tcPr>
          <w:p w14:paraId="6CF08101" w14:textId="5298D1C6"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Geography and Joint Honours</w:t>
            </w:r>
          </w:p>
        </w:tc>
        <w:tc>
          <w:tcPr>
            <w:tcW w:w="1194" w:type="dxa"/>
            <w:tcBorders>
              <w:top w:val="nil"/>
            </w:tcBorders>
            <w:shd w:val="clear" w:color="auto" w:fill="auto"/>
            <w:vAlign w:val="center"/>
            <w:hideMark/>
          </w:tcPr>
          <w:p w14:paraId="6191E1EC" w14:textId="4BB4789D"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41</w:t>
            </w:r>
          </w:p>
        </w:tc>
      </w:tr>
      <w:tr w:rsidR="00E76AE1" w:rsidRPr="00360DE2" w14:paraId="6EF7B895" w14:textId="77777777" w:rsidTr="00E76AE1">
        <w:trPr>
          <w:trHeight w:val="681"/>
        </w:trPr>
        <w:tc>
          <w:tcPr>
            <w:tcW w:w="937" w:type="dxa"/>
            <w:tcBorders>
              <w:top w:val="nil"/>
              <w:left w:val="nil"/>
            </w:tcBorders>
            <w:shd w:val="clear" w:color="auto" w:fill="auto"/>
            <w:vAlign w:val="center"/>
            <w:hideMark/>
          </w:tcPr>
          <w:p w14:paraId="52D06D8E" w14:textId="77777777" w:rsidR="00B73847" w:rsidRPr="00360DE2" w:rsidRDefault="00B73847" w:rsidP="00360DE2">
            <w:pPr>
              <w:spacing w:after="240" w:line="240" w:lineRule="auto"/>
              <w:jc w:val="both"/>
              <w:rPr>
                <w:rFonts w:eastAsia="Times New Roman"/>
                <w:color w:val="000000"/>
                <w:sz w:val="16"/>
                <w:szCs w:val="16"/>
                <w:lang w:eastAsia="en-GB"/>
              </w:rPr>
            </w:pPr>
            <w:r w:rsidRPr="00360DE2">
              <w:rPr>
                <w:rFonts w:eastAsia="Times New Roman"/>
                <w:color w:val="000000"/>
                <w:sz w:val="16"/>
                <w:szCs w:val="16"/>
                <w:lang w:eastAsia="en-GB"/>
              </w:rPr>
              <w:t>6 </w:t>
            </w:r>
          </w:p>
        </w:tc>
        <w:tc>
          <w:tcPr>
            <w:tcW w:w="906" w:type="dxa"/>
            <w:tcBorders>
              <w:top w:val="nil"/>
            </w:tcBorders>
            <w:shd w:val="clear" w:color="auto" w:fill="auto"/>
            <w:vAlign w:val="center"/>
            <w:hideMark/>
          </w:tcPr>
          <w:p w14:paraId="2107BE2C" w14:textId="6583F726"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9</w:t>
            </w:r>
          </w:p>
        </w:tc>
        <w:tc>
          <w:tcPr>
            <w:tcW w:w="1134" w:type="dxa"/>
            <w:tcBorders>
              <w:top w:val="nil"/>
            </w:tcBorders>
            <w:shd w:val="clear" w:color="auto" w:fill="auto"/>
            <w:vAlign w:val="center"/>
            <w:hideMark/>
          </w:tcPr>
          <w:p w14:paraId="411772CE" w14:textId="12AD5E06"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992" w:type="dxa"/>
            <w:tcBorders>
              <w:top w:val="nil"/>
            </w:tcBorders>
            <w:shd w:val="clear" w:color="auto" w:fill="auto"/>
            <w:vAlign w:val="center"/>
            <w:hideMark/>
          </w:tcPr>
          <w:p w14:paraId="3B9C13FD" w14:textId="1FFCD144"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w:t>
            </w:r>
          </w:p>
        </w:tc>
        <w:tc>
          <w:tcPr>
            <w:tcW w:w="785" w:type="dxa"/>
            <w:tcBorders>
              <w:top w:val="nil"/>
            </w:tcBorders>
            <w:shd w:val="clear" w:color="auto" w:fill="auto"/>
            <w:vAlign w:val="center"/>
            <w:hideMark/>
          </w:tcPr>
          <w:p w14:paraId="6DB7B1DD" w14:textId="33E41CDF"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7</w:t>
            </w:r>
          </w:p>
        </w:tc>
        <w:tc>
          <w:tcPr>
            <w:tcW w:w="623" w:type="dxa"/>
            <w:tcBorders>
              <w:top w:val="nil"/>
            </w:tcBorders>
            <w:shd w:val="clear" w:color="auto" w:fill="auto"/>
            <w:vAlign w:val="center"/>
            <w:hideMark/>
          </w:tcPr>
          <w:p w14:paraId="3B2F6D23" w14:textId="51346A1B"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2</w:t>
            </w:r>
          </w:p>
        </w:tc>
        <w:tc>
          <w:tcPr>
            <w:tcW w:w="956" w:type="dxa"/>
            <w:gridSpan w:val="2"/>
            <w:tcBorders>
              <w:top w:val="nil"/>
            </w:tcBorders>
            <w:shd w:val="clear" w:color="auto" w:fill="auto"/>
            <w:vAlign w:val="center"/>
            <w:hideMark/>
          </w:tcPr>
          <w:p w14:paraId="257AA950" w14:textId="40F4E350"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1177" w:type="dxa"/>
            <w:tcBorders>
              <w:top w:val="nil"/>
            </w:tcBorders>
            <w:shd w:val="clear" w:color="auto" w:fill="auto"/>
            <w:vAlign w:val="center"/>
            <w:hideMark/>
          </w:tcPr>
          <w:p w14:paraId="6DBE347B" w14:textId="0DC14417"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Geography and Joint Honours</w:t>
            </w:r>
          </w:p>
        </w:tc>
        <w:tc>
          <w:tcPr>
            <w:tcW w:w="1194" w:type="dxa"/>
            <w:tcBorders>
              <w:top w:val="nil"/>
            </w:tcBorders>
            <w:shd w:val="clear" w:color="auto" w:fill="auto"/>
            <w:vAlign w:val="center"/>
            <w:hideMark/>
          </w:tcPr>
          <w:p w14:paraId="34F04B65" w14:textId="4A5DD988"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38</w:t>
            </w:r>
          </w:p>
        </w:tc>
      </w:tr>
      <w:tr w:rsidR="00E76AE1" w:rsidRPr="00360DE2" w14:paraId="577DA8B0" w14:textId="77777777" w:rsidTr="00E76AE1">
        <w:trPr>
          <w:trHeight w:val="681"/>
        </w:trPr>
        <w:tc>
          <w:tcPr>
            <w:tcW w:w="937" w:type="dxa"/>
            <w:tcBorders>
              <w:top w:val="nil"/>
              <w:left w:val="nil"/>
              <w:bottom w:val="single" w:sz="4" w:space="0" w:color="auto"/>
            </w:tcBorders>
            <w:shd w:val="clear" w:color="auto" w:fill="auto"/>
            <w:vAlign w:val="center"/>
            <w:hideMark/>
          </w:tcPr>
          <w:p w14:paraId="0695BAEA" w14:textId="77777777" w:rsidR="00B73847" w:rsidRPr="00360DE2" w:rsidRDefault="00B73847" w:rsidP="00360DE2">
            <w:pPr>
              <w:spacing w:after="240" w:line="240" w:lineRule="auto"/>
              <w:jc w:val="both"/>
              <w:rPr>
                <w:rFonts w:eastAsia="Times New Roman"/>
                <w:color w:val="000000"/>
                <w:sz w:val="16"/>
                <w:szCs w:val="16"/>
                <w:lang w:eastAsia="en-GB"/>
              </w:rPr>
            </w:pPr>
            <w:r w:rsidRPr="00360DE2">
              <w:rPr>
                <w:rFonts w:eastAsia="Times New Roman"/>
                <w:color w:val="000000"/>
                <w:sz w:val="16"/>
                <w:szCs w:val="16"/>
                <w:lang w:eastAsia="en-GB"/>
              </w:rPr>
              <w:t>7 </w:t>
            </w:r>
          </w:p>
        </w:tc>
        <w:tc>
          <w:tcPr>
            <w:tcW w:w="906" w:type="dxa"/>
            <w:tcBorders>
              <w:top w:val="nil"/>
              <w:bottom w:val="single" w:sz="4" w:space="0" w:color="auto"/>
            </w:tcBorders>
            <w:shd w:val="clear" w:color="auto" w:fill="auto"/>
            <w:vAlign w:val="center"/>
            <w:hideMark/>
          </w:tcPr>
          <w:p w14:paraId="393047A6" w14:textId="0D6F1292"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6</w:t>
            </w:r>
          </w:p>
        </w:tc>
        <w:tc>
          <w:tcPr>
            <w:tcW w:w="1134" w:type="dxa"/>
            <w:tcBorders>
              <w:top w:val="nil"/>
              <w:bottom w:val="single" w:sz="4" w:space="0" w:color="auto"/>
            </w:tcBorders>
            <w:shd w:val="clear" w:color="auto" w:fill="auto"/>
            <w:vAlign w:val="center"/>
            <w:hideMark/>
          </w:tcPr>
          <w:p w14:paraId="0C3989D3" w14:textId="79282E8C"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5</w:t>
            </w:r>
          </w:p>
        </w:tc>
        <w:tc>
          <w:tcPr>
            <w:tcW w:w="992" w:type="dxa"/>
            <w:tcBorders>
              <w:top w:val="nil"/>
              <w:bottom w:val="single" w:sz="4" w:space="0" w:color="auto"/>
            </w:tcBorders>
            <w:shd w:val="clear" w:color="auto" w:fill="auto"/>
            <w:vAlign w:val="center"/>
            <w:hideMark/>
          </w:tcPr>
          <w:p w14:paraId="16692811" w14:textId="158EA3F4"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0</w:t>
            </w:r>
          </w:p>
        </w:tc>
        <w:tc>
          <w:tcPr>
            <w:tcW w:w="785" w:type="dxa"/>
            <w:tcBorders>
              <w:top w:val="nil"/>
              <w:bottom w:val="single" w:sz="4" w:space="0" w:color="auto"/>
            </w:tcBorders>
            <w:shd w:val="clear" w:color="auto" w:fill="auto"/>
            <w:vAlign w:val="center"/>
            <w:hideMark/>
          </w:tcPr>
          <w:p w14:paraId="5B32C16E" w14:textId="62D77881"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3</w:t>
            </w:r>
          </w:p>
        </w:tc>
        <w:tc>
          <w:tcPr>
            <w:tcW w:w="623" w:type="dxa"/>
            <w:tcBorders>
              <w:top w:val="nil"/>
              <w:bottom w:val="single" w:sz="4" w:space="0" w:color="auto"/>
            </w:tcBorders>
            <w:shd w:val="clear" w:color="auto" w:fill="auto"/>
            <w:vAlign w:val="center"/>
            <w:hideMark/>
          </w:tcPr>
          <w:p w14:paraId="45338E13" w14:textId="7F36DFE0"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3</w:t>
            </w:r>
          </w:p>
        </w:tc>
        <w:tc>
          <w:tcPr>
            <w:tcW w:w="956" w:type="dxa"/>
            <w:gridSpan w:val="2"/>
            <w:tcBorders>
              <w:top w:val="nil"/>
              <w:bottom w:val="single" w:sz="4" w:space="0" w:color="auto"/>
            </w:tcBorders>
            <w:shd w:val="clear" w:color="auto" w:fill="auto"/>
            <w:vAlign w:val="center"/>
            <w:hideMark/>
          </w:tcPr>
          <w:p w14:paraId="65DE4511" w14:textId="2D4AB52F"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4 - 6</w:t>
            </w:r>
          </w:p>
        </w:tc>
        <w:tc>
          <w:tcPr>
            <w:tcW w:w="1177" w:type="dxa"/>
            <w:tcBorders>
              <w:top w:val="nil"/>
              <w:bottom w:val="single" w:sz="4" w:space="0" w:color="auto"/>
            </w:tcBorders>
            <w:shd w:val="clear" w:color="auto" w:fill="auto"/>
            <w:vAlign w:val="center"/>
            <w:hideMark/>
          </w:tcPr>
          <w:p w14:paraId="1B0C9909" w14:textId="2463FF93"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Geology</w:t>
            </w:r>
          </w:p>
        </w:tc>
        <w:tc>
          <w:tcPr>
            <w:tcW w:w="1194" w:type="dxa"/>
            <w:tcBorders>
              <w:top w:val="nil"/>
              <w:bottom w:val="single" w:sz="4" w:space="0" w:color="auto"/>
            </w:tcBorders>
            <w:shd w:val="clear" w:color="auto" w:fill="auto"/>
            <w:vAlign w:val="center"/>
            <w:hideMark/>
          </w:tcPr>
          <w:p w14:paraId="4D57AB69" w14:textId="2B505D6E" w:rsidR="00B73847" w:rsidRPr="00360DE2" w:rsidRDefault="00B73847" w:rsidP="00360DE2">
            <w:pPr>
              <w:spacing w:after="240" w:line="240" w:lineRule="auto"/>
              <w:jc w:val="center"/>
              <w:rPr>
                <w:rFonts w:eastAsia="Times New Roman"/>
                <w:color w:val="000000"/>
                <w:sz w:val="16"/>
                <w:szCs w:val="16"/>
                <w:lang w:eastAsia="en-GB"/>
              </w:rPr>
            </w:pPr>
            <w:r w:rsidRPr="00360DE2">
              <w:rPr>
                <w:rFonts w:eastAsia="Times New Roman"/>
                <w:color w:val="000000"/>
                <w:sz w:val="16"/>
                <w:szCs w:val="16"/>
                <w:lang w:eastAsia="en-GB"/>
              </w:rPr>
              <w:t>49</w:t>
            </w:r>
          </w:p>
        </w:tc>
      </w:tr>
      <w:tr w:rsidR="00B73847" w:rsidRPr="00360DE2" w14:paraId="107EAAE3" w14:textId="77777777" w:rsidTr="0035583C">
        <w:trPr>
          <w:trHeight w:val="219"/>
        </w:trPr>
        <w:tc>
          <w:tcPr>
            <w:tcW w:w="937" w:type="dxa"/>
            <w:tcBorders>
              <w:top w:val="single" w:sz="4" w:space="0" w:color="auto"/>
              <w:left w:val="nil"/>
              <w:bottom w:val="nil"/>
              <w:right w:val="nil"/>
            </w:tcBorders>
            <w:shd w:val="clear" w:color="auto" w:fill="auto"/>
            <w:noWrap/>
            <w:vAlign w:val="bottom"/>
            <w:hideMark/>
          </w:tcPr>
          <w:p w14:paraId="3C08EABC" w14:textId="77777777" w:rsidR="00B73847" w:rsidRPr="00360DE2" w:rsidRDefault="00B73847" w:rsidP="00360DE2">
            <w:pPr>
              <w:spacing w:after="240" w:line="240" w:lineRule="auto"/>
              <w:jc w:val="both"/>
              <w:rPr>
                <w:rFonts w:eastAsia="Times New Roman"/>
                <w:color w:val="000000"/>
                <w:sz w:val="22"/>
                <w:szCs w:val="22"/>
                <w:lang w:eastAsia="en-GB"/>
              </w:rPr>
            </w:pPr>
          </w:p>
        </w:tc>
        <w:tc>
          <w:tcPr>
            <w:tcW w:w="906" w:type="dxa"/>
            <w:tcBorders>
              <w:top w:val="single" w:sz="4" w:space="0" w:color="auto"/>
              <w:left w:val="nil"/>
              <w:bottom w:val="nil"/>
              <w:right w:val="nil"/>
            </w:tcBorders>
            <w:shd w:val="clear" w:color="auto" w:fill="auto"/>
            <w:noWrap/>
            <w:vAlign w:val="bottom"/>
            <w:hideMark/>
          </w:tcPr>
          <w:p w14:paraId="3D22067D" w14:textId="77777777" w:rsidR="00B73847" w:rsidRPr="00360DE2" w:rsidRDefault="00B73847" w:rsidP="00360DE2">
            <w:pPr>
              <w:spacing w:after="240" w:line="240" w:lineRule="auto"/>
              <w:rPr>
                <w:rFonts w:eastAsia="Times New Roman"/>
                <w:sz w:val="20"/>
                <w:szCs w:val="20"/>
                <w:lang w:eastAsia="en-GB"/>
              </w:rPr>
            </w:pPr>
          </w:p>
        </w:tc>
        <w:tc>
          <w:tcPr>
            <w:tcW w:w="1134" w:type="dxa"/>
            <w:tcBorders>
              <w:top w:val="single" w:sz="4" w:space="0" w:color="auto"/>
              <w:left w:val="nil"/>
              <w:bottom w:val="nil"/>
              <w:right w:val="nil"/>
            </w:tcBorders>
            <w:shd w:val="clear" w:color="auto" w:fill="auto"/>
            <w:noWrap/>
            <w:vAlign w:val="bottom"/>
            <w:hideMark/>
          </w:tcPr>
          <w:p w14:paraId="5D5FBB3B" w14:textId="77777777" w:rsidR="00B73847" w:rsidRPr="00360DE2" w:rsidRDefault="00B73847" w:rsidP="00360DE2">
            <w:pPr>
              <w:spacing w:after="240" w:line="240" w:lineRule="auto"/>
              <w:rPr>
                <w:rFonts w:eastAsia="Times New Roman"/>
                <w:sz w:val="20"/>
                <w:szCs w:val="20"/>
                <w:lang w:eastAsia="en-GB"/>
              </w:rPr>
            </w:pPr>
          </w:p>
        </w:tc>
        <w:tc>
          <w:tcPr>
            <w:tcW w:w="992" w:type="dxa"/>
            <w:tcBorders>
              <w:top w:val="single" w:sz="4" w:space="0" w:color="auto"/>
              <w:left w:val="nil"/>
              <w:bottom w:val="nil"/>
              <w:right w:val="nil"/>
            </w:tcBorders>
            <w:shd w:val="clear" w:color="auto" w:fill="auto"/>
            <w:noWrap/>
            <w:vAlign w:val="bottom"/>
            <w:hideMark/>
          </w:tcPr>
          <w:p w14:paraId="3C9EADC3" w14:textId="77777777" w:rsidR="00B73847" w:rsidRPr="00360DE2" w:rsidRDefault="00B73847" w:rsidP="00360DE2">
            <w:pPr>
              <w:spacing w:after="240" w:line="240" w:lineRule="auto"/>
              <w:rPr>
                <w:rFonts w:eastAsia="Times New Roman"/>
                <w:sz w:val="20"/>
                <w:szCs w:val="20"/>
                <w:lang w:eastAsia="en-GB"/>
              </w:rPr>
            </w:pPr>
          </w:p>
        </w:tc>
        <w:tc>
          <w:tcPr>
            <w:tcW w:w="785" w:type="dxa"/>
            <w:tcBorders>
              <w:top w:val="single" w:sz="4" w:space="0" w:color="auto"/>
              <w:left w:val="nil"/>
              <w:bottom w:val="nil"/>
              <w:right w:val="nil"/>
            </w:tcBorders>
            <w:shd w:val="clear" w:color="auto" w:fill="auto"/>
            <w:noWrap/>
            <w:vAlign w:val="bottom"/>
            <w:hideMark/>
          </w:tcPr>
          <w:p w14:paraId="2E7CD7D3" w14:textId="77777777" w:rsidR="00B73847" w:rsidRPr="00360DE2" w:rsidRDefault="00B73847" w:rsidP="00360DE2">
            <w:pPr>
              <w:spacing w:after="240" w:line="240" w:lineRule="auto"/>
              <w:rPr>
                <w:rFonts w:eastAsia="Times New Roman"/>
                <w:sz w:val="20"/>
                <w:szCs w:val="20"/>
                <w:lang w:eastAsia="en-GB"/>
              </w:rPr>
            </w:pPr>
          </w:p>
        </w:tc>
        <w:tc>
          <w:tcPr>
            <w:tcW w:w="780" w:type="dxa"/>
            <w:gridSpan w:val="2"/>
            <w:tcBorders>
              <w:top w:val="single" w:sz="4" w:space="0" w:color="auto"/>
              <w:left w:val="nil"/>
              <w:bottom w:val="nil"/>
              <w:right w:val="nil"/>
            </w:tcBorders>
            <w:shd w:val="clear" w:color="auto" w:fill="auto"/>
            <w:noWrap/>
            <w:vAlign w:val="bottom"/>
            <w:hideMark/>
          </w:tcPr>
          <w:p w14:paraId="06708628" w14:textId="77777777" w:rsidR="00B73847" w:rsidRPr="00360DE2" w:rsidRDefault="00B73847" w:rsidP="00360DE2">
            <w:pPr>
              <w:spacing w:after="240" w:line="240" w:lineRule="auto"/>
              <w:rPr>
                <w:rFonts w:eastAsia="Times New Roman"/>
                <w:sz w:val="20"/>
                <w:szCs w:val="20"/>
                <w:lang w:eastAsia="en-GB"/>
              </w:rPr>
            </w:pPr>
          </w:p>
        </w:tc>
        <w:tc>
          <w:tcPr>
            <w:tcW w:w="799" w:type="dxa"/>
            <w:tcBorders>
              <w:top w:val="single" w:sz="4" w:space="0" w:color="auto"/>
              <w:left w:val="nil"/>
              <w:bottom w:val="nil"/>
              <w:right w:val="nil"/>
            </w:tcBorders>
            <w:shd w:val="clear" w:color="auto" w:fill="auto"/>
            <w:noWrap/>
            <w:vAlign w:val="bottom"/>
            <w:hideMark/>
          </w:tcPr>
          <w:p w14:paraId="25D77178" w14:textId="77777777" w:rsidR="00B73847" w:rsidRPr="00360DE2" w:rsidRDefault="00B73847" w:rsidP="00360DE2">
            <w:pPr>
              <w:spacing w:after="240" w:line="240" w:lineRule="auto"/>
              <w:rPr>
                <w:rFonts w:eastAsia="Times New Roman"/>
                <w:sz w:val="20"/>
                <w:szCs w:val="20"/>
                <w:lang w:eastAsia="en-GB"/>
              </w:rPr>
            </w:pPr>
          </w:p>
        </w:tc>
        <w:tc>
          <w:tcPr>
            <w:tcW w:w="1177" w:type="dxa"/>
            <w:tcBorders>
              <w:top w:val="single" w:sz="4" w:space="0" w:color="auto"/>
              <w:left w:val="nil"/>
              <w:bottom w:val="nil"/>
              <w:right w:val="nil"/>
            </w:tcBorders>
            <w:shd w:val="clear" w:color="auto" w:fill="auto"/>
            <w:noWrap/>
            <w:vAlign w:val="bottom"/>
            <w:hideMark/>
          </w:tcPr>
          <w:p w14:paraId="5528C044" w14:textId="77777777" w:rsidR="00B73847" w:rsidRPr="00360DE2" w:rsidRDefault="00B73847" w:rsidP="00360DE2">
            <w:pPr>
              <w:spacing w:after="240" w:line="240" w:lineRule="auto"/>
              <w:rPr>
                <w:rFonts w:eastAsia="Times New Roman"/>
                <w:sz w:val="20"/>
                <w:szCs w:val="20"/>
                <w:lang w:eastAsia="en-GB"/>
              </w:rPr>
            </w:pPr>
          </w:p>
        </w:tc>
        <w:tc>
          <w:tcPr>
            <w:tcW w:w="1194" w:type="dxa"/>
            <w:tcBorders>
              <w:top w:val="single" w:sz="4" w:space="0" w:color="auto"/>
              <w:left w:val="nil"/>
              <w:bottom w:val="nil"/>
              <w:right w:val="nil"/>
            </w:tcBorders>
            <w:shd w:val="clear" w:color="auto" w:fill="auto"/>
            <w:noWrap/>
            <w:vAlign w:val="bottom"/>
            <w:hideMark/>
          </w:tcPr>
          <w:p w14:paraId="1764C8F9" w14:textId="77777777" w:rsidR="00B73847" w:rsidRPr="00360DE2" w:rsidRDefault="00B73847" w:rsidP="00360DE2">
            <w:pPr>
              <w:spacing w:after="240" w:line="240" w:lineRule="auto"/>
              <w:rPr>
                <w:rFonts w:eastAsia="Times New Roman"/>
                <w:sz w:val="20"/>
                <w:szCs w:val="20"/>
                <w:lang w:eastAsia="en-GB"/>
              </w:rPr>
            </w:pPr>
          </w:p>
        </w:tc>
      </w:tr>
    </w:tbl>
    <w:p w14:paraId="3C255F61" w14:textId="4EE826F2" w:rsidR="00DB5EF7" w:rsidRDefault="410686BE" w:rsidP="00360DE2">
      <w:pPr>
        <w:spacing w:after="240"/>
      </w:pPr>
      <w:r w:rsidRPr="6285945F">
        <w:rPr>
          <w:rFonts w:eastAsia="Tahoma"/>
          <w:color w:val="333333"/>
        </w:rPr>
        <w:t>This project used a thematic analysis approach to identify, analyse and report patterns within the data. Using a realist approach, the thematic analysis aimed to theorise motivations, experience and meaning in a simple way. A thematic analysis latent approach was selected as it examines the underlying ideas that are theorised</w:t>
      </w:r>
      <w:r w:rsidR="00DB3F46">
        <w:rPr>
          <w:rFonts w:eastAsia="Tahoma"/>
          <w:color w:val="333333"/>
        </w:rPr>
        <w:t xml:space="preserve">, </w:t>
      </w:r>
      <w:r w:rsidRPr="6285945F">
        <w:rPr>
          <w:rFonts w:eastAsia="Tahoma"/>
          <w:color w:val="333333"/>
        </w:rPr>
        <w:t xml:space="preserve">as shaping the interpretation of the data (Braun and Clarke, 2006). The researchers searched for themes and patterns across the entire data set </w:t>
      </w:r>
      <w:r w:rsidR="00034A19">
        <w:rPr>
          <w:rFonts w:eastAsia="Tahoma"/>
          <w:color w:val="333333"/>
        </w:rPr>
        <w:t>consisting</w:t>
      </w:r>
      <w:r w:rsidRPr="6285945F">
        <w:rPr>
          <w:rFonts w:eastAsia="Tahoma"/>
          <w:color w:val="333333"/>
        </w:rPr>
        <w:t xml:space="preserve"> of </w:t>
      </w:r>
      <w:r w:rsidR="00034A19">
        <w:rPr>
          <w:rFonts w:eastAsia="Tahoma"/>
          <w:color w:val="333333"/>
        </w:rPr>
        <w:t xml:space="preserve">seven </w:t>
      </w:r>
      <w:r w:rsidRPr="6285945F">
        <w:rPr>
          <w:rFonts w:eastAsia="Tahoma"/>
          <w:color w:val="333333"/>
        </w:rPr>
        <w:t xml:space="preserve">focus groups. Using an inductive approach, the data were </w:t>
      </w:r>
      <w:r w:rsidR="00FA3C1D">
        <w:rPr>
          <w:rFonts w:eastAsia="Tahoma"/>
          <w:color w:val="333333"/>
        </w:rPr>
        <w:t>analysed</w:t>
      </w:r>
      <w:r w:rsidRPr="6285945F">
        <w:rPr>
          <w:rFonts w:eastAsia="Tahoma"/>
          <w:color w:val="333333"/>
        </w:rPr>
        <w:t xml:space="preserve"> using emic coding</w:t>
      </w:r>
      <w:r w:rsidR="00E41BDF">
        <w:rPr>
          <w:rFonts w:eastAsia="Tahoma"/>
          <w:color w:val="333333"/>
        </w:rPr>
        <w:t>. That is,</w:t>
      </w:r>
      <w:r w:rsidRPr="6285945F">
        <w:rPr>
          <w:rFonts w:eastAsia="Tahoma"/>
          <w:color w:val="333333"/>
        </w:rPr>
        <w:t xml:space="preserve"> the researchers coded the data without trying to fit it into a pre-existing coding framework or the researchers’ pre-conceptions (Crang and Cook, 2007). Themes were identified according to their link to the research </w:t>
      </w:r>
      <w:r w:rsidR="00FA3C1D">
        <w:rPr>
          <w:rFonts w:eastAsia="Tahoma"/>
          <w:color w:val="333333"/>
        </w:rPr>
        <w:t>objectives</w:t>
      </w:r>
      <w:r w:rsidRPr="6285945F">
        <w:rPr>
          <w:rFonts w:eastAsia="Tahoma"/>
          <w:color w:val="333333"/>
        </w:rPr>
        <w:t xml:space="preserve"> and their prevalence within </w:t>
      </w:r>
      <w:r w:rsidRPr="6285945F">
        <w:rPr>
          <w:rFonts w:eastAsia="Tahoma"/>
          <w:color w:val="333333"/>
        </w:rPr>
        <w:lastRenderedPageBreak/>
        <w:t>the dataset. The thematic analysis followed the steps from Braun and Clarke (2006). To complete the analysis, the researchers familiarised themselves with the data by reading and re-reading the transcripts and writing down some initial ideas.</w:t>
      </w:r>
      <w:r w:rsidR="00655996">
        <w:rPr>
          <w:rFonts w:eastAsia="Tahoma"/>
          <w:color w:val="333333"/>
        </w:rPr>
        <w:t xml:space="preserve"> </w:t>
      </w:r>
      <w:r w:rsidR="00153078">
        <w:rPr>
          <w:rFonts w:eastAsia="Tahoma"/>
          <w:color w:val="333333"/>
        </w:rPr>
        <w:t>O</w:t>
      </w:r>
      <w:r w:rsidRPr="6285945F">
        <w:rPr>
          <w:rFonts w:eastAsia="Tahoma"/>
          <w:color w:val="333333"/>
        </w:rPr>
        <w:t xml:space="preserve">pen coding </w:t>
      </w:r>
      <w:r w:rsidR="00153078">
        <w:rPr>
          <w:rFonts w:eastAsia="Tahoma"/>
          <w:color w:val="333333"/>
        </w:rPr>
        <w:t xml:space="preserve">was used </w:t>
      </w:r>
      <w:r w:rsidRPr="6285945F">
        <w:rPr>
          <w:rFonts w:eastAsia="Tahoma"/>
          <w:color w:val="333333"/>
        </w:rPr>
        <w:t>to identify broad and simple codes from the text before streaming them off in the axial coding phase of the analysis. The axial coding phase focuses on the frequencies of the codes and the connection of the codes to organise them in a framework</w:t>
      </w:r>
      <w:r w:rsidR="00C509E8">
        <w:rPr>
          <w:rFonts w:eastAsia="Tahoma"/>
          <w:color w:val="333333"/>
        </w:rPr>
        <w:t>. In t</w:t>
      </w:r>
      <w:r w:rsidRPr="6285945F">
        <w:rPr>
          <w:rFonts w:eastAsia="Tahoma"/>
          <w:color w:val="333333"/>
        </w:rPr>
        <w:t>he final stage of the coding, selective coding narrow</w:t>
      </w:r>
      <w:r w:rsidR="00C509E8">
        <w:rPr>
          <w:rFonts w:eastAsia="Tahoma"/>
          <w:color w:val="333333"/>
        </w:rPr>
        <w:t>ed</w:t>
      </w:r>
      <w:r w:rsidRPr="6285945F">
        <w:rPr>
          <w:rFonts w:eastAsia="Tahoma"/>
          <w:color w:val="333333"/>
        </w:rPr>
        <w:t xml:space="preserve"> the scope of the analysis and linked the codes to the themes relevant to the research questions (Bergin, 2018). </w:t>
      </w:r>
      <w:r w:rsidR="00E41BDF">
        <w:rPr>
          <w:rFonts w:eastAsia="Tahoma"/>
          <w:color w:val="333333"/>
        </w:rPr>
        <w:t>T</w:t>
      </w:r>
      <w:r w:rsidRPr="6285945F">
        <w:rPr>
          <w:rFonts w:eastAsia="Tahoma"/>
          <w:color w:val="333333"/>
        </w:rPr>
        <w:t xml:space="preserve">he researchers reviewed the themes to ensure fit with the analysis and then generated clear definitions and names for each theme. From this, the researchers wrote up the report by selecting compelling extract examples and relating the analysis back to the research </w:t>
      </w:r>
      <w:r w:rsidR="002111A5">
        <w:rPr>
          <w:rFonts w:eastAsia="Tahoma"/>
          <w:color w:val="333333"/>
        </w:rPr>
        <w:t>objectives</w:t>
      </w:r>
      <w:r w:rsidRPr="6285945F">
        <w:rPr>
          <w:rFonts w:eastAsia="Tahoma"/>
          <w:color w:val="333333"/>
        </w:rPr>
        <w:t xml:space="preserve"> and the literature.</w:t>
      </w:r>
    </w:p>
    <w:p w14:paraId="2DA5B5AD" w14:textId="2B99FA24" w:rsidR="00D371FC" w:rsidRPr="00D116F8" w:rsidRDefault="00D371FC" w:rsidP="00360DE2">
      <w:pPr>
        <w:pStyle w:val="Heading1"/>
        <w:spacing w:after="240"/>
        <w:rPr>
          <w:b/>
          <w:bCs/>
        </w:rPr>
      </w:pPr>
      <w:r w:rsidRPr="00D116F8">
        <w:rPr>
          <w:b/>
          <w:bCs/>
        </w:rPr>
        <w:t>Results</w:t>
      </w:r>
      <w:r w:rsidR="00A4134A" w:rsidRPr="00D116F8">
        <w:rPr>
          <w:b/>
          <w:bCs/>
        </w:rPr>
        <w:t xml:space="preserve"> and discussion</w:t>
      </w:r>
    </w:p>
    <w:p w14:paraId="3FD8FC01" w14:textId="701E792D" w:rsidR="00A4134A" w:rsidRPr="00360DE2" w:rsidRDefault="00A4134A" w:rsidP="00360DE2">
      <w:pPr>
        <w:pStyle w:val="Heading2"/>
        <w:spacing w:after="240"/>
        <w:rPr>
          <w:b/>
          <w:bCs/>
          <w:sz w:val="24"/>
          <w:szCs w:val="24"/>
        </w:rPr>
      </w:pPr>
      <w:r w:rsidRPr="00360DE2">
        <w:rPr>
          <w:b/>
          <w:bCs/>
          <w:sz w:val="24"/>
          <w:szCs w:val="24"/>
        </w:rPr>
        <w:t>Overview</w:t>
      </w:r>
    </w:p>
    <w:p w14:paraId="49376F69" w14:textId="4CA1D0A4" w:rsidR="00D371FC" w:rsidRDefault="00D371FC" w:rsidP="00360DE2">
      <w:pPr>
        <w:spacing w:after="240"/>
      </w:pPr>
      <w:r>
        <w:t xml:space="preserve">In </w:t>
      </w:r>
      <w:r w:rsidR="000F1370">
        <w:t xml:space="preserve">this </w:t>
      </w:r>
      <w:r>
        <w:t>section, we present and consider a series of observations and extracts from the focus groups. Here we highlight differences in the understanding of assessment feedback from the students, as well as the multiple ways that students deal with feedback</w:t>
      </w:r>
      <w:r w:rsidR="00C05EA6">
        <w:t>.</w:t>
      </w:r>
    </w:p>
    <w:p w14:paraId="42848198" w14:textId="77777777" w:rsidR="00A4134A" w:rsidRPr="00360DE2" w:rsidRDefault="00A4134A" w:rsidP="00360DE2">
      <w:pPr>
        <w:pStyle w:val="Heading2"/>
        <w:spacing w:after="240"/>
        <w:rPr>
          <w:b/>
          <w:bCs/>
          <w:sz w:val="24"/>
          <w:szCs w:val="24"/>
        </w:rPr>
      </w:pPr>
      <w:r w:rsidRPr="00360DE2">
        <w:rPr>
          <w:b/>
          <w:bCs/>
          <w:sz w:val="24"/>
          <w:szCs w:val="24"/>
        </w:rPr>
        <w:t>Assessment literacy</w:t>
      </w:r>
    </w:p>
    <w:p w14:paraId="28B431C7" w14:textId="7977D336" w:rsidR="00D371FC" w:rsidRDefault="00D371FC" w:rsidP="00360DE2">
      <w:pPr>
        <w:spacing w:after="240"/>
      </w:pPr>
      <w:r>
        <w:t xml:space="preserve">The analysis of the focus groups </w:t>
      </w:r>
      <w:r w:rsidR="00C05EA6">
        <w:t>revealed</w:t>
      </w:r>
      <w:r>
        <w:t xml:space="preserve"> that there was some confusion in </w:t>
      </w:r>
      <w:r w:rsidR="00C05EA6">
        <w:t xml:space="preserve">our </w:t>
      </w:r>
      <w:r>
        <w:t xml:space="preserve">students’ understanding of </w:t>
      </w:r>
      <w:r w:rsidR="00F34F72">
        <w:t xml:space="preserve">assessment </w:t>
      </w:r>
      <w:r>
        <w:t>feedback</w:t>
      </w:r>
      <w:r w:rsidR="00DB5EF7">
        <w:t xml:space="preserve"> procedures</w:t>
      </w:r>
      <w:r>
        <w:t xml:space="preserve">. Overall, feedback was mainly associated with summative </w:t>
      </w:r>
      <w:r w:rsidR="009641DC">
        <w:t xml:space="preserve">assessments </w:t>
      </w:r>
      <w:r w:rsidR="00DA578D">
        <w:t xml:space="preserve">(i.e., </w:t>
      </w:r>
      <w:r w:rsidR="00683098">
        <w:t>grade-bearing</w:t>
      </w:r>
      <w:r>
        <w:t xml:space="preserve"> work</w:t>
      </w:r>
      <w:r w:rsidR="00DA578D">
        <w:t>)</w:t>
      </w:r>
      <w:r>
        <w:t xml:space="preserve">. </w:t>
      </w:r>
      <w:r w:rsidR="00C05EA6">
        <w:t>Many s</w:t>
      </w:r>
      <w:r>
        <w:t xml:space="preserve">tudents </w:t>
      </w:r>
      <w:r w:rsidR="00C05EA6">
        <w:t>understood</w:t>
      </w:r>
      <w:r>
        <w:t xml:space="preserve"> that feedback is a way to improve </w:t>
      </w:r>
      <w:r w:rsidR="00C05EA6">
        <w:t>their performance</w:t>
      </w:r>
      <w:r>
        <w:t xml:space="preserve">. Feedback was defined using terms like ‘criticism’, ‘evaluation of work’, ‘strengths and weaknesses of work’, ‘constructive criticism’. The comments below illustrate the range of definitions used by respondents to define </w:t>
      </w:r>
      <w:r w:rsidR="00F34F72">
        <w:t xml:space="preserve">assessment </w:t>
      </w:r>
      <w:r>
        <w:t>feedback:</w:t>
      </w:r>
      <w:r w:rsidR="00655996">
        <w:t xml:space="preserve"> </w:t>
      </w:r>
    </w:p>
    <w:p w14:paraId="23E66F05" w14:textId="50246B7A" w:rsidR="00D371FC" w:rsidRDefault="00D371FC" w:rsidP="00360DE2">
      <w:pPr>
        <w:pStyle w:val="Quote"/>
        <w:spacing w:after="240"/>
      </w:pPr>
      <w:r>
        <w:lastRenderedPageBreak/>
        <w:t>A form of support.</w:t>
      </w:r>
    </w:p>
    <w:p w14:paraId="5A3DD07B" w14:textId="77777777" w:rsidR="00D371FC" w:rsidRDefault="00D371FC" w:rsidP="00360DE2">
      <w:pPr>
        <w:spacing w:after="240"/>
      </w:pPr>
      <w:r>
        <w:t xml:space="preserve"> </w:t>
      </w:r>
    </w:p>
    <w:p w14:paraId="1073EB55" w14:textId="555ABC3E" w:rsidR="00D371FC" w:rsidRDefault="00D371FC" w:rsidP="00360DE2">
      <w:pPr>
        <w:pStyle w:val="Quote"/>
        <w:spacing w:after="240"/>
      </w:pPr>
      <w:r>
        <w:t>It’s when you</w:t>
      </w:r>
      <w:r w:rsidR="000F1370">
        <w:t>’</w:t>
      </w:r>
      <w:r>
        <w:t>re given constructive criticism on your work so you can improve it</w:t>
      </w:r>
      <w:r w:rsidR="00F34F72">
        <w:t>.</w:t>
      </w:r>
    </w:p>
    <w:p w14:paraId="4A17DDE4" w14:textId="77777777" w:rsidR="00D371FC" w:rsidRDefault="00D371FC" w:rsidP="00360DE2">
      <w:pPr>
        <w:pStyle w:val="Quote"/>
        <w:spacing w:after="240"/>
      </w:pPr>
      <w:r>
        <w:t xml:space="preserve"> </w:t>
      </w:r>
    </w:p>
    <w:p w14:paraId="10A84EA5" w14:textId="5202C7AA" w:rsidR="00D371FC" w:rsidRDefault="00D371FC" w:rsidP="00360DE2">
      <w:pPr>
        <w:pStyle w:val="Quote"/>
        <w:spacing w:after="240"/>
      </w:pPr>
      <w:r>
        <w:t xml:space="preserve">It’s a way of knowing what to do better and what you could improve on next time. </w:t>
      </w:r>
    </w:p>
    <w:p w14:paraId="23DDC91D" w14:textId="77777777" w:rsidR="00D371FC" w:rsidRDefault="00D371FC" w:rsidP="00360DE2">
      <w:pPr>
        <w:pStyle w:val="Quote"/>
        <w:spacing w:after="240"/>
      </w:pPr>
      <w:r>
        <w:t xml:space="preserve"> </w:t>
      </w:r>
    </w:p>
    <w:p w14:paraId="0E7927B8" w14:textId="11A94EB3" w:rsidR="00D371FC" w:rsidRDefault="00D371FC" w:rsidP="00360DE2">
      <w:pPr>
        <w:pStyle w:val="Quote"/>
        <w:spacing w:after="240"/>
      </w:pPr>
      <w:r>
        <w:t xml:space="preserve">Knowing where you went wrong. </w:t>
      </w:r>
    </w:p>
    <w:p w14:paraId="58F56A93" w14:textId="77777777" w:rsidR="00D371FC" w:rsidRDefault="00D371FC" w:rsidP="00360DE2">
      <w:pPr>
        <w:pStyle w:val="Quote"/>
        <w:spacing w:after="240"/>
      </w:pPr>
      <w:r>
        <w:t xml:space="preserve"> </w:t>
      </w:r>
    </w:p>
    <w:p w14:paraId="44A0D619" w14:textId="2BF22EBF" w:rsidR="00D371FC" w:rsidRDefault="00D371FC" w:rsidP="00360DE2">
      <w:pPr>
        <w:pStyle w:val="Quote"/>
        <w:spacing w:after="240"/>
      </w:pPr>
      <w:r>
        <w:t>It’s good because it helps you improve in anything, especially written work</w:t>
      </w:r>
      <w:r w:rsidR="000F1370">
        <w:t>.</w:t>
      </w:r>
      <w:r>
        <w:t xml:space="preserve"> </w:t>
      </w:r>
    </w:p>
    <w:p w14:paraId="3002196F" w14:textId="017B189E" w:rsidR="00D371FC" w:rsidRDefault="00D371FC" w:rsidP="00360DE2">
      <w:pPr>
        <w:spacing w:after="240"/>
      </w:pPr>
      <w:r>
        <w:t>Students</w:t>
      </w:r>
      <w:r w:rsidR="00B02FA4">
        <w:t xml:space="preserve"> expressed an</w:t>
      </w:r>
      <w:r>
        <w:t xml:space="preserve"> expect</w:t>
      </w:r>
      <w:r w:rsidR="00B02FA4">
        <w:t xml:space="preserve">ation </w:t>
      </w:r>
      <w:r w:rsidR="00C05EA6">
        <w:t>that the</w:t>
      </w:r>
      <w:r>
        <w:t xml:space="preserve"> feedback </w:t>
      </w:r>
      <w:r w:rsidR="00C05EA6">
        <w:t>they receive should</w:t>
      </w:r>
      <w:r>
        <w:t xml:space="preserve"> enable them to</w:t>
      </w:r>
      <w:r w:rsidR="00C05EA6">
        <w:t xml:space="preserve"> improve their attainment</w:t>
      </w:r>
      <w:r>
        <w:t>.</w:t>
      </w:r>
    </w:p>
    <w:p w14:paraId="5B969056" w14:textId="4DB309E9" w:rsidR="00D371FC" w:rsidRDefault="00D371FC" w:rsidP="00360DE2">
      <w:pPr>
        <w:pStyle w:val="Quote"/>
        <w:spacing w:after="240"/>
      </w:pPr>
      <w:r>
        <w:t xml:space="preserve">Feedback [for work] to be either made better or so you can improve on it </w:t>
      </w:r>
    </w:p>
    <w:p w14:paraId="3A2C2B5A" w14:textId="77777777" w:rsidR="00D371FC" w:rsidRDefault="00D371FC" w:rsidP="00360DE2">
      <w:pPr>
        <w:pStyle w:val="Quote"/>
        <w:spacing w:after="240"/>
      </w:pPr>
      <w:r>
        <w:t xml:space="preserve"> </w:t>
      </w:r>
    </w:p>
    <w:p w14:paraId="010FD061" w14:textId="0FB5D9E3" w:rsidR="00D371FC" w:rsidRDefault="00D371FC" w:rsidP="00360DE2">
      <w:pPr>
        <w:pStyle w:val="Quote"/>
        <w:spacing w:after="240"/>
      </w:pPr>
      <w:r>
        <w:t>It’s like from an exam or from a piece of coursework when you’ll get critical analysis of it, and then you can improve from that feedback</w:t>
      </w:r>
      <w:r w:rsidR="00360DE2">
        <w:t>.</w:t>
      </w:r>
    </w:p>
    <w:p w14:paraId="312317D4" w14:textId="1C036F05" w:rsidR="00D371FC" w:rsidRDefault="00D371FC" w:rsidP="00360DE2">
      <w:pPr>
        <w:spacing w:after="240"/>
      </w:pPr>
      <w:r>
        <w:t>Half of the student focus group participants d</w:t>
      </w:r>
      <w:r w:rsidR="00E309BC">
        <w:t>id</w:t>
      </w:r>
      <w:r>
        <w:t xml:space="preserve"> not recognise the difference between formative and summative </w:t>
      </w:r>
      <w:r w:rsidR="00F34F72">
        <w:t>assessment and feedback</w:t>
      </w:r>
      <w:r w:rsidR="00A74E56">
        <w:t>.</w:t>
      </w:r>
      <w:r>
        <w:t xml:space="preserve"> </w:t>
      </w:r>
    </w:p>
    <w:p w14:paraId="3BA7A30A" w14:textId="094C765C" w:rsidR="00D371FC" w:rsidRDefault="00D371FC" w:rsidP="00360DE2">
      <w:pPr>
        <w:pStyle w:val="Quote"/>
        <w:spacing w:after="240"/>
      </w:pPr>
      <w:r>
        <w:t>I know what it is, but sometimes I get confused. How serious is this feedback? How serious is a formative piece of work?</w:t>
      </w:r>
      <w:r w:rsidR="00746D13">
        <w:t xml:space="preserve"> </w:t>
      </w:r>
      <w:r>
        <w:lastRenderedPageBreak/>
        <w:t>Whether or not you can just submit a draft or whether it needs to be the final thing</w:t>
      </w:r>
      <w:r w:rsidR="00B02FA4">
        <w:t>.</w:t>
      </w:r>
    </w:p>
    <w:p w14:paraId="44E381C3" w14:textId="424B8985" w:rsidR="00D371FC" w:rsidRDefault="00D371FC" w:rsidP="00360DE2">
      <w:pPr>
        <w:spacing w:after="240"/>
      </w:pPr>
      <w:r>
        <w:t>While some students</w:t>
      </w:r>
      <w:r w:rsidR="00A25F29">
        <w:t xml:space="preserve"> confirmed they</w:t>
      </w:r>
      <w:r>
        <w:t xml:space="preserve"> did not</w:t>
      </w:r>
      <w:r w:rsidR="00A25F29">
        <w:t xml:space="preserve"> fully</w:t>
      </w:r>
      <w:r>
        <w:t xml:space="preserve"> understand the term formative </w:t>
      </w:r>
      <w:r w:rsidR="00F34F72">
        <w:t>assessment and feedback</w:t>
      </w:r>
      <w:r>
        <w:t>,</w:t>
      </w:r>
      <w:r w:rsidR="00A25F29">
        <w:t xml:space="preserve"> </w:t>
      </w:r>
      <w:r w:rsidR="00423605">
        <w:t>and</w:t>
      </w:r>
      <w:r>
        <w:t xml:space="preserve"> those who did felt that formative </w:t>
      </w:r>
      <w:r w:rsidR="00C05EA6">
        <w:t>assessments</w:t>
      </w:r>
      <w:r w:rsidR="00F34F72">
        <w:t xml:space="preserve"> and the associated feedback are</w:t>
      </w:r>
      <w:r>
        <w:t xml:space="preserve"> </w:t>
      </w:r>
      <w:r w:rsidRPr="0035583C">
        <w:rPr>
          <w:i/>
          <w:iCs/>
        </w:rPr>
        <w:t xml:space="preserve">more </w:t>
      </w:r>
      <w:r>
        <w:t xml:space="preserve">important </w:t>
      </w:r>
      <w:r w:rsidR="00F34F72">
        <w:t>to them</w:t>
      </w:r>
      <w:r w:rsidR="00C05EA6">
        <w:t xml:space="preserve">. Here participants </w:t>
      </w:r>
      <w:r>
        <w:t>acknowledg</w:t>
      </w:r>
      <w:r w:rsidR="00C05EA6">
        <w:t>e and value</w:t>
      </w:r>
      <w:r w:rsidR="1DE9ACFA">
        <w:t xml:space="preserve"> </w:t>
      </w:r>
      <w:r w:rsidR="49DF0121">
        <w:t>of formative assessment and feedback</w:t>
      </w:r>
      <w:r w:rsidR="00423605">
        <w:t>, but</w:t>
      </w:r>
      <w:r w:rsidR="26054515">
        <w:t xml:space="preserve"> </w:t>
      </w:r>
      <w:r w:rsidR="548F222E">
        <w:t xml:space="preserve">highlight </w:t>
      </w:r>
      <w:r w:rsidR="26054515">
        <w:t xml:space="preserve">challenges in engaging with additional </w:t>
      </w:r>
      <w:r w:rsidR="00423605">
        <w:t>assessment</w:t>
      </w:r>
      <w:r w:rsidR="26054515">
        <w:t xml:space="preserve"> opportunities</w:t>
      </w:r>
      <w:r w:rsidR="00423605">
        <w:t>.</w:t>
      </w:r>
    </w:p>
    <w:p w14:paraId="66F5F05A" w14:textId="6FE7F8B0" w:rsidR="00D371FC" w:rsidRDefault="00D371FC" w:rsidP="00360DE2">
      <w:pPr>
        <w:pStyle w:val="Quote"/>
        <w:spacing w:after="240"/>
      </w:pPr>
      <w:r>
        <w:t>If it’s formative, I try to apply it, to improve the work</w:t>
      </w:r>
      <w:r w:rsidR="00E309BC">
        <w:t>.</w:t>
      </w:r>
    </w:p>
    <w:p w14:paraId="2DBA8BC6" w14:textId="77777777" w:rsidR="00424131" w:rsidRDefault="00424131" w:rsidP="00360DE2">
      <w:pPr>
        <w:pStyle w:val="Quote"/>
        <w:spacing w:after="240"/>
      </w:pPr>
    </w:p>
    <w:p w14:paraId="041296B9" w14:textId="414F9208" w:rsidR="00D371FC" w:rsidRDefault="00D371FC" w:rsidP="00360DE2">
      <w:pPr>
        <w:pStyle w:val="Quote"/>
        <w:spacing w:after="240"/>
      </w:pPr>
      <w:r>
        <w:t xml:space="preserve">Yes, I'm the same. I always end up leaving it to the last minute so if there's a formative feedback thing I’ll generally not get it in time for that so I’ll miss out on the feedback really. </w:t>
      </w:r>
    </w:p>
    <w:p w14:paraId="582CEB81" w14:textId="77777777" w:rsidR="00D371FC" w:rsidRDefault="00D371FC" w:rsidP="00360DE2">
      <w:pPr>
        <w:pStyle w:val="Quote"/>
        <w:spacing w:after="240"/>
      </w:pPr>
      <w:r>
        <w:t xml:space="preserve"> </w:t>
      </w:r>
    </w:p>
    <w:p w14:paraId="7AF39012" w14:textId="10FA09FA" w:rsidR="00D371FC" w:rsidRDefault="00D371FC" w:rsidP="00360DE2">
      <w:pPr>
        <w:pStyle w:val="Quote"/>
        <w:spacing w:after="240"/>
      </w:pPr>
      <w:r>
        <w:t>I think it helps you keep to the deadline because to get it you actually have to start your work in time</w:t>
      </w:r>
      <w:r w:rsidR="00E309BC">
        <w:t>.</w:t>
      </w:r>
    </w:p>
    <w:p w14:paraId="0DB591B5" w14:textId="2998DA32" w:rsidR="00D371FC" w:rsidRDefault="00C05EA6" w:rsidP="00360DE2">
      <w:pPr>
        <w:spacing w:after="240"/>
      </w:pPr>
      <w:r>
        <w:t>Importantly</w:t>
      </w:r>
      <w:r w:rsidR="00D371FC">
        <w:t xml:space="preserve">, summative feedback appears to be perceived by </w:t>
      </w:r>
      <w:r w:rsidR="00D371FC" w:rsidRPr="0035583C">
        <w:rPr>
          <w:i/>
          <w:iCs/>
        </w:rPr>
        <w:t xml:space="preserve">some </w:t>
      </w:r>
      <w:r w:rsidR="00D371FC">
        <w:t>students</w:t>
      </w:r>
      <w:r w:rsidR="00F34F72">
        <w:t xml:space="preserve"> </w:t>
      </w:r>
      <w:r w:rsidR="00D371FC">
        <w:t>to be of limited use.</w:t>
      </w:r>
      <w:r>
        <w:t xml:space="preserve"> T</w:t>
      </w:r>
      <w:r w:rsidR="00D371FC">
        <w:t>he</w:t>
      </w:r>
      <w:r w:rsidR="00DE661B">
        <w:t>se</w:t>
      </w:r>
      <w:r w:rsidR="00D371FC">
        <w:t xml:space="preserve"> findings highlight that summative feedback is not always</w:t>
      </w:r>
      <w:r>
        <w:t xml:space="preserve"> used</w:t>
      </w:r>
      <w:r w:rsidR="00F34F72">
        <w:t>,</w:t>
      </w:r>
      <w:r w:rsidR="00D371FC">
        <w:t xml:space="preserve"> valued</w:t>
      </w:r>
      <w:r w:rsidR="00F34F72">
        <w:t>,</w:t>
      </w:r>
      <w:r w:rsidR="00D371FC">
        <w:t xml:space="preserve"> and put to use (‘feedforward’) to help improve future performance</w:t>
      </w:r>
      <w:r>
        <w:t>.</w:t>
      </w:r>
      <w:r w:rsidR="00D371FC">
        <w:t xml:space="preserve"> </w:t>
      </w:r>
    </w:p>
    <w:p w14:paraId="09A37CF0" w14:textId="35DBFC19" w:rsidR="00D371FC" w:rsidRDefault="00D371FC" w:rsidP="00360DE2">
      <w:pPr>
        <w:pStyle w:val="Quote"/>
        <w:spacing w:after="240"/>
      </w:pPr>
      <w:r>
        <w:t>You’ve got the feedback for that piece of work but you can't apply that feedback to that work, because that’s the end of it, that’s the assessed piece of work that you’ve handed in and you’ve got the grade back for it. There's not really much else you can do about it</w:t>
      </w:r>
      <w:r w:rsidR="00E56A56">
        <w:t>.</w:t>
      </w:r>
    </w:p>
    <w:p w14:paraId="5FFCAECB" w14:textId="77777777" w:rsidR="00D371FC" w:rsidRDefault="00D371FC" w:rsidP="00360DE2">
      <w:pPr>
        <w:spacing w:after="240"/>
      </w:pPr>
      <w:r>
        <w:t xml:space="preserve"> </w:t>
      </w:r>
    </w:p>
    <w:p w14:paraId="1C80342C" w14:textId="053001F7" w:rsidR="00B02FA4" w:rsidRDefault="00D371FC" w:rsidP="00360DE2">
      <w:pPr>
        <w:pStyle w:val="Quote"/>
        <w:spacing w:after="240"/>
      </w:pPr>
      <w:r>
        <w:lastRenderedPageBreak/>
        <w:t>But if it’s summative, there’s not really much you can do about it. You’re like, ‘Oh, nice, got good feedback,’ and move onto the next thing</w:t>
      </w:r>
      <w:r w:rsidR="00E56A56">
        <w:t>.</w:t>
      </w:r>
    </w:p>
    <w:p w14:paraId="26100BD5" w14:textId="50104DA9" w:rsidR="00D371FC" w:rsidRDefault="00D371FC" w:rsidP="00360DE2">
      <w:pPr>
        <w:pStyle w:val="Quote"/>
        <w:spacing w:after="240"/>
      </w:pPr>
      <w:r>
        <w:t xml:space="preserve"> </w:t>
      </w:r>
    </w:p>
    <w:p w14:paraId="59057163" w14:textId="2E9F0854" w:rsidR="00D371FC" w:rsidRDefault="00D371FC" w:rsidP="00360DE2">
      <w:pPr>
        <w:pStyle w:val="Quote"/>
        <w:spacing w:after="240"/>
      </w:pPr>
      <w:r>
        <w:t>I think I probably use formative feedback a lot more, because by the time another piece of work has come around, I think I’ve forgotten my comments on the summative bit</w:t>
      </w:r>
      <w:r w:rsidR="00E56A56">
        <w:t>.</w:t>
      </w:r>
    </w:p>
    <w:p w14:paraId="4C763383" w14:textId="45265896" w:rsidR="00D371FC" w:rsidRDefault="79157DDB" w:rsidP="00360DE2">
      <w:pPr>
        <w:spacing w:after="240"/>
      </w:pPr>
      <w:r>
        <w:t>An</w:t>
      </w:r>
      <w:r w:rsidR="00D371FC">
        <w:t xml:space="preserve"> interesting finding</w:t>
      </w:r>
      <w:r w:rsidR="00C05EA6">
        <w:t xml:space="preserve"> of the study</w:t>
      </w:r>
      <w:r w:rsidR="00D371FC">
        <w:t xml:space="preserve"> was that whilst students did not refer to formative </w:t>
      </w:r>
      <w:r w:rsidR="00C05EA6">
        <w:t>assessment</w:t>
      </w:r>
      <w:r w:rsidR="00D371FC">
        <w:t xml:space="preserve"> opportunities provided in-class</w:t>
      </w:r>
      <w:r w:rsidR="00C05EA6">
        <w:t xml:space="preserve">. </w:t>
      </w:r>
      <w:r w:rsidR="00D371FC">
        <w:t>Despite this, the focus groups revealed that some students would value more formative feedback than summative feedback.</w:t>
      </w:r>
      <w:r w:rsidR="00C05EA6">
        <w:t xml:space="preserve"> The students’</w:t>
      </w:r>
      <w:r w:rsidR="00D371FC">
        <w:t xml:space="preserve"> perception was that formative feedback was not always available for all modules, perhaps linked to students not always recognising ‘formative feedback’ when it is provided. A minority of students felt that formative feedback is a </w:t>
      </w:r>
      <w:r w:rsidR="00197069">
        <w:t>‘</w:t>
      </w:r>
      <w:r w:rsidR="00D371FC">
        <w:t>form of support</w:t>
      </w:r>
      <w:r w:rsidR="00197069">
        <w:t>’</w:t>
      </w:r>
      <w:r w:rsidR="0091068D">
        <w:t xml:space="preserve">, and suggested that </w:t>
      </w:r>
      <w:r w:rsidR="00D371FC">
        <w:t>formative feedback sho</w:t>
      </w:r>
      <w:r w:rsidR="00360DE2">
        <w:t>u</w:t>
      </w:r>
      <w:r w:rsidR="00D371FC">
        <w:t>ld be staggered throughout the delivery of a module</w:t>
      </w:r>
      <w:r w:rsidR="00DE661B">
        <w:t>.</w:t>
      </w:r>
      <w:r w:rsidR="00D371FC">
        <w:t xml:space="preserve"> </w:t>
      </w:r>
    </w:p>
    <w:p w14:paraId="61796AAD" w14:textId="19AFFB99" w:rsidR="00D371FC" w:rsidRDefault="00D371FC" w:rsidP="00360DE2">
      <w:pPr>
        <w:pStyle w:val="Quote"/>
        <w:spacing w:after="240"/>
      </w:pPr>
      <w:r>
        <w:t>Maybe, even if you could get formative feedback twice; once near the start, ‘Have I started this right?’ and then the middle, ‘Have I improved?’ And then the final, ‘Look how far you’ve come.’</w:t>
      </w:r>
    </w:p>
    <w:p w14:paraId="007E5CD5" w14:textId="07CEAC95" w:rsidR="00D371FC" w:rsidRDefault="00D371FC" w:rsidP="00360DE2">
      <w:pPr>
        <w:spacing w:after="240"/>
      </w:pPr>
      <w:r>
        <w:t xml:space="preserve">One of the findings from the analysis </w:t>
      </w:r>
      <w:r w:rsidR="0EEA7CB7">
        <w:t xml:space="preserve">was </w:t>
      </w:r>
      <w:r>
        <w:t xml:space="preserve">that there is no ‘one size fits all’ approach to providing </w:t>
      </w:r>
      <w:r w:rsidR="09050E56">
        <w:t xml:space="preserve">assessment </w:t>
      </w:r>
      <w:r>
        <w:t xml:space="preserve">feedback. Here, </w:t>
      </w:r>
      <w:r w:rsidR="008C532C">
        <w:t>g</w:t>
      </w:r>
      <w:r>
        <w:t xml:space="preserve">eography students value different types of feedback </w:t>
      </w:r>
      <w:r w:rsidR="00C05EA6">
        <w:t>and</w:t>
      </w:r>
      <w:r>
        <w:t xml:space="preserve"> interpret feedback in different ways according to their own experience and level</w:t>
      </w:r>
      <w:r w:rsidR="00DF2FAA">
        <w:t xml:space="preserve"> of study.</w:t>
      </w:r>
    </w:p>
    <w:p w14:paraId="68196656" w14:textId="3F909F9E" w:rsidR="00D371FC" w:rsidRDefault="00D371FC" w:rsidP="00360DE2">
      <w:pPr>
        <w:pStyle w:val="Quote"/>
        <w:spacing w:after="240"/>
      </w:pPr>
      <w:r>
        <w:t xml:space="preserve">I think a mix of both [verbal and written feedback] is probably good because, especially with essays, you get written feedback but then you can go see [the tutor] and have a discussion about it. And then you can either ask questions or then you can get different feedback because </w:t>
      </w:r>
      <w:r>
        <w:lastRenderedPageBreak/>
        <w:t>they can then maybe pick up on things that they might not have picked up on first time round. So, you can get additional feedback as well as the written</w:t>
      </w:r>
      <w:r w:rsidR="00E309BC">
        <w:t>.</w:t>
      </w:r>
    </w:p>
    <w:p w14:paraId="603E9227" w14:textId="5E1332B3" w:rsidR="00D371FC" w:rsidRDefault="00873282" w:rsidP="00360DE2">
      <w:pPr>
        <w:spacing w:after="240"/>
      </w:pPr>
      <w:r>
        <w:t>T</w:t>
      </w:r>
      <w:r w:rsidR="1A0FCBA9">
        <w:t>here appears to be some</w:t>
      </w:r>
      <w:r w:rsidR="00D371FC">
        <w:t xml:space="preserve"> differences in student expectations for feedback by level of study. </w:t>
      </w:r>
      <w:r w:rsidR="77290A68">
        <w:t xml:space="preserve">Specifically, our </w:t>
      </w:r>
      <w:r w:rsidR="00D371FC">
        <w:t xml:space="preserve">results highlight that </w:t>
      </w:r>
      <w:r w:rsidR="00DB5EF7">
        <w:t>first-year</w:t>
      </w:r>
      <w:r w:rsidR="7FC8D4A5">
        <w:t xml:space="preserve"> (FHEQ Level 4)</w:t>
      </w:r>
      <w:r w:rsidR="00D371FC">
        <w:t xml:space="preserve"> student expectations</w:t>
      </w:r>
      <w:r w:rsidR="31BD6F4B">
        <w:t xml:space="preserve"> </w:t>
      </w:r>
      <w:r w:rsidR="00D371FC">
        <w:t xml:space="preserve">for </w:t>
      </w:r>
      <w:r w:rsidR="00DF2FAA">
        <w:t xml:space="preserve">assessment </w:t>
      </w:r>
      <w:r w:rsidR="00D371FC">
        <w:t xml:space="preserve">feedback was influenced by their experiences </w:t>
      </w:r>
      <w:r w:rsidR="00E309BC">
        <w:t>during their</w:t>
      </w:r>
      <w:r w:rsidR="00655996">
        <w:t xml:space="preserve"> </w:t>
      </w:r>
      <w:r w:rsidR="00D371FC">
        <w:t>GCSE</w:t>
      </w:r>
      <w:r w:rsidR="00E309BC">
        <w:t xml:space="preserve"> </w:t>
      </w:r>
      <w:r w:rsidR="44718128">
        <w:t xml:space="preserve">and A-level </w:t>
      </w:r>
      <w:r w:rsidR="00E309BC">
        <w:t>studies</w:t>
      </w:r>
      <w:r w:rsidR="6DD47001">
        <w:t xml:space="preserve"> (FHEQ </w:t>
      </w:r>
      <w:r w:rsidR="51C9BB0D">
        <w:t>Level 2</w:t>
      </w:r>
      <w:r w:rsidR="00F27381">
        <w:t xml:space="preserve"> and </w:t>
      </w:r>
      <w:r w:rsidR="51C9BB0D">
        <w:t>3)</w:t>
      </w:r>
      <w:r w:rsidR="00D371FC">
        <w:t xml:space="preserve">, with students expressing a preference for </w:t>
      </w:r>
      <w:r w:rsidR="00F27381">
        <w:t xml:space="preserve">a </w:t>
      </w:r>
      <w:r w:rsidR="00D371FC">
        <w:t xml:space="preserve">colour coded </w:t>
      </w:r>
      <w:r w:rsidR="00F27381">
        <w:t>‘</w:t>
      </w:r>
      <w:r w:rsidR="00D371FC">
        <w:t>traffic light system</w:t>
      </w:r>
      <w:r w:rsidR="00F27381">
        <w:t>’</w:t>
      </w:r>
      <w:r w:rsidR="00D371FC">
        <w:t xml:space="preserve"> to help them to identif</w:t>
      </w:r>
      <w:r w:rsidR="00253797">
        <w:t>y</w:t>
      </w:r>
      <w:r w:rsidR="00D371FC">
        <w:t xml:space="preserve"> more easily what was done well and what needs attention</w:t>
      </w:r>
      <w:r w:rsidR="0FA211DF">
        <w:t xml:space="preserve">. Whilst </w:t>
      </w:r>
      <w:r w:rsidR="3CEC3B6C">
        <w:t>differenc</w:t>
      </w:r>
      <w:r w:rsidR="00253797">
        <w:t>es</w:t>
      </w:r>
      <w:r w:rsidR="3CEC3B6C">
        <w:t xml:space="preserve"> in the use of feedback between first, </w:t>
      </w:r>
      <w:r w:rsidR="006D2499">
        <w:t>second- and third-year</w:t>
      </w:r>
      <w:r w:rsidR="3CEC3B6C">
        <w:t xml:space="preserve"> students was </w:t>
      </w:r>
      <w:r w:rsidR="0FA211DF">
        <w:t xml:space="preserve">not </w:t>
      </w:r>
      <w:r w:rsidR="25E3236E">
        <w:t>this</w:t>
      </w:r>
      <w:r w:rsidR="0FA211DF">
        <w:t xml:space="preserve"> focus of our study, this </w:t>
      </w:r>
      <w:r w:rsidR="69122035">
        <w:t>warrants</w:t>
      </w:r>
      <w:r w:rsidR="0FA211DF">
        <w:t xml:space="preserve"> further investi</w:t>
      </w:r>
      <w:r w:rsidR="13CF746A">
        <w:t xml:space="preserve">gation, </w:t>
      </w:r>
      <w:r w:rsidR="4F179A54">
        <w:t xml:space="preserve">and other work has identified challenges students face when </w:t>
      </w:r>
      <w:r w:rsidR="00473A26">
        <w:t xml:space="preserve">initially </w:t>
      </w:r>
      <w:r w:rsidR="4F179A54">
        <w:t>transitioning into Higher Education (Gill, 2020).</w:t>
      </w:r>
    </w:p>
    <w:p w14:paraId="0B1B7411" w14:textId="1E88FF9C" w:rsidR="00D371FC" w:rsidRDefault="00D371FC" w:rsidP="00360DE2">
      <w:pPr>
        <w:pStyle w:val="Quote"/>
        <w:spacing w:after="240"/>
      </w:pPr>
      <w:r>
        <w:t>Yes, using a colour, say a red mark, obviously red kind of symbolises that something is not good. But yes, red marks saying you need to do this, need to do that. A green mark is where there’s a tick saying this is good so I can see where I’ve done well and then probably put that into other works</w:t>
      </w:r>
      <w:r w:rsidR="00360DE2">
        <w:t>.</w:t>
      </w:r>
    </w:p>
    <w:p w14:paraId="3CAECA2B" w14:textId="3297CC1F" w:rsidR="00D371FC" w:rsidRDefault="00E75668" w:rsidP="00360DE2">
      <w:pPr>
        <w:spacing w:after="240"/>
      </w:pPr>
      <w:r>
        <w:t>Several</w:t>
      </w:r>
      <w:r w:rsidR="00E309BC">
        <w:t xml:space="preserve"> participants</w:t>
      </w:r>
      <w:r w:rsidR="00D371FC">
        <w:t xml:space="preserve"> admit</w:t>
      </w:r>
      <w:r w:rsidR="00E309BC">
        <w:t xml:space="preserve">ted </w:t>
      </w:r>
      <w:r w:rsidR="00D371FC">
        <w:t>to not revisiting feedback. This was due to the perception that previously provided feedback is of limited value to them as future assessments are ‘different’</w:t>
      </w:r>
      <w:r w:rsidR="0072365C">
        <w:t>. P</w:t>
      </w:r>
      <w:r w:rsidR="00473A26">
        <w:t xml:space="preserve">articipants </w:t>
      </w:r>
      <w:r w:rsidR="0072365C">
        <w:t>suggested</w:t>
      </w:r>
      <w:r w:rsidR="00473A26">
        <w:t xml:space="preserve"> </w:t>
      </w:r>
      <w:r w:rsidR="0072365C">
        <w:t xml:space="preserve">that </w:t>
      </w:r>
      <w:r w:rsidR="00D371FC">
        <w:t>previous feedback does not apply</w:t>
      </w:r>
      <w:r w:rsidR="00DF2FAA">
        <w:t xml:space="preserve"> to future assessed tasks.</w:t>
      </w:r>
    </w:p>
    <w:p w14:paraId="188EA1A0" w14:textId="4740D683" w:rsidR="00D371FC" w:rsidRDefault="00D371FC" w:rsidP="00360DE2">
      <w:pPr>
        <w:pStyle w:val="Quote"/>
        <w:spacing w:after="240"/>
      </w:pPr>
      <w:r>
        <w:t>No I don’t. I never revisit, go back, either because I’ve lost it or [laugh]…or it doesn’t really relate to something else that I’m doing</w:t>
      </w:r>
      <w:r w:rsidR="00E309BC">
        <w:t>.</w:t>
      </w:r>
    </w:p>
    <w:p w14:paraId="32DB2DF9" w14:textId="77777777" w:rsidR="00D371FC" w:rsidRDefault="00D371FC" w:rsidP="00360DE2">
      <w:pPr>
        <w:pStyle w:val="Quote"/>
        <w:spacing w:after="240"/>
      </w:pPr>
    </w:p>
    <w:p w14:paraId="1D7F81CD" w14:textId="48EBB976" w:rsidR="00D371FC" w:rsidRDefault="00D371FC" w:rsidP="00360DE2">
      <w:pPr>
        <w:pStyle w:val="Quote"/>
        <w:spacing w:after="240"/>
      </w:pPr>
      <w:r>
        <w:t xml:space="preserve">I don’t tend to go back and look at mine but that’s only because mine tend to be like criticisms about structure or you </w:t>
      </w:r>
      <w:r>
        <w:lastRenderedPageBreak/>
        <w:t>need to explain this in more detail, so I remember to do that. I still use it, but I don’t have to refer back so much</w:t>
      </w:r>
      <w:r w:rsidR="00E309BC">
        <w:t>.</w:t>
      </w:r>
    </w:p>
    <w:p w14:paraId="3FA34EDE" w14:textId="77777777" w:rsidR="00D371FC" w:rsidRDefault="00D371FC" w:rsidP="00360DE2">
      <w:pPr>
        <w:pStyle w:val="Quote"/>
        <w:spacing w:after="240"/>
      </w:pPr>
      <w:r>
        <w:t xml:space="preserve"> </w:t>
      </w:r>
    </w:p>
    <w:p w14:paraId="771579BB" w14:textId="4F66CD7B" w:rsidR="00D371FC" w:rsidRDefault="00D371FC" w:rsidP="00360DE2">
      <w:pPr>
        <w:pStyle w:val="Quote"/>
        <w:spacing w:after="240"/>
      </w:pPr>
      <w:r>
        <w:t xml:space="preserve"> Well, I think one of the biggest areas I make, I think a lot of people… So say you get an essay on Turnitin and you do read through that feedback, you take it in, but then when you’ve got an essay the term after, does anyone actually go back and look at their old essay? Because I personally haven’t because even though I read it at the time, you’re not going to remember it so maybe that’s a step you should take. Personally, I don’t really do that</w:t>
      </w:r>
      <w:r w:rsidR="00E309BC">
        <w:t>.</w:t>
      </w:r>
    </w:p>
    <w:p w14:paraId="0DEBE808" w14:textId="77777777" w:rsidR="00D371FC" w:rsidRDefault="00D371FC" w:rsidP="00360DE2">
      <w:pPr>
        <w:pStyle w:val="Quote"/>
        <w:spacing w:after="240"/>
      </w:pPr>
      <w:r>
        <w:t xml:space="preserve"> </w:t>
      </w:r>
    </w:p>
    <w:p w14:paraId="2E31405E" w14:textId="6D3D32CE" w:rsidR="00D371FC" w:rsidRDefault="00D371FC" w:rsidP="00360DE2">
      <w:pPr>
        <w:pStyle w:val="Quote"/>
        <w:spacing w:after="240"/>
      </w:pPr>
      <w:r>
        <w:t>I do when I get them and use it for the next essay but if I was starting a fresh essay I wouldn’t go back and check, but I probably should have done that. But I still used the criticism, just didn’t refer back</w:t>
      </w:r>
      <w:r w:rsidR="005F0A40">
        <w:t>.</w:t>
      </w:r>
      <w:r>
        <w:t xml:space="preserve"> </w:t>
      </w:r>
    </w:p>
    <w:p w14:paraId="06BE9034" w14:textId="2A50617C" w:rsidR="00661099" w:rsidRDefault="35042D70" w:rsidP="00360DE2">
      <w:pPr>
        <w:spacing w:after="240"/>
      </w:pPr>
      <w:r>
        <w:t>Many issues emerging from these comments were also identified in a recent critical exploration of the entanglement between assessment and feedback by Winstone and Boud (2022</w:t>
      </w:r>
      <w:r w:rsidR="392E108D">
        <w:t>)</w:t>
      </w:r>
      <w:r w:rsidR="005F0A40">
        <w:t xml:space="preserve">. </w:t>
      </w:r>
      <w:r w:rsidR="392E108D">
        <w:t xml:space="preserve">In </w:t>
      </w:r>
      <w:r w:rsidR="50BED1F3">
        <w:t>Winstone and Boud’s (2022) work</w:t>
      </w:r>
      <w:r w:rsidR="392E108D">
        <w:t xml:space="preserve"> </w:t>
      </w:r>
      <w:r w:rsidR="0CE3ACE1">
        <w:t>the provision of feedback</w:t>
      </w:r>
      <w:r w:rsidR="00661099">
        <w:t xml:space="preserve"> by tutors</w:t>
      </w:r>
      <w:r w:rsidR="0CE3ACE1">
        <w:t xml:space="preserve"> </w:t>
      </w:r>
      <w:r w:rsidR="00AE2177">
        <w:t>for</w:t>
      </w:r>
      <w:r w:rsidR="0CE3ACE1">
        <w:t xml:space="preserve"> ‘Q</w:t>
      </w:r>
      <w:r w:rsidR="53F5F84C">
        <w:t xml:space="preserve">uality </w:t>
      </w:r>
      <w:r w:rsidR="0CE3ACE1">
        <w:t>A</w:t>
      </w:r>
      <w:r w:rsidR="3906AD3B">
        <w:t>ssurance</w:t>
      </w:r>
      <w:r w:rsidR="0CE3ACE1">
        <w:t xml:space="preserve"> actors’ </w:t>
      </w:r>
      <w:r w:rsidR="00AE2177">
        <w:t xml:space="preserve">rather </w:t>
      </w:r>
      <w:r w:rsidR="0CE3ACE1">
        <w:t>than learners</w:t>
      </w:r>
      <w:r w:rsidR="64E9E8A3">
        <w:t xml:space="preserve"> was suggested to </w:t>
      </w:r>
      <w:r w:rsidR="3AEC57FD">
        <w:t>detrimentally</w:t>
      </w:r>
      <w:r w:rsidR="64E9E8A3">
        <w:t xml:space="preserve"> impact student attainment. </w:t>
      </w:r>
      <w:r w:rsidR="42C0D596">
        <w:t>T</w:t>
      </w:r>
      <w:r>
        <w:t>he</w:t>
      </w:r>
      <w:r w:rsidR="00D2366E">
        <w:t>se</w:t>
      </w:r>
      <w:r>
        <w:t xml:space="preserve"> authors </w:t>
      </w:r>
      <w:r w:rsidR="0DF60F78">
        <w:t>note</w:t>
      </w:r>
      <w:r w:rsidR="1D274B3E">
        <w:t xml:space="preserve"> </w:t>
      </w:r>
      <w:r>
        <w:t xml:space="preserve">that many forms of feedback </w:t>
      </w:r>
      <w:r w:rsidR="2A8F93D7">
        <w:t>‘</w:t>
      </w:r>
      <w:r>
        <w:t>can come too late to be of use</w:t>
      </w:r>
      <w:r w:rsidR="5C4C3D4B">
        <w:t>’</w:t>
      </w:r>
      <w:r>
        <w:t xml:space="preserve"> and this is also reflected in the experiences of the student </w:t>
      </w:r>
      <w:r w:rsidR="42B5D633">
        <w:t>participant</w:t>
      </w:r>
      <w:r w:rsidR="0E27D327">
        <w:t>s surveyed here</w:t>
      </w:r>
      <w:r w:rsidR="1D274B3E">
        <w:t>.</w:t>
      </w:r>
      <w:r>
        <w:t xml:space="preserve"> In our study</w:t>
      </w:r>
      <w:r w:rsidR="00347604">
        <w:t>,</w:t>
      </w:r>
      <w:r>
        <w:t xml:space="preserve"> the perspective that </w:t>
      </w:r>
      <w:r w:rsidR="37C23C63">
        <w:t xml:space="preserve">with summative </w:t>
      </w:r>
      <w:r>
        <w:t xml:space="preserve">assessment feedback little can be done with any developmental information provided by </w:t>
      </w:r>
      <w:r w:rsidR="1D274B3E">
        <w:t>tutors</w:t>
      </w:r>
      <w:r w:rsidR="7221FFCC">
        <w:t xml:space="preserve"> </w:t>
      </w:r>
      <w:r w:rsidR="10B0DD67">
        <w:t xml:space="preserve">was also </w:t>
      </w:r>
      <w:r w:rsidR="7B276BF0">
        <w:t>identified</w:t>
      </w:r>
      <w:r w:rsidR="10B0DD67">
        <w:t>.</w:t>
      </w:r>
      <w:r w:rsidR="1D274B3E">
        <w:t xml:space="preserve"> </w:t>
      </w:r>
    </w:p>
    <w:p w14:paraId="116537B0" w14:textId="218CE242" w:rsidR="00E62332" w:rsidRDefault="4505C517" w:rsidP="00360DE2">
      <w:pPr>
        <w:spacing w:after="240"/>
      </w:pPr>
      <w:r>
        <w:t>Interesting</w:t>
      </w:r>
      <w:r w:rsidR="008733A6">
        <w:t>ly</w:t>
      </w:r>
      <w:r>
        <w:t xml:space="preserve">, issues </w:t>
      </w:r>
      <w:r w:rsidR="008733A6">
        <w:t>linked to</w:t>
      </w:r>
      <w:r>
        <w:t xml:space="preserve"> this were also </w:t>
      </w:r>
      <w:r w:rsidR="3BE8F916">
        <w:t>identified</w:t>
      </w:r>
      <w:r>
        <w:t xml:space="preserve"> by Francis </w:t>
      </w:r>
      <w:r w:rsidRPr="0035583C">
        <w:t>et al</w:t>
      </w:r>
      <w:r>
        <w:t xml:space="preserve">. (2019) in their study on assessment feedback in a Russell group </w:t>
      </w:r>
      <w:r w:rsidR="1C99E1BD">
        <w:t>g</w:t>
      </w:r>
      <w:r>
        <w:t>eography department</w:t>
      </w:r>
      <w:r w:rsidR="003876BB">
        <w:t xml:space="preserve">, with certain students admitting to not revisiting </w:t>
      </w:r>
      <w:r w:rsidR="003D07E5">
        <w:t xml:space="preserve">and </w:t>
      </w:r>
      <w:r w:rsidR="00847F16">
        <w:t xml:space="preserve">curating </w:t>
      </w:r>
      <w:r w:rsidR="00847F16">
        <w:lastRenderedPageBreak/>
        <w:t>their</w:t>
      </w:r>
      <w:r w:rsidR="003D07E5">
        <w:t xml:space="preserve"> feedback</w:t>
      </w:r>
      <w:r>
        <w:t>.</w:t>
      </w:r>
      <w:r w:rsidR="0C34471A">
        <w:t xml:space="preserve"> Francis et al.</w:t>
      </w:r>
      <w:r w:rsidR="448B0438">
        <w:t xml:space="preserve"> (2019)</w:t>
      </w:r>
      <w:r w:rsidR="7A8DDE47">
        <w:t xml:space="preserve"> interpreted </w:t>
      </w:r>
      <w:r w:rsidR="5F3DBF0C">
        <w:t xml:space="preserve">this perspective </w:t>
      </w:r>
      <w:r w:rsidR="7A8DDE47">
        <w:t>as evide</w:t>
      </w:r>
      <w:r w:rsidR="7FFDDB6E">
        <w:t>n</w:t>
      </w:r>
      <w:r w:rsidR="7A8DDE47">
        <w:t xml:space="preserve">ce that certain students </w:t>
      </w:r>
      <w:r w:rsidR="0083247A">
        <w:t xml:space="preserve">had </w:t>
      </w:r>
      <w:r w:rsidR="00C15D46">
        <w:t>adopted a</w:t>
      </w:r>
      <w:r w:rsidR="7A8DDE47">
        <w:t xml:space="preserve"> ‘passive consumer’ orientation to their studies</w:t>
      </w:r>
      <w:r w:rsidR="008733A6">
        <w:t xml:space="preserve">. That is, there was an expectation that </w:t>
      </w:r>
      <w:r w:rsidR="003876BB">
        <w:t>tutors</w:t>
      </w:r>
      <w:r w:rsidR="00077A3D">
        <w:t xml:space="preserve"> do this for them, </w:t>
      </w:r>
      <w:r w:rsidR="0071201E">
        <w:t xml:space="preserve">rather </w:t>
      </w:r>
      <w:r w:rsidR="00C15D46">
        <w:t>than students</w:t>
      </w:r>
      <w:r w:rsidR="000F7B1C">
        <w:t xml:space="preserve"> </w:t>
      </w:r>
      <w:r w:rsidR="0071201E">
        <w:t xml:space="preserve">being responsible for </w:t>
      </w:r>
      <w:r w:rsidR="089A3EA8">
        <w:t xml:space="preserve">managing their </w:t>
      </w:r>
      <w:r w:rsidR="00D2366E">
        <w:t xml:space="preserve">own </w:t>
      </w:r>
      <w:r w:rsidR="089A3EA8">
        <w:t>learning.</w:t>
      </w:r>
      <w:r w:rsidR="6046E744">
        <w:t xml:space="preserve"> </w:t>
      </w:r>
      <w:r w:rsidR="004121AA">
        <w:t>These</w:t>
      </w:r>
      <w:r w:rsidR="00036654">
        <w:t xml:space="preserve"> </w:t>
      </w:r>
      <w:r w:rsidR="004121AA">
        <w:t>challenges</w:t>
      </w:r>
      <w:r w:rsidR="00036654">
        <w:t xml:space="preserve"> are</w:t>
      </w:r>
      <w:r w:rsidR="004121AA">
        <w:t xml:space="preserve"> </w:t>
      </w:r>
      <w:r w:rsidR="00036654">
        <w:t xml:space="preserve">present </w:t>
      </w:r>
      <w:r w:rsidR="004121AA">
        <w:t>in</w:t>
      </w:r>
      <w:r w:rsidR="00036654">
        <w:t xml:space="preserve"> a range of institutions</w:t>
      </w:r>
      <w:r w:rsidR="001437D2">
        <w:t xml:space="preserve"> in the United </w:t>
      </w:r>
      <w:r w:rsidR="004121AA">
        <w:t>Kingdom</w:t>
      </w:r>
      <w:r w:rsidR="001437D2">
        <w:t>, with the issue</w:t>
      </w:r>
      <w:r w:rsidR="004121AA">
        <w:t>s noted</w:t>
      </w:r>
      <w:r w:rsidR="001437D2">
        <w:t xml:space="preserve"> not related solely to the situatedness of student experiences in </w:t>
      </w:r>
      <w:r w:rsidR="004121AA">
        <w:t xml:space="preserve">any one type of institution (e.g., post-1992 and Russell Group). </w:t>
      </w:r>
      <w:r w:rsidR="002505D4">
        <w:t xml:space="preserve">The influence of </w:t>
      </w:r>
      <w:r w:rsidR="00A07D44">
        <w:t xml:space="preserve">a student-as-consumer orientation on attainment and satisfaction </w:t>
      </w:r>
      <w:r w:rsidR="00C15D46">
        <w:t xml:space="preserve">in Higher Education </w:t>
      </w:r>
      <w:r w:rsidR="00A07D44">
        <w:t>has been noted</w:t>
      </w:r>
      <w:r w:rsidR="00C15D46">
        <w:t xml:space="preserve"> in previous work</w:t>
      </w:r>
      <w:r w:rsidR="00A07D44">
        <w:t xml:space="preserve"> (e.g., Bunce et al., 2017).</w:t>
      </w:r>
      <w:r w:rsidR="005E1BA6">
        <w:t xml:space="preserve"> </w:t>
      </w:r>
    </w:p>
    <w:p w14:paraId="3446BDFF" w14:textId="1BBB1A61" w:rsidR="00A4134A" w:rsidRDefault="16BA5217" w:rsidP="00360DE2">
      <w:pPr>
        <w:spacing w:after="240"/>
      </w:pPr>
      <w:r>
        <w:t>M</w:t>
      </w:r>
      <w:r w:rsidR="35042D70">
        <w:t>any students admitted to having a focus on the grade, rather than the feedback when it comes to summative tasks</w:t>
      </w:r>
      <w:r w:rsidR="518862B7">
        <w:t xml:space="preserve">; </w:t>
      </w:r>
      <w:r w:rsidR="2C8A8189">
        <w:t>a point also raised by Winstone and Boud (2022).</w:t>
      </w:r>
      <w:r w:rsidR="1A0D5616">
        <w:t xml:space="preserve"> The above suggests</w:t>
      </w:r>
      <w:r w:rsidR="35042D70">
        <w:t xml:space="preserve"> that feedback is not revisited or </w:t>
      </w:r>
      <w:r w:rsidR="0E743BC7">
        <w:t>curated by students</w:t>
      </w:r>
      <w:r w:rsidR="3E9031A5">
        <w:t xml:space="preserve"> and</w:t>
      </w:r>
      <w:r w:rsidR="0E743BC7">
        <w:t xml:space="preserve"> applied in subsequent assessments.</w:t>
      </w:r>
      <w:r w:rsidR="35042D70">
        <w:t xml:space="preserve"> Given the presence of these issues in the cohorts sampled in our study, we therefore support ongoing </w:t>
      </w:r>
      <w:r w:rsidR="5BDC73A8">
        <w:t>efforts</w:t>
      </w:r>
      <w:r w:rsidR="35042D70">
        <w:t xml:space="preserve"> to preserve the learning function of feedback</w:t>
      </w:r>
      <w:r w:rsidR="52FB853A">
        <w:t>, namely the six strategies suggested by Winstone and Boud (2022) to counter the issues also identified in this study.</w:t>
      </w:r>
    </w:p>
    <w:p w14:paraId="0158A0CD" w14:textId="6D7C4D20" w:rsidR="00E309BC" w:rsidRDefault="00A4134A" w:rsidP="00360DE2">
      <w:pPr>
        <w:spacing w:after="240"/>
      </w:pPr>
      <w:r>
        <w:t xml:space="preserve">Assessment literacy has been identified </w:t>
      </w:r>
      <w:r w:rsidR="001D349B">
        <w:t xml:space="preserve">as being </w:t>
      </w:r>
      <w:r w:rsidR="00B56F00">
        <w:t xml:space="preserve">an </w:t>
      </w:r>
      <w:r w:rsidR="001D349B">
        <w:t>important</w:t>
      </w:r>
      <w:r>
        <w:t xml:space="preserve"> </w:t>
      </w:r>
      <w:r w:rsidR="005802FF">
        <w:t xml:space="preserve">aspect of </w:t>
      </w:r>
      <w:r>
        <w:t>enabling students to become independent learners (Smith et al.</w:t>
      </w:r>
      <w:r w:rsidR="00EF5863">
        <w:t>,</w:t>
      </w:r>
      <w:r>
        <w:t xml:space="preserve"> 2013). For students to be assessment literate, an understanding of the principles, practices and terminology associated with assessment and feedback is required. Despite </w:t>
      </w:r>
      <w:r w:rsidR="005802FF">
        <w:t xml:space="preserve">Advance HE </w:t>
      </w:r>
      <w:r>
        <w:t>(201</w:t>
      </w:r>
      <w:r w:rsidR="00DF2FAA">
        <w:t>3</w:t>
      </w:r>
      <w:r>
        <w:t>)</w:t>
      </w:r>
      <w:r w:rsidR="005802FF">
        <w:t xml:space="preserve"> (formerly the Higher Education Academy)</w:t>
      </w:r>
      <w:r>
        <w:t xml:space="preserve"> encourag</w:t>
      </w:r>
      <w:r w:rsidR="00DF2FAA">
        <w:t>ing</w:t>
      </w:r>
      <w:r w:rsidR="00834BCD">
        <w:t xml:space="preserve"> </w:t>
      </w:r>
      <w:r>
        <w:t>the use of more meaningful formative assessment opportunities</w:t>
      </w:r>
      <w:r w:rsidR="00DF2FAA">
        <w:t xml:space="preserve">, </w:t>
      </w:r>
      <w:r w:rsidR="005D5FC8">
        <w:t>i</w:t>
      </w:r>
      <w:r>
        <w:t xml:space="preserve">t is alarming to note that </w:t>
      </w:r>
      <w:r w:rsidR="1DE2A43E">
        <w:t>students</w:t>
      </w:r>
      <w:r>
        <w:t xml:space="preserve"> cannot appropriately define, and therefore most likely identify the formative </w:t>
      </w:r>
      <w:r w:rsidR="00484128">
        <w:t xml:space="preserve">feedback </w:t>
      </w:r>
      <w:r>
        <w:t xml:space="preserve">opportunities provided to them within the curriculum. Indeed, McLeod and Mortimer (2012) specifically focus on raising student awareness regarding assessment and feedback procedures to help build assessment literacy and manage student expectations. Other </w:t>
      </w:r>
      <w:r w:rsidR="00E62332">
        <w:t xml:space="preserve">research </w:t>
      </w:r>
      <w:r>
        <w:t>indicate</w:t>
      </w:r>
      <w:r w:rsidR="00E62332">
        <w:t>s</w:t>
      </w:r>
      <w:r>
        <w:t xml:space="preserve"> that students may not always fully understand the </w:t>
      </w:r>
      <w:r w:rsidR="00D23622">
        <w:t xml:space="preserve">range of </w:t>
      </w:r>
      <w:r>
        <w:t xml:space="preserve">strategies used to provide feedback (i.e. the </w:t>
      </w:r>
      <w:r>
        <w:lastRenderedPageBreak/>
        <w:t xml:space="preserve">formative/summative dichotomy), and how </w:t>
      </w:r>
      <w:r w:rsidR="00DF2FAA">
        <w:t>assessment feedback</w:t>
      </w:r>
      <w:r>
        <w:t xml:space="preserve"> can be used to improve their academic performance (</w:t>
      </w:r>
      <w:r w:rsidR="00E62332">
        <w:t xml:space="preserve">e.g. </w:t>
      </w:r>
      <w:r>
        <w:t xml:space="preserve">Dealey and Bovill, 2017). </w:t>
      </w:r>
    </w:p>
    <w:p w14:paraId="447CED6A" w14:textId="0653F421" w:rsidR="00A4134A" w:rsidRDefault="00A4134A" w:rsidP="00360DE2">
      <w:pPr>
        <w:spacing w:after="240"/>
      </w:pPr>
      <w:r>
        <w:t xml:space="preserve">Clearly a starting point for enabling students to fully </w:t>
      </w:r>
      <w:r w:rsidR="00DF2FAA">
        <w:t>benefit</w:t>
      </w:r>
      <w:r>
        <w:t xml:space="preserve"> </w:t>
      </w:r>
      <w:r w:rsidR="005338AE">
        <w:t xml:space="preserve">from </w:t>
      </w:r>
      <w:r w:rsidR="00D23622">
        <w:t xml:space="preserve">any </w:t>
      </w:r>
      <w:r>
        <w:t xml:space="preserve">feedback provided would be to ensure they are appropriately briefed and understand key operational terminology. </w:t>
      </w:r>
      <w:r w:rsidR="00716FED">
        <w:t>Student u</w:t>
      </w:r>
      <w:r>
        <w:t>nderstanding</w:t>
      </w:r>
      <w:r w:rsidR="00716FED">
        <w:t xml:space="preserve"> of any grading terminology</w:t>
      </w:r>
      <w:r>
        <w:t xml:space="preserve"> should be </w:t>
      </w:r>
      <w:r w:rsidR="005823FD">
        <w:t>checked,</w:t>
      </w:r>
      <w:r>
        <w:t xml:space="preserve"> and key ideas reinforced where required. As demonstrated here, one should not assume students come into H</w:t>
      </w:r>
      <w:r w:rsidR="005D5FC8">
        <w:t xml:space="preserve">igher </w:t>
      </w:r>
      <w:r>
        <w:t>E</w:t>
      </w:r>
      <w:r w:rsidR="005D5FC8">
        <w:t>ducation</w:t>
      </w:r>
      <w:r>
        <w:t xml:space="preserve"> with a familiarity with the pedagogic </w:t>
      </w:r>
      <w:r w:rsidR="00716FED">
        <w:t xml:space="preserve">terminology </w:t>
      </w:r>
      <w:r>
        <w:t>often used by</w:t>
      </w:r>
      <w:r w:rsidR="00716FED">
        <w:t xml:space="preserve"> </w:t>
      </w:r>
      <w:r w:rsidR="005338AE">
        <w:t>tutors</w:t>
      </w:r>
      <w:r w:rsidR="001B7C41">
        <w:t xml:space="preserve"> in assessment briefs and rubrics</w:t>
      </w:r>
      <w:r>
        <w:t>. Connected to this was the perspective that summative feedback is of limited use, due to future assessments being ‘different’, limiting the</w:t>
      </w:r>
      <w:r w:rsidR="009E45C1">
        <w:t xml:space="preserve"> </w:t>
      </w:r>
      <w:r w:rsidR="009E45C1" w:rsidRPr="009E45C1">
        <w:rPr>
          <w:i/>
          <w:iCs/>
        </w:rPr>
        <w:t>perceived</w:t>
      </w:r>
      <w:r>
        <w:t xml:space="preserve"> relevance of any feedback provided. This is not strictly true, and </w:t>
      </w:r>
      <w:r w:rsidR="001B7C41">
        <w:t>Jackel et al., (2017: 8)</w:t>
      </w:r>
      <w:r>
        <w:t xml:space="preserve"> indicate that whilst there is a significant focus on the formative/summative dichotomy </w:t>
      </w:r>
      <w:r w:rsidRPr="000B6BE5">
        <w:t>“…all assessment is formative in some sense, while only some assessment is both formative and summative</w:t>
      </w:r>
      <w:r>
        <w:t>”</w:t>
      </w:r>
      <w:r w:rsidR="009E45C1">
        <w:t>.</w:t>
      </w:r>
      <w:r w:rsidR="004248BC">
        <w:t xml:space="preserve"> </w:t>
      </w:r>
      <w:r>
        <w:t>However, the findings highlight that summative feedback is not always valued and put to use (‘feedforward’) to help improve future performance.</w:t>
      </w:r>
    </w:p>
    <w:p w14:paraId="34320435" w14:textId="111E0F2D" w:rsidR="00A4134A" w:rsidRPr="00360DE2" w:rsidRDefault="00A4134A" w:rsidP="00360DE2">
      <w:pPr>
        <w:pStyle w:val="Heading2"/>
        <w:spacing w:after="240"/>
        <w:rPr>
          <w:b/>
          <w:bCs/>
          <w:sz w:val="24"/>
          <w:szCs w:val="24"/>
        </w:rPr>
      </w:pPr>
      <w:r w:rsidRPr="00360DE2">
        <w:rPr>
          <w:b/>
          <w:bCs/>
          <w:sz w:val="24"/>
          <w:szCs w:val="24"/>
        </w:rPr>
        <w:t xml:space="preserve">Rubrics </w:t>
      </w:r>
      <w:r w:rsidR="00560D56" w:rsidRPr="00360DE2">
        <w:rPr>
          <w:b/>
          <w:bCs/>
          <w:sz w:val="24"/>
          <w:szCs w:val="24"/>
        </w:rPr>
        <w:t>and marking matrices</w:t>
      </w:r>
    </w:p>
    <w:p w14:paraId="50A4480E" w14:textId="5DC94498" w:rsidR="00A4134A" w:rsidRDefault="00A4134A" w:rsidP="00360DE2">
      <w:pPr>
        <w:spacing w:after="240"/>
      </w:pPr>
      <w:r>
        <w:t>In the focus groups we questioned students about the use of rubrics</w:t>
      </w:r>
      <w:r w:rsidR="00C517E5">
        <w:t xml:space="preserve"> delivered via </w:t>
      </w:r>
      <w:r w:rsidR="05039D5E">
        <w:t>Turnitin</w:t>
      </w:r>
      <w:r>
        <w:t xml:space="preserve"> as a standard procedure for </w:t>
      </w:r>
      <w:r w:rsidR="007C44CE">
        <w:t xml:space="preserve">structuring </w:t>
      </w:r>
      <w:r>
        <w:t xml:space="preserve">feedback on assessed work. </w:t>
      </w:r>
      <w:r w:rsidR="006B2F23">
        <w:t>Our</w:t>
      </w:r>
      <w:r>
        <w:t xml:space="preserve"> analysis </w:t>
      </w:r>
      <w:r w:rsidR="006B2F23">
        <w:t>revealed</w:t>
      </w:r>
      <w:r>
        <w:t xml:space="preserve"> that students had mixed views on the use of </w:t>
      </w:r>
      <w:r w:rsidR="00635584">
        <w:t>rubrics,</w:t>
      </w:r>
      <w:r>
        <w:t xml:space="preserve"> and this tended to vary between course and the </w:t>
      </w:r>
      <w:r w:rsidR="002A172F">
        <w:t>detail</w:t>
      </w:r>
      <w:r>
        <w:t xml:space="preserve"> of information </w:t>
      </w:r>
      <w:r w:rsidR="002A172F">
        <w:t>provided on the</w:t>
      </w:r>
      <w:r>
        <w:t xml:space="preserve"> rubric:</w:t>
      </w:r>
    </w:p>
    <w:p w14:paraId="053F5E33" w14:textId="50A39FD5" w:rsidR="00A4134A" w:rsidRDefault="00A4134A" w:rsidP="00360DE2">
      <w:pPr>
        <w:pStyle w:val="Quote"/>
        <w:spacing w:after="240"/>
      </w:pPr>
      <w:r>
        <w:t xml:space="preserve">I feel integrated would be better, so don’t just do positives or negatives, or negatives/positives, just do like ‘you referenced well, however, you could have cited slightly better,’ something like that, so it gives… It just flows better and you can go, okay, I did this well, I could have done this better, instead of you did this, this, this, this, this, you need to do </w:t>
      </w:r>
      <w:r>
        <w:lastRenderedPageBreak/>
        <w:t xml:space="preserve">this, this, this, this, this. I think it would be more easy to understand I think </w:t>
      </w:r>
    </w:p>
    <w:p w14:paraId="3037885E" w14:textId="5D775DC1" w:rsidR="007A7F8C" w:rsidRDefault="007A7F8C" w:rsidP="00360DE2">
      <w:pPr>
        <w:spacing w:after="240"/>
      </w:pPr>
    </w:p>
    <w:p w14:paraId="4754ACA0" w14:textId="1A2B6DCA" w:rsidR="007A7F8C" w:rsidRPr="007A7F8C" w:rsidRDefault="007A7F8C" w:rsidP="00360DE2">
      <w:pPr>
        <w:pStyle w:val="Quote"/>
        <w:spacing w:after="240"/>
      </w:pPr>
      <w:r>
        <w:t xml:space="preserve">Yes, I think it’s too vague. </w:t>
      </w:r>
    </w:p>
    <w:p w14:paraId="6B0D74A2" w14:textId="77777777" w:rsidR="00A4134A" w:rsidRDefault="00A4134A" w:rsidP="00360DE2">
      <w:pPr>
        <w:spacing w:after="240"/>
      </w:pPr>
    </w:p>
    <w:p w14:paraId="7E406E33" w14:textId="46935F41" w:rsidR="00A4134A" w:rsidRDefault="00A4134A" w:rsidP="00360DE2">
      <w:pPr>
        <w:pStyle w:val="Quote"/>
        <w:spacing w:after="240"/>
      </w:pPr>
      <w:r>
        <w:t>I just don’t like them. They're just far too vague</w:t>
      </w:r>
    </w:p>
    <w:p w14:paraId="5AA65090" w14:textId="26083E4B" w:rsidR="00D371FC" w:rsidRDefault="00D371FC" w:rsidP="00360DE2">
      <w:pPr>
        <w:spacing w:after="240"/>
      </w:pPr>
      <w:r>
        <w:t>When presented with examples of</w:t>
      </w:r>
      <w:r w:rsidR="002A172F">
        <w:t xml:space="preserve"> </w:t>
      </w:r>
      <w:r w:rsidR="7D3516D6">
        <w:t>Turnitin</w:t>
      </w:r>
      <w:r>
        <w:t xml:space="preserve"> rubrics (a more holistic rubric vs. a </w:t>
      </w:r>
      <w:r w:rsidR="007C44CE">
        <w:t xml:space="preserve">more </w:t>
      </w:r>
      <w:r>
        <w:t>comprehensive analytical rubric) as an approach for structuring feedback, students disagreed on how to use these</w:t>
      </w:r>
      <w:r w:rsidR="0032740D">
        <w:t xml:space="preserve"> matrices</w:t>
      </w:r>
      <w:r>
        <w:t xml:space="preserve">. Some students </w:t>
      </w:r>
      <w:r w:rsidR="002A172F">
        <w:t>suggested</w:t>
      </w:r>
      <w:r>
        <w:t xml:space="preserve"> that </w:t>
      </w:r>
      <w:r w:rsidR="002A172F">
        <w:t xml:space="preserve">they found </w:t>
      </w:r>
      <w:r w:rsidR="007F3F6F">
        <w:t>the rubrics</w:t>
      </w:r>
      <w:r>
        <w:t xml:space="preserve"> useful </w:t>
      </w:r>
      <w:r w:rsidR="002A172F">
        <w:t>for</w:t>
      </w:r>
      <w:r>
        <w:t xml:space="preserve"> understand</w:t>
      </w:r>
      <w:r w:rsidR="002A172F">
        <w:t>ing the</w:t>
      </w:r>
      <w:r>
        <w:t xml:space="preserve"> grade</w:t>
      </w:r>
      <w:r w:rsidR="002A172F">
        <w:t xml:space="preserve"> awarded. O</w:t>
      </w:r>
      <w:r>
        <w:t>thers thought that grids were useful for helping them prepare their work.</w:t>
      </w:r>
      <w:r w:rsidR="007837A5">
        <w:t xml:space="preserve"> Critically, </w:t>
      </w:r>
      <w:r>
        <w:t>the language used in the rubric was an issue for some students:</w:t>
      </w:r>
    </w:p>
    <w:p w14:paraId="396D9BC0" w14:textId="3E5ACA4B" w:rsidR="00D371FC" w:rsidRDefault="00D371FC" w:rsidP="00360DE2">
      <w:pPr>
        <w:pStyle w:val="Quote"/>
        <w:spacing w:after="240"/>
      </w:pPr>
      <w:r>
        <w:t>I don’t think I’d like this. I think if I was given it, I’d probably just put it to the side, because I wouldn’t understand it well enough for it to be feedback. I need someone to write down what I’ve done wrong, and what needs to be improved, whereas this is just too vague. Some of them are just, ‘largely free of gross errors,’ it’s not relevant enough to what I’ve done, for me, anyway</w:t>
      </w:r>
      <w:r w:rsidR="2E37B4D2">
        <w:t>.</w:t>
      </w:r>
    </w:p>
    <w:p w14:paraId="6A0D6BFB" w14:textId="34D0C0AA" w:rsidR="00F0766E" w:rsidRDefault="00854522" w:rsidP="00360DE2">
      <w:pPr>
        <w:spacing w:after="240"/>
      </w:pPr>
      <w:r>
        <w:t>Rubrics have</w:t>
      </w:r>
      <w:r w:rsidR="007F3F6F">
        <w:t xml:space="preserve"> been the subject of extensive </w:t>
      </w:r>
      <w:r>
        <w:t xml:space="preserve">pedagogic </w:t>
      </w:r>
      <w:r w:rsidR="007F3F6F">
        <w:t xml:space="preserve">research, with </w:t>
      </w:r>
      <w:r>
        <w:t xml:space="preserve">several scholars </w:t>
      </w:r>
      <w:r w:rsidR="00F17009">
        <w:t xml:space="preserve">noting that they are </w:t>
      </w:r>
      <w:r>
        <w:t>an ‘efficient’ tool for marking (Moskal, 2000; Leydens and Santi, 2006; Brodie and Gibbings, 2009</w:t>
      </w:r>
      <w:r w:rsidR="006B2F23">
        <w:t xml:space="preserve">). </w:t>
      </w:r>
      <w:r>
        <w:t xml:space="preserve">Leyden and Santi (2006) evaluate the use of rubrics within a geoscientific context, highlighting that whilst rubric design is initially </w:t>
      </w:r>
      <w:r w:rsidR="000C246F">
        <w:t xml:space="preserve">a </w:t>
      </w:r>
      <w:r>
        <w:t>time-consuming task, rubrics often result in better student attainment (</w:t>
      </w:r>
      <w:r w:rsidR="00560D56">
        <w:t>i.e.</w:t>
      </w:r>
      <w:r>
        <w:t xml:space="preserve"> the quality of submitted student work is improved following rubric implementation). A further co-benefit is that student satisfaction in the marking and feedback process may be improved by </w:t>
      </w:r>
      <w:r>
        <w:lastRenderedPageBreak/>
        <w:t>using rubrics (Bell et al.</w:t>
      </w:r>
      <w:r w:rsidR="0002175D">
        <w:t>,</w:t>
      </w:r>
      <w:r>
        <w:t xml:space="preserve"> 2013; Jackel et al.</w:t>
      </w:r>
      <w:r w:rsidR="0002175D">
        <w:t>,</w:t>
      </w:r>
      <w:r>
        <w:t xml:space="preserve"> 2017). </w:t>
      </w:r>
      <w:r w:rsidR="006B2F23">
        <w:t>Despite these co-benefits</w:t>
      </w:r>
      <w:r>
        <w:t xml:space="preserve"> </w:t>
      </w:r>
      <w:r w:rsidR="006B2F23">
        <w:t>it is</w:t>
      </w:r>
      <w:r>
        <w:t xml:space="preserve"> interesting to note that student participants claimed </w:t>
      </w:r>
      <w:r w:rsidR="00A740C5">
        <w:t xml:space="preserve">the </w:t>
      </w:r>
      <w:r>
        <w:t xml:space="preserve">rubrics </w:t>
      </w:r>
      <w:r w:rsidR="00A740C5">
        <w:t>they viewed were</w:t>
      </w:r>
      <w:r>
        <w:t xml:space="preserve"> </w:t>
      </w:r>
      <w:r w:rsidR="00A740C5">
        <w:t>‘</w:t>
      </w:r>
      <w:r>
        <w:t>too vague</w:t>
      </w:r>
      <w:r w:rsidR="00A740C5">
        <w:t>’</w:t>
      </w:r>
      <w:r>
        <w:t xml:space="preserve"> and </w:t>
      </w:r>
      <w:r w:rsidR="00A740C5">
        <w:t>‘</w:t>
      </w:r>
      <w:r>
        <w:t>d</w:t>
      </w:r>
      <w:r w:rsidR="00A740C5">
        <w:t>id</w:t>
      </w:r>
      <w:r>
        <w:t xml:space="preserve"> not provide useful information</w:t>
      </w:r>
      <w:r w:rsidR="00A740C5">
        <w:t>’</w:t>
      </w:r>
      <w:r>
        <w:t>. Clearly a primary function of feedback is to enhance student performance, however, Bailey and Garner (2010) question the language that educators use when providing feedback in H</w:t>
      </w:r>
      <w:r w:rsidR="006B2F23">
        <w:t>igher Education</w:t>
      </w:r>
      <w:r>
        <w:t xml:space="preserve">, </w:t>
      </w:r>
      <w:r w:rsidR="006B2F23">
        <w:t>highlighting</w:t>
      </w:r>
      <w:r>
        <w:t xml:space="preserve"> that it </w:t>
      </w:r>
      <w:r w:rsidR="006B2F23">
        <w:t xml:space="preserve">can be </w:t>
      </w:r>
      <w:r>
        <w:t>poorly understood by learners and indeed this is also the case for rubrics</w:t>
      </w:r>
      <w:r w:rsidR="002A172F">
        <w:t xml:space="preserve">. </w:t>
      </w:r>
      <w:r>
        <w:t>Interestingly, these authors highlight</w:t>
      </w:r>
      <w:r w:rsidR="000B76CD">
        <w:t xml:space="preserve"> that</w:t>
      </w:r>
      <w:r>
        <w:t xml:space="preserve"> there needs to be an ‘intellectual readiness’ if a student is to understand the feedback they are given</w:t>
      </w:r>
      <w:r w:rsidR="00156BED" w:rsidRPr="00156BED">
        <w:t xml:space="preserve"> </w:t>
      </w:r>
      <w:r w:rsidR="00156BED">
        <w:t>(Bailey and Garner, 2010)</w:t>
      </w:r>
      <w:r>
        <w:t>. The significance of this is that individual learners appear to need their feedback to be tailored to them</w:t>
      </w:r>
      <w:r w:rsidR="000B76CD">
        <w:t xml:space="preserve"> (‘personalised’)</w:t>
      </w:r>
      <w:r>
        <w:t>, and the language used within rubrics may represent a barrier</w:t>
      </w:r>
      <w:r w:rsidR="00A366F8">
        <w:t xml:space="preserve"> to</w:t>
      </w:r>
      <w:r>
        <w:t>, instead of opportunity for</w:t>
      </w:r>
      <w:r w:rsidR="00A366F8">
        <w:t xml:space="preserve"> </w:t>
      </w:r>
      <w:r>
        <w:t>aiding student progression (Reddy and Andrade, 2007)</w:t>
      </w:r>
      <w:r w:rsidR="00A366F8">
        <w:t>. S</w:t>
      </w:r>
      <w:r>
        <w:t>tudents may be unaware of how to interpret a given criteria (Orsmond and Merry, 1996)</w:t>
      </w:r>
      <w:r w:rsidR="00A366F8">
        <w:t xml:space="preserve"> and t</w:t>
      </w:r>
      <w:r w:rsidR="002A172F">
        <w:t>his is reflected in the responses provided by the participants of the focus groups.</w:t>
      </w:r>
    </w:p>
    <w:p w14:paraId="0F3745E0" w14:textId="0DBC7637" w:rsidR="00F0766E" w:rsidRDefault="00854522" w:rsidP="00360DE2">
      <w:pPr>
        <w:spacing w:after="240"/>
      </w:pPr>
      <w:r>
        <w:t>It is clearly worth considering the language used by practitioners</w:t>
      </w:r>
      <w:r w:rsidR="002A172F">
        <w:t>. I</w:t>
      </w:r>
      <w:r>
        <w:t xml:space="preserve">n Gedye’s (2010) review of formative assessment, poor comprehension of feedback language was noted. Indeed, other </w:t>
      </w:r>
      <w:r w:rsidR="00A366F8">
        <w:t xml:space="preserve">authors </w:t>
      </w:r>
      <w:r>
        <w:t>(</w:t>
      </w:r>
      <w:r w:rsidR="00FC449F">
        <w:t xml:space="preserve">e.g. </w:t>
      </w:r>
      <w:r>
        <w:t>Dowden et al., 2013; Jonsson, 2013) also comment on the language used, highlighting that it is indeed one barrier that limits student learning, and compromises the assessment feedback process. Here we support these ideas and endorse an approach where practitioners review (i.e. check student understanding</w:t>
      </w:r>
      <w:r w:rsidR="0001139A">
        <w:t xml:space="preserve"> of</w:t>
      </w:r>
      <w:r>
        <w:t>) the rubric assessment criteria, and gauge understanding of an assessment criteri</w:t>
      </w:r>
      <w:r w:rsidR="002A172F">
        <w:t xml:space="preserve">a </w:t>
      </w:r>
      <w:r>
        <w:t xml:space="preserve">with each cohort. </w:t>
      </w:r>
      <w:r w:rsidR="002A172F">
        <w:t>Critically, here</w:t>
      </w:r>
      <w:r w:rsidR="00F0766E">
        <w:t xml:space="preserve"> some students argued that rubrics can help them understand the grade awarded and provide</w:t>
      </w:r>
      <w:r w:rsidR="00D1301D">
        <w:t xml:space="preserve"> them</w:t>
      </w:r>
      <w:r w:rsidR="00F0766E">
        <w:t xml:space="preserve"> complementary feedback on an assessment. This demonstrates how rubrics can play a role in assessment ‘transparency’ – a concept promoted in</w:t>
      </w:r>
      <w:r w:rsidR="008A4123">
        <w:t xml:space="preserve"> the</w:t>
      </w:r>
      <w:r w:rsidR="00F0766E">
        <w:t xml:space="preserve"> </w:t>
      </w:r>
      <w:r w:rsidR="008A4123">
        <w:t>Advance H</w:t>
      </w:r>
      <w:r w:rsidR="4243B4AF">
        <w:t xml:space="preserve">igher </w:t>
      </w:r>
      <w:r w:rsidR="008A4123">
        <w:t>E</w:t>
      </w:r>
      <w:r w:rsidR="30815349">
        <w:t>ducation</w:t>
      </w:r>
      <w:r w:rsidR="008A4123">
        <w:t xml:space="preserve"> (formerly the Higher Education Academy) </w:t>
      </w:r>
      <w:r w:rsidR="00F0766E">
        <w:t xml:space="preserve">(2017) review of assessment and feedback. </w:t>
      </w:r>
      <w:r w:rsidR="00E8004F">
        <w:t xml:space="preserve">However, </w:t>
      </w:r>
      <w:r w:rsidR="00880608">
        <w:t>there are concerns</w:t>
      </w:r>
      <w:r w:rsidR="00F0766E">
        <w:t xml:space="preserve"> exceptionally detailed </w:t>
      </w:r>
      <w:r w:rsidR="00F0766E">
        <w:lastRenderedPageBreak/>
        <w:t>assessment criteria can be overly prescriptive, and even promote surface approaches to learning (Biggs, 1996; Worth, 2012).</w:t>
      </w:r>
    </w:p>
    <w:p w14:paraId="39E494E7" w14:textId="605B312C" w:rsidR="00560D56" w:rsidRPr="00360DE2" w:rsidRDefault="00880608" w:rsidP="00360DE2">
      <w:pPr>
        <w:pStyle w:val="Heading2"/>
        <w:spacing w:after="240"/>
        <w:rPr>
          <w:b/>
          <w:bCs/>
        </w:rPr>
      </w:pPr>
      <w:r w:rsidRPr="00360DE2">
        <w:rPr>
          <w:b/>
          <w:bCs/>
        </w:rPr>
        <w:t>Affective response to feedback</w:t>
      </w:r>
    </w:p>
    <w:p w14:paraId="17675EF7" w14:textId="73D1F6AA" w:rsidR="00D371FC" w:rsidRDefault="001A612E" w:rsidP="00360DE2">
      <w:pPr>
        <w:spacing w:after="240"/>
      </w:pPr>
      <w:r>
        <w:t>The</w:t>
      </w:r>
      <w:r w:rsidR="00D371FC">
        <w:t xml:space="preserve"> reception of feedback differs between students. Some students appreciate the honesty and directness of </w:t>
      </w:r>
      <w:r w:rsidR="002A172F">
        <w:t>assessment</w:t>
      </w:r>
      <w:r w:rsidR="00D371FC">
        <w:t xml:space="preserve"> feedback and find negative comments useful. However, for others, feedback needs to include both </w:t>
      </w:r>
      <w:r w:rsidR="00681F5A">
        <w:t xml:space="preserve">praise </w:t>
      </w:r>
      <w:r w:rsidR="00D371FC">
        <w:t xml:space="preserve">and </w:t>
      </w:r>
      <w:r w:rsidR="00681F5A">
        <w:t>criticism</w:t>
      </w:r>
      <w:r w:rsidR="00D371FC">
        <w:t xml:space="preserve">. One interesting finding was that students </w:t>
      </w:r>
      <w:r w:rsidR="002A172F">
        <w:t>value a sense of</w:t>
      </w:r>
      <w:r w:rsidR="00D371FC">
        <w:t xml:space="preserve"> progression</w:t>
      </w:r>
      <w:r w:rsidR="00681F5A">
        <w:t>. S</w:t>
      </w:r>
      <w:r w:rsidR="00D371FC">
        <w:t xml:space="preserve">tudents like when a lecturer identify that improvements have been made from previous assessments. </w:t>
      </w:r>
    </w:p>
    <w:p w14:paraId="73B2DA22" w14:textId="11F24002" w:rsidR="00D371FC" w:rsidRDefault="00D371FC" w:rsidP="00360DE2">
      <w:pPr>
        <w:pStyle w:val="Quote"/>
        <w:spacing w:after="240"/>
      </w:pPr>
      <w:r>
        <w:t>I’d rather have that criticism and then know what I’ve got to do next time</w:t>
      </w:r>
    </w:p>
    <w:p w14:paraId="2F67313B" w14:textId="77777777" w:rsidR="00D371FC" w:rsidRDefault="00D371FC" w:rsidP="00360DE2">
      <w:pPr>
        <w:pStyle w:val="Quote"/>
        <w:spacing w:after="240"/>
      </w:pPr>
      <w:r>
        <w:t xml:space="preserve"> </w:t>
      </w:r>
    </w:p>
    <w:p w14:paraId="24D8670C" w14:textId="5B2FDB27" w:rsidR="00D371FC" w:rsidRDefault="00D371FC" w:rsidP="00360DE2">
      <w:pPr>
        <w:pStyle w:val="Quote"/>
        <w:spacing w:after="240"/>
      </w:pPr>
      <w:r>
        <w:t xml:space="preserve">I think I’d appreciate the honesty </w:t>
      </w:r>
    </w:p>
    <w:p w14:paraId="1CF5FD32" w14:textId="77777777" w:rsidR="00D371FC" w:rsidRDefault="00D371FC" w:rsidP="00360DE2">
      <w:pPr>
        <w:pStyle w:val="Quote"/>
        <w:spacing w:after="240"/>
      </w:pPr>
      <w:r>
        <w:t xml:space="preserve"> </w:t>
      </w:r>
    </w:p>
    <w:p w14:paraId="23FF25BB" w14:textId="6BF96F4D" w:rsidR="00D371FC" w:rsidRDefault="00D371FC" w:rsidP="00360DE2">
      <w:pPr>
        <w:pStyle w:val="Quote"/>
        <w:spacing w:after="240"/>
      </w:pPr>
      <w:r>
        <w:t>Actually, prefer it, because I like to know what I need to change. Say if I'm going on completely the wrong track and then someone tells me ‘You need to do it this way instead’, then I'm more confident then, going forward to do the rest of it I think</w:t>
      </w:r>
    </w:p>
    <w:p w14:paraId="0E57441D" w14:textId="77777777" w:rsidR="00D371FC" w:rsidRDefault="00D371FC" w:rsidP="00360DE2">
      <w:pPr>
        <w:spacing w:after="240"/>
      </w:pPr>
      <w:r>
        <w:t xml:space="preserve"> </w:t>
      </w:r>
    </w:p>
    <w:p w14:paraId="64433ED0" w14:textId="5F472998" w:rsidR="00D371FC" w:rsidRDefault="00D371FC" w:rsidP="00360DE2">
      <w:pPr>
        <w:pStyle w:val="Quote"/>
        <w:spacing w:after="240"/>
      </w:pPr>
      <w:r>
        <w:t>I would rather someone be really mean to me and say everything that I’ve done wrong than try and be nice about it. If I’ve got a bad mark, I’ve got a bad mark, you don’t have to put it in a nice way, just tell me how to improve</w:t>
      </w:r>
      <w:r w:rsidR="00880608">
        <w:t>.</w:t>
      </w:r>
    </w:p>
    <w:p w14:paraId="06658560" w14:textId="6C0F25E2" w:rsidR="000053DD" w:rsidRDefault="000053DD" w:rsidP="00360DE2">
      <w:pPr>
        <w:spacing w:after="240"/>
      </w:pPr>
      <w:r>
        <w:t>First year students expressed a preference for positive feedback to encourage</w:t>
      </w:r>
      <w:r w:rsidR="00430590">
        <w:t xml:space="preserve"> them</w:t>
      </w:r>
      <w:r w:rsidR="00E4732E">
        <w:t>,</w:t>
      </w:r>
      <w:r w:rsidR="00430590">
        <w:t xml:space="preserve"> </w:t>
      </w:r>
      <w:r>
        <w:t>find</w:t>
      </w:r>
      <w:r w:rsidR="00430590">
        <w:t>ing</w:t>
      </w:r>
      <w:r>
        <w:t xml:space="preserve"> negative </w:t>
      </w:r>
      <w:r w:rsidR="00430590">
        <w:t>comments</w:t>
      </w:r>
      <w:r>
        <w:t xml:space="preserve"> discouraging</w:t>
      </w:r>
      <w:r w:rsidR="00430590">
        <w:t>.</w:t>
      </w:r>
      <w:r>
        <w:t xml:space="preserve"> </w:t>
      </w:r>
      <w:r w:rsidR="00430590">
        <w:t>Conve</w:t>
      </w:r>
      <w:r w:rsidR="008A4123">
        <w:t>rse</w:t>
      </w:r>
      <w:r w:rsidR="00430590">
        <w:t xml:space="preserve">ly, </w:t>
      </w:r>
      <w:r>
        <w:t xml:space="preserve">some </w:t>
      </w:r>
      <w:r w:rsidR="002F2662">
        <w:t xml:space="preserve">participants </w:t>
      </w:r>
      <w:r w:rsidR="002F2662">
        <w:lastRenderedPageBreak/>
        <w:t xml:space="preserve">highlighted </w:t>
      </w:r>
      <w:r>
        <w:t>that negative feedback should be seen as constructive and is important for</w:t>
      </w:r>
      <w:r w:rsidR="002F2662">
        <w:t xml:space="preserve"> helping them improve their attainment</w:t>
      </w:r>
      <w:r>
        <w:t>. Similarly, Weaver (2006) investigated perceptions of feedback</w:t>
      </w:r>
      <w:r w:rsidR="006C15DB">
        <w:t>, and report</w:t>
      </w:r>
      <w:r>
        <w:t xml:space="preserve"> that negative comments were highlighted by </w:t>
      </w:r>
      <w:r w:rsidR="3B973035">
        <w:t xml:space="preserve">certain </w:t>
      </w:r>
      <w:r>
        <w:t xml:space="preserve">participants as unhelpful. Weaver (2006) </w:t>
      </w:r>
      <w:r w:rsidR="005F668A">
        <w:t xml:space="preserve">therefore </w:t>
      </w:r>
      <w:r>
        <w:t xml:space="preserve">argued for a balance between positive and negative comments. </w:t>
      </w:r>
      <w:r w:rsidR="005F668A">
        <w:t>W</w:t>
      </w:r>
      <w:r>
        <w:t>e support the view that the language used is important to consider, and</w:t>
      </w:r>
      <w:r w:rsidR="006C15DB">
        <w:t xml:space="preserve"> </w:t>
      </w:r>
      <w:r>
        <w:t xml:space="preserve">will impact how satisfied a student feels about assessment and feedback procedure. </w:t>
      </w:r>
    </w:p>
    <w:p w14:paraId="22AEBCFD" w14:textId="3A657781" w:rsidR="00D371FC" w:rsidRDefault="00D371FC" w:rsidP="00360DE2">
      <w:pPr>
        <w:spacing w:after="240"/>
      </w:pPr>
      <w:r>
        <w:t>The findings reveal</w:t>
      </w:r>
      <w:r w:rsidR="00430590">
        <w:t>ed</w:t>
      </w:r>
      <w:r>
        <w:t xml:space="preserve"> that how students deal with feedback appears to</w:t>
      </w:r>
      <w:r w:rsidR="007E52BE">
        <w:t xml:space="preserve"> vary</w:t>
      </w:r>
      <w:r>
        <w:t xml:space="preserve"> in association</w:t>
      </w:r>
      <w:r w:rsidR="00E4732E">
        <w:t xml:space="preserve"> with the</w:t>
      </w:r>
      <w:r>
        <w:t xml:space="preserve"> tutor</w:t>
      </w:r>
      <w:r w:rsidR="00430590">
        <w:t xml:space="preserve"> providing the feedback</w:t>
      </w:r>
      <w:r>
        <w:t>. For example, some students suggest they are more likely to address feedback from lecturers they ‘like’ because they argued that the tutor would be more willing to help.</w:t>
      </w:r>
      <w:r w:rsidR="00655996">
        <w:t xml:space="preserve">  </w:t>
      </w:r>
    </w:p>
    <w:p w14:paraId="2494F920" w14:textId="6C7E5975" w:rsidR="00D371FC" w:rsidRDefault="00D371FC" w:rsidP="00360DE2">
      <w:pPr>
        <w:pStyle w:val="Quote"/>
        <w:spacing w:after="240"/>
      </w:pPr>
      <w:r>
        <w:t>I think it also depends on the lecturer it’s coming from</w:t>
      </w:r>
      <w:r w:rsidR="000053DD">
        <w:t>.</w:t>
      </w:r>
    </w:p>
    <w:p w14:paraId="0226087C" w14:textId="77777777" w:rsidR="00D371FC" w:rsidRDefault="00D371FC" w:rsidP="00360DE2">
      <w:pPr>
        <w:spacing w:after="240"/>
      </w:pPr>
      <w:r>
        <w:t xml:space="preserve"> </w:t>
      </w:r>
    </w:p>
    <w:p w14:paraId="082037F2" w14:textId="463ACEF2" w:rsidR="00D371FC" w:rsidRDefault="00D371FC" w:rsidP="00360DE2">
      <w:pPr>
        <w:pStyle w:val="Quote"/>
        <w:spacing w:after="240"/>
      </w:pPr>
      <w:r>
        <w:t>I think if you’ve got a good relationship with a lecturer, I feel like they are going to help you more because they want you to do well, whereas if you have a bad relationship and then you receive bad marks off them, you are like, I’m not going to listen to your feedback because I don’t know why you’ve given me such harsh marks</w:t>
      </w:r>
      <w:r w:rsidR="000053DD">
        <w:t>.</w:t>
      </w:r>
    </w:p>
    <w:p w14:paraId="570EE98D" w14:textId="77777777" w:rsidR="00D371FC" w:rsidRDefault="00D371FC" w:rsidP="00360DE2">
      <w:pPr>
        <w:pStyle w:val="Quote"/>
        <w:spacing w:after="240"/>
      </w:pPr>
      <w:r>
        <w:t xml:space="preserve"> </w:t>
      </w:r>
    </w:p>
    <w:p w14:paraId="0231250F" w14:textId="25A2001F" w:rsidR="00D371FC" w:rsidRDefault="00D371FC" w:rsidP="00360DE2">
      <w:pPr>
        <w:pStyle w:val="Quote"/>
        <w:spacing w:after="240"/>
      </w:pPr>
      <w:r>
        <w:t xml:space="preserve">And if you have a good relationship you could email. You can if you don’t have a good relationship but when you’ve got a good relationship you are more likely to say, “Oh hi, please can I meet up with you so we can discuss this?” </w:t>
      </w:r>
    </w:p>
    <w:p w14:paraId="414F2558" w14:textId="6B5A5727" w:rsidR="00D371FC" w:rsidRDefault="00D371FC" w:rsidP="00360DE2">
      <w:pPr>
        <w:spacing w:after="240"/>
      </w:pPr>
      <w:r>
        <w:t xml:space="preserve">Students were sensitive to the language used in the feedback suggesting that for them feedback </w:t>
      </w:r>
      <w:r w:rsidR="00F93AE0">
        <w:t xml:space="preserve">was </w:t>
      </w:r>
      <w:r>
        <w:t>more useful when it is constructive and balanced.</w:t>
      </w:r>
    </w:p>
    <w:p w14:paraId="14587ABC" w14:textId="2E915973" w:rsidR="00D371FC" w:rsidRDefault="00D371FC" w:rsidP="00360DE2">
      <w:pPr>
        <w:pStyle w:val="Quote"/>
        <w:spacing w:after="240"/>
      </w:pPr>
      <w:r>
        <w:lastRenderedPageBreak/>
        <w:t xml:space="preserve">I think I’m quite sensitive, so I’d probably take that quite badly. If it was all negative, I would probably think, ‘Oh, I didn’t do anything right, at all.’ </w:t>
      </w:r>
    </w:p>
    <w:p w14:paraId="11143DFA" w14:textId="7C147CC1" w:rsidR="00D371FC" w:rsidRDefault="00A4134A" w:rsidP="00360DE2">
      <w:pPr>
        <w:spacing w:after="240"/>
      </w:pPr>
      <w:r>
        <w:t xml:space="preserve">Carless and Boud (2018) indicate that students often have an emotional response to feedback and therefore their likelihood to act on such feedback may, in part be moderated by the students’ </w:t>
      </w:r>
      <w:r w:rsidR="007F02A6">
        <w:t>perception of</w:t>
      </w:r>
      <w:r>
        <w:t xml:space="preserve"> the tutor providing the feedback. This study provides further evidence that affective response of students to feedback plays an important role </w:t>
      </w:r>
      <w:r w:rsidR="00E4732E">
        <w:t xml:space="preserve">in </w:t>
      </w:r>
      <w:r>
        <w:t xml:space="preserve">the </w:t>
      </w:r>
      <w:r w:rsidR="00E4732E">
        <w:t xml:space="preserve">reception </w:t>
      </w:r>
      <w:r>
        <w:t>and effectiveness of the feedback. Sutton (2012), for example, emphasis</w:t>
      </w:r>
      <w:r w:rsidR="00E4732E">
        <w:t xml:space="preserve">e </w:t>
      </w:r>
      <w:r>
        <w:t xml:space="preserve">that students respond positively to feedback when they feel the tutor </w:t>
      </w:r>
      <w:r w:rsidR="00560D56">
        <w:t>is invested in</w:t>
      </w:r>
      <w:r>
        <w:t>: (i) the subject matter being taught</w:t>
      </w:r>
      <w:r w:rsidR="00E81430">
        <w:t>;</w:t>
      </w:r>
      <w:r>
        <w:t xml:space="preserve"> </w:t>
      </w:r>
      <w:r w:rsidR="00E81430">
        <w:t xml:space="preserve">and </w:t>
      </w:r>
      <w:r>
        <w:t>(ii) helping</w:t>
      </w:r>
      <w:r w:rsidR="00560D56">
        <w:t xml:space="preserve"> them </w:t>
      </w:r>
      <w:r>
        <w:t>improve the quality of the</w:t>
      </w:r>
      <w:r w:rsidR="00560D56">
        <w:t xml:space="preserve">ir </w:t>
      </w:r>
      <w:r>
        <w:t>work</w:t>
      </w:r>
      <w:r w:rsidR="00560D56">
        <w:t xml:space="preserve"> and their professional development.</w:t>
      </w:r>
      <w:r>
        <w:t xml:space="preserve"> It has been highlighted previously that the emotional ‘readiness’ of the learner to benefit from feedback is an important dimension to the feedback process and can strongly influence how students perceive the feedback they receive, thus </w:t>
      </w:r>
      <w:r w:rsidR="00E4732E">
        <w:t xml:space="preserve">their </w:t>
      </w:r>
      <w:r>
        <w:t>satisfaction in the assessment process (Dowden et al., 2013).</w:t>
      </w:r>
    </w:p>
    <w:p w14:paraId="509A4C2D" w14:textId="1B8A072F" w:rsidR="00D371FC" w:rsidRPr="00360DE2" w:rsidRDefault="00D371FC" w:rsidP="00360DE2">
      <w:pPr>
        <w:pStyle w:val="Heading1"/>
        <w:spacing w:after="240"/>
        <w:rPr>
          <w:b/>
          <w:bCs/>
        </w:rPr>
      </w:pPr>
      <w:r w:rsidRPr="00360DE2">
        <w:rPr>
          <w:b/>
          <w:bCs/>
        </w:rPr>
        <w:t>Summary and considerations</w:t>
      </w:r>
    </w:p>
    <w:p w14:paraId="5569E682" w14:textId="3902EC07" w:rsidR="002D1157" w:rsidRDefault="00D371FC" w:rsidP="00360DE2">
      <w:pPr>
        <w:spacing w:after="240"/>
      </w:pPr>
      <w:r>
        <w:t xml:space="preserve">In this study we reported on perceptions and expectations of feedback from undergraduate students within the </w:t>
      </w:r>
      <w:r w:rsidR="0FFE59B7">
        <w:t>g</w:t>
      </w:r>
      <w:r>
        <w:t xml:space="preserve">eography subject area, capturing </w:t>
      </w:r>
      <w:r w:rsidR="003707E2">
        <w:t>the experiences of</w:t>
      </w:r>
      <w:r>
        <w:t xml:space="preserve"> 47 students. The work highlights that student preferences, understanding, and ability to act on feedback is related to a range of issues, including: (i) poor understanding of terminology used by practitioners; (ii) the format</w:t>
      </w:r>
      <w:r w:rsidR="003707E2">
        <w:t xml:space="preserve"> in</w:t>
      </w:r>
      <w:r>
        <w:t xml:space="preserve"> which the feedback is provided; and (i</w:t>
      </w:r>
      <w:r w:rsidR="00B67D11">
        <w:t>ii</w:t>
      </w:r>
      <w:r>
        <w:t>) the tone of the feedback provided. Whilst many of the issues expressed by students are not new (cf. Carless, 2006), they appear to persist in Higher Education. Our findings</w:t>
      </w:r>
      <w:r w:rsidR="41FDC699">
        <w:t xml:space="preserve"> can be</w:t>
      </w:r>
      <w:r w:rsidR="00FC449F">
        <w:t xml:space="preserve"> </w:t>
      </w:r>
      <w:r w:rsidR="003707E2">
        <w:t xml:space="preserve">summarised </w:t>
      </w:r>
      <w:r w:rsidR="002D1157">
        <w:t>as follows:</w:t>
      </w:r>
    </w:p>
    <w:p w14:paraId="16F4B084" w14:textId="4025A262" w:rsidR="002D1157" w:rsidRDefault="002D1157" w:rsidP="00EE25E2">
      <w:pPr>
        <w:pStyle w:val="ListParagraph"/>
        <w:numPr>
          <w:ilvl w:val="0"/>
          <w:numId w:val="2"/>
        </w:numPr>
        <w:spacing w:after="240"/>
      </w:pPr>
      <w:r w:rsidRPr="0035583C">
        <w:rPr>
          <w:i/>
        </w:rPr>
        <w:t>Negative feedback will not always be noted and acted on by our students</w:t>
      </w:r>
      <w:r>
        <w:t>. There is a need to consider the tone of any feedback to ensure it has the intended outcomes.</w:t>
      </w:r>
    </w:p>
    <w:p w14:paraId="2FC49FDA" w14:textId="73F18F95" w:rsidR="002D1157" w:rsidRDefault="002D1157" w:rsidP="00360DE2">
      <w:pPr>
        <w:pStyle w:val="ListParagraph"/>
        <w:numPr>
          <w:ilvl w:val="0"/>
          <w:numId w:val="2"/>
        </w:numPr>
        <w:spacing w:after="240"/>
      </w:pPr>
      <w:r w:rsidRPr="0035583C">
        <w:rPr>
          <w:i/>
        </w:rPr>
        <w:lastRenderedPageBreak/>
        <w:t>Students do not always see the value in reviewing their summative feedback</w:t>
      </w:r>
      <w:r>
        <w:t>. There is a need to highlight the value in engaging with feedback linked to summative tasks</w:t>
      </w:r>
      <w:r w:rsidR="00E578DC">
        <w:t xml:space="preserve"> to promote student agency and independence. </w:t>
      </w:r>
    </w:p>
    <w:p w14:paraId="27B17B62" w14:textId="7A7B59D9" w:rsidR="002D1157" w:rsidRDefault="003B1C7F" w:rsidP="00360DE2">
      <w:pPr>
        <w:pStyle w:val="ListParagraph"/>
        <w:numPr>
          <w:ilvl w:val="0"/>
          <w:numId w:val="2"/>
        </w:numPr>
        <w:spacing w:after="240"/>
      </w:pPr>
      <w:r w:rsidRPr="00360DE2">
        <w:rPr>
          <w:i/>
        </w:rPr>
        <w:t>The tone of our l</w:t>
      </w:r>
      <w:r w:rsidR="002D1157" w:rsidRPr="00360DE2">
        <w:rPr>
          <w:i/>
        </w:rPr>
        <w:t>anguage is important</w:t>
      </w:r>
      <w:r w:rsidRPr="00360DE2">
        <w:rPr>
          <w:i/>
        </w:rPr>
        <w:t xml:space="preserve">. </w:t>
      </w:r>
      <w:r w:rsidR="002D1157" w:rsidRPr="00360DE2">
        <w:rPr>
          <w:i/>
        </w:rPr>
        <w:t>Students cannot</w:t>
      </w:r>
      <w:r w:rsidR="008A6005" w:rsidRPr="00360DE2">
        <w:rPr>
          <w:i/>
        </w:rPr>
        <w:t xml:space="preserve"> always</w:t>
      </w:r>
      <w:r w:rsidR="002D1157" w:rsidRPr="00360DE2">
        <w:rPr>
          <w:i/>
        </w:rPr>
        <w:t xml:space="preserve"> understand what is required of them.</w:t>
      </w:r>
      <w:r w:rsidR="002D1157">
        <w:t xml:space="preserve"> There is a need to take care when designing </w:t>
      </w:r>
      <w:r w:rsidR="008A6005">
        <w:t>rubrics,</w:t>
      </w:r>
      <w:r w:rsidR="002D1157">
        <w:t xml:space="preserve"> so they are understandable and useful</w:t>
      </w:r>
      <w:r>
        <w:t xml:space="preserve"> to our students</w:t>
      </w:r>
      <w:r w:rsidR="00EE3574">
        <w:t xml:space="preserve"> both before and after the completion of any given assessment</w:t>
      </w:r>
      <w:r>
        <w:t>.</w:t>
      </w:r>
    </w:p>
    <w:p w14:paraId="6F43D6AB" w14:textId="6C8BF796" w:rsidR="00943452" w:rsidRDefault="003B1C7F" w:rsidP="00360DE2">
      <w:pPr>
        <w:spacing w:after="240"/>
      </w:pPr>
      <w:r>
        <w:t>In summary, t</w:t>
      </w:r>
      <w:r w:rsidR="002D1157">
        <w:t xml:space="preserve">hese findings </w:t>
      </w:r>
      <w:r w:rsidR="00D371FC">
        <w:t xml:space="preserve">illustrate that the students surveyed value a diverse range of feedback approaches, and the preference of any feedback approach varies at the individual level. Often </w:t>
      </w:r>
      <w:r w:rsidR="51548F98">
        <w:t>g</w:t>
      </w:r>
      <w:r w:rsidR="00D371FC">
        <w:t>eography programmes within Higher Education are assessed using a diverse range of assessment tools, thus, we argue that one might expect feedback to reflect this. A ‘one-size fits all’ approach may not always encourage students to engage with the feedback provided or move towards becoming independent learners. This may be especially the case with our discipline</w:t>
      </w:r>
      <w:r w:rsidR="00DC7728">
        <w:t xml:space="preserve">, </w:t>
      </w:r>
      <w:r w:rsidR="00D371FC">
        <w:t>where within ‘</w:t>
      </w:r>
      <w:r w:rsidR="035E3071">
        <w:t>g</w:t>
      </w:r>
      <w:r w:rsidR="00D371FC">
        <w:t>eography’ a broad range of subject specific pedagogies exist within the respective sub-disciplines aligned to the humanities, social</w:t>
      </w:r>
      <w:r w:rsidR="4AC47ABC">
        <w:t>,</w:t>
      </w:r>
      <w:r w:rsidR="00D371FC">
        <w:t xml:space="preserve"> </w:t>
      </w:r>
      <w:r w:rsidR="2F013A16">
        <w:t xml:space="preserve">and </w:t>
      </w:r>
      <w:r w:rsidR="00D371FC">
        <w:t>natural sciences. As a</w:t>
      </w:r>
      <w:r w:rsidR="002D64E6">
        <w:t xml:space="preserve">n additional </w:t>
      </w:r>
      <w:r w:rsidR="00D371FC">
        <w:t xml:space="preserve">outcome of this study, we bring attention to the need to </w:t>
      </w:r>
      <w:r w:rsidR="21503932">
        <w:t>engage students more actively</w:t>
      </w:r>
      <w:r w:rsidR="00D371FC">
        <w:t xml:space="preserve"> in the assessment process to promote assessment literacy. By providing students a clearer idea of standards, expectations</w:t>
      </w:r>
      <w:r w:rsidR="0062555F">
        <w:t xml:space="preserve">, </w:t>
      </w:r>
      <w:r w:rsidR="00D371FC">
        <w:t>and assessment procedure</w:t>
      </w:r>
      <w:r w:rsidR="0062555F">
        <w:t>s</w:t>
      </w:r>
      <w:r w:rsidR="00D371FC">
        <w:t>, practitioners may be able to enhance educational attainment</w:t>
      </w:r>
      <w:r w:rsidR="0062555F">
        <w:t>.</w:t>
      </w:r>
    </w:p>
    <w:p w14:paraId="0A8328EC" w14:textId="0032C57F" w:rsidR="00F5642E" w:rsidRPr="00360DE2" w:rsidRDefault="00D371FC" w:rsidP="00360DE2">
      <w:pPr>
        <w:pStyle w:val="Heading1"/>
        <w:spacing w:after="240"/>
        <w:rPr>
          <w:b/>
          <w:bCs/>
        </w:rPr>
      </w:pPr>
      <w:r w:rsidRPr="00360DE2">
        <w:rPr>
          <w:b/>
          <w:bCs/>
        </w:rPr>
        <w:t>Acknowledgments</w:t>
      </w:r>
    </w:p>
    <w:p w14:paraId="3FA5F7B1" w14:textId="5B5AB6E7" w:rsidR="00D371FC" w:rsidRDefault="00BB1DFC" w:rsidP="00360DE2">
      <w:pPr>
        <w:spacing w:after="240"/>
      </w:pPr>
      <w:r>
        <w:t>We</w:t>
      </w:r>
      <w:r w:rsidR="00D371FC">
        <w:t xml:space="preserve"> thank the University of Derby for funding this work via the Vice Chancellors’ Ideas Forum</w:t>
      </w:r>
      <w:r>
        <w:t>. We are</w:t>
      </w:r>
      <w:r w:rsidR="00D371FC">
        <w:t xml:space="preserve"> also grateful to participants for their time and perspectives on this topic. </w:t>
      </w:r>
    </w:p>
    <w:p w14:paraId="75AB751D" w14:textId="2624D993" w:rsidR="00B61221" w:rsidRPr="00360DE2" w:rsidRDefault="00B61221" w:rsidP="00360DE2">
      <w:pPr>
        <w:pStyle w:val="Heading1"/>
        <w:spacing w:after="240"/>
        <w:rPr>
          <w:b/>
          <w:bCs/>
        </w:rPr>
      </w:pPr>
      <w:r w:rsidRPr="00360DE2">
        <w:rPr>
          <w:b/>
          <w:bCs/>
        </w:rPr>
        <w:t>Disclosure Statement</w:t>
      </w:r>
    </w:p>
    <w:p w14:paraId="378193B4" w14:textId="0FF80ABB" w:rsidR="00B61221" w:rsidRPr="00B61221" w:rsidRDefault="00B61221" w:rsidP="00360DE2">
      <w:pPr>
        <w:spacing w:after="240"/>
        <w:rPr>
          <w:lang w:val="en-US"/>
        </w:rPr>
      </w:pPr>
      <w:r>
        <w:rPr>
          <w:lang w:val="en-US"/>
        </w:rPr>
        <w:lastRenderedPageBreak/>
        <w:t>A</w:t>
      </w:r>
      <w:r w:rsidRPr="00B61221">
        <w:rPr>
          <w:lang w:val="en-US"/>
        </w:rPr>
        <w:t xml:space="preserve">ll materials included in the article represent the </w:t>
      </w:r>
      <w:r w:rsidR="00BB1DFC" w:rsidRPr="00B61221">
        <w:rPr>
          <w:lang w:val="en-US"/>
        </w:rPr>
        <w:t>author</w:t>
      </w:r>
      <w:r w:rsidR="00BB1DFC">
        <w:rPr>
          <w:lang w:val="en-US"/>
        </w:rPr>
        <w:t>s’</w:t>
      </w:r>
      <w:r w:rsidRPr="00B61221">
        <w:rPr>
          <w:lang w:val="en-US"/>
        </w:rPr>
        <w:t xml:space="preserve"> own wor</w:t>
      </w:r>
      <w:r w:rsidR="00BB1DFC">
        <w:rPr>
          <w:lang w:val="en-US"/>
        </w:rPr>
        <w:t xml:space="preserve">k. This research has </w:t>
      </w:r>
      <w:r w:rsidRPr="00B61221">
        <w:rPr>
          <w:lang w:val="en-US"/>
        </w:rPr>
        <w:t xml:space="preserve">not been previously published nor is it being considered for publication elsewhere. </w:t>
      </w:r>
      <w:r>
        <w:rPr>
          <w:lang w:val="en-US"/>
        </w:rPr>
        <w:t>The authors report no conflicts of interest.</w:t>
      </w:r>
    </w:p>
    <w:p w14:paraId="3BC46DF4" w14:textId="34E9DC52" w:rsidR="00D371FC" w:rsidRPr="00360DE2" w:rsidRDefault="00D371FC" w:rsidP="00360DE2">
      <w:pPr>
        <w:pStyle w:val="Heading1"/>
        <w:spacing w:after="240"/>
        <w:rPr>
          <w:b/>
          <w:bCs/>
        </w:rPr>
      </w:pPr>
      <w:r w:rsidRPr="00360DE2">
        <w:rPr>
          <w:b/>
          <w:bCs/>
        </w:rPr>
        <w:t>References</w:t>
      </w:r>
    </w:p>
    <w:p w14:paraId="02E03107" w14:textId="592BFCAF" w:rsidR="00777AA4" w:rsidRPr="00B73B5A" w:rsidRDefault="00777AA4" w:rsidP="00360DE2">
      <w:pPr>
        <w:spacing w:after="240"/>
      </w:pPr>
      <w:r w:rsidRPr="00B73B5A">
        <w:t xml:space="preserve">Bailey, R. and Garner, M., (2010) </w:t>
      </w:r>
      <w:r w:rsidR="00B73B5A">
        <w:t>‘</w:t>
      </w:r>
      <w:r w:rsidRPr="00B73B5A">
        <w:t>Is the feedback in higher education assessment worth the paper it is written on? Teachers' reflections on their practices</w:t>
      </w:r>
      <w:r w:rsidR="00B73B5A">
        <w:t>’,</w:t>
      </w:r>
      <w:r w:rsidRPr="00B73B5A">
        <w:t xml:space="preserve"> </w:t>
      </w:r>
      <w:r w:rsidRPr="00B73B5A">
        <w:rPr>
          <w:i/>
          <w:iCs/>
        </w:rPr>
        <w:t>Teaching in Higher Education</w:t>
      </w:r>
      <w:r w:rsidRPr="00B73B5A">
        <w:t xml:space="preserve">, 15(2), </w:t>
      </w:r>
      <w:r w:rsidR="00B73B5A">
        <w:t xml:space="preserve">pp. </w:t>
      </w:r>
      <w:r w:rsidRPr="00B73B5A">
        <w:t>187-198.</w:t>
      </w:r>
    </w:p>
    <w:p w14:paraId="6DC57856" w14:textId="0789A1AA" w:rsidR="00777AA4" w:rsidRPr="00B73B5A" w:rsidRDefault="00777AA4" w:rsidP="00360DE2">
      <w:pPr>
        <w:spacing w:after="240"/>
      </w:pPr>
      <w:r w:rsidRPr="00B73B5A">
        <w:t xml:space="preserve">Bell, A., Mladenovic, R. and Price, M., (2013) </w:t>
      </w:r>
      <w:r w:rsidR="00B73B5A">
        <w:t>‘</w:t>
      </w:r>
      <w:r w:rsidRPr="00B73B5A">
        <w:t>Students’ perceptions of the usefulness of marking guides, grade descriptors and annotated exemplars</w:t>
      </w:r>
      <w:r w:rsidR="00B73B5A">
        <w:t>’,</w:t>
      </w:r>
      <w:r w:rsidRPr="00B73B5A">
        <w:t xml:space="preserve"> </w:t>
      </w:r>
      <w:r w:rsidRPr="00B73B5A">
        <w:rPr>
          <w:i/>
          <w:iCs/>
        </w:rPr>
        <w:t>Assessment and Evaluation in Higher Education</w:t>
      </w:r>
      <w:r w:rsidRPr="00B73B5A">
        <w:t>, 38(7)</w:t>
      </w:r>
      <w:r w:rsidR="00B73B5A">
        <w:t xml:space="preserve">, pp. </w:t>
      </w:r>
      <w:r w:rsidRPr="00B73B5A">
        <w:t>769–88.</w:t>
      </w:r>
    </w:p>
    <w:p w14:paraId="71193F62" w14:textId="460BB34D" w:rsidR="423D5CCA" w:rsidRPr="00B73B5A" w:rsidRDefault="423D5CCA" w:rsidP="00360DE2">
      <w:pPr>
        <w:spacing w:after="240"/>
      </w:pPr>
      <w:r w:rsidRPr="00B73B5A">
        <w:rPr>
          <w:rFonts w:eastAsia="Tahoma"/>
        </w:rPr>
        <w:t xml:space="preserve">Bergin, T. (2018) </w:t>
      </w:r>
      <w:r w:rsidRPr="00B73B5A">
        <w:rPr>
          <w:rFonts w:eastAsia="Tahoma"/>
          <w:i/>
          <w:iCs/>
        </w:rPr>
        <w:t>An introduction to Data Analysis</w:t>
      </w:r>
      <w:r w:rsidRPr="00B73B5A">
        <w:rPr>
          <w:rFonts w:eastAsia="Tahoma"/>
        </w:rPr>
        <w:t>. London: Sage.</w:t>
      </w:r>
    </w:p>
    <w:p w14:paraId="4BA66E2F" w14:textId="49EA61D2" w:rsidR="00777AA4" w:rsidRPr="00B73B5A" w:rsidRDefault="00777AA4" w:rsidP="00360DE2">
      <w:pPr>
        <w:spacing w:after="240"/>
      </w:pPr>
      <w:r w:rsidRPr="00B73B5A">
        <w:t xml:space="preserve">Biggs, J., (1996) </w:t>
      </w:r>
      <w:r w:rsidR="00B73B5A">
        <w:t>‘</w:t>
      </w:r>
      <w:r w:rsidRPr="00B73B5A">
        <w:t>Enhancing teaching through constructive alignment</w:t>
      </w:r>
      <w:r w:rsidR="00B73B5A">
        <w:t>’,</w:t>
      </w:r>
      <w:r w:rsidRPr="00B73B5A">
        <w:t xml:space="preserve"> </w:t>
      </w:r>
      <w:r w:rsidRPr="00B73B5A">
        <w:rPr>
          <w:i/>
          <w:iCs/>
        </w:rPr>
        <w:t>Higher Education</w:t>
      </w:r>
      <w:r w:rsidRPr="00B73B5A">
        <w:t xml:space="preserve">, 32, </w:t>
      </w:r>
      <w:r w:rsidR="00B73B5A">
        <w:t xml:space="preserve">pp. </w:t>
      </w:r>
      <w:r w:rsidRPr="00B73B5A">
        <w:t>1–18.</w:t>
      </w:r>
    </w:p>
    <w:p w14:paraId="33D322C1" w14:textId="3FB78EC1" w:rsidR="00777AA4" w:rsidRPr="00B73B5A" w:rsidRDefault="7E5D8FC0" w:rsidP="00360DE2">
      <w:pPr>
        <w:spacing w:after="240"/>
        <w:rPr>
          <w:rFonts w:eastAsia="Tahoma"/>
        </w:rPr>
      </w:pPr>
      <w:r w:rsidRPr="00B73B5A">
        <w:rPr>
          <w:rFonts w:eastAsia="Tahoma"/>
        </w:rPr>
        <w:t xml:space="preserve">Braun, V. and Clarke, V. (2006) </w:t>
      </w:r>
      <w:r w:rsidR="00B73B5A">
        <w:rPr>
          <w:rFonts w:eastAsia="Tahoma"/>
        </w:rPr>
        <w:t>‘</w:t>
      </w:r>
      <w:r w:rsidRPr="00B73B5A">
        <w:rPr>
          <w:rFonts w:eastAsia="Tahoma"/>
        </w:rPr>
        <w:t>Using thematic analysis in psychology</w:t>
      </w:r>
      <w:r w:rsidR="00B73B5A">
        <w:rPr>
          <w:rFonts w:eastAsia="Tahoma"/>
        </w:rPr>
        <w:t>’,</w:t>
      </w:r>
      <w:r w:rsidRPr="00B73B5A">
        <w:rPr>
          <w:rFonts w:eastAsia="Tahoma"/>
        </w:rPr>
        <w:t xml:space="preserve"> </w:t>
      </w:r>
      <w:r w:rsidRPr="00B73B5A">
        <w:rPr>
          <w:rFonts w:eastAsia="Tahoma"/>
          <w:i/>
          <w:iCs/>
        </w:rPr>
        <w:t>Qualitative research in psychology</w:t>
      </w:r>
      <w:r w:rsidRPr="00B73B5A">
        <w:rPr>
          <w:rFonts w:eastAsia="Tahoma"/>
        </w:rPr>
        <w:t xml:space="preserve">, </w:t>
      </w:r>
      <w:r w:rsidRPr="00F72898">
        <w:rPr>
          <w:rFonts w:eastAsia="Tahoma"/>
        </w:rPr>
        <w:t>3</w:t>
      </w:r>
      <w:r w:rsidRPr="00B73B5A">
        <w:rPr>
          <w:rFonts w:eastAsia="Tahoma"/>
        </w:rPr>
        <w:t xml:space="preserve">(2), </w:t>
      </w:r>
      <w:r w:rsidR="00B73B5A">
        <w:t xml:space="preserve">pp. </w:t>
      </w:r>
      <w:r w:rsidRPr="00B73B5A">
        <w:rPr>
          <w:rFonts w:eastAsia="Tahoma"/>
        </w:rPr>
        <w:t>77-101.</w:t>
      </w:r>
    </w:p>
    <w:p w14:paraId="4ADDE40E" w14:textId="7FEC574E" w:rsidR="00777AA4" w:rsidRPr="00B73B5A" w:rsidRDefault="00777AA4" w:rsidP="00360DE2">
      <w:pPr>
        <w:spacing w:after="240"/>
      </w:pPr>
      <w:r w:rsidRPr="00B73B5A">
        <w:t xml:space="preserve">Brodie, L. and Gibbings, P., (2009) </w:t>
      </w:r>
      <w:r w:rsidR="00B73B5A">
        <w:t>‘</w:t>
      </w:r>
      <w:r w:rsidRPr="00B73B5A">
        <w:t>Comparison of PBL assessment rubrics</w:t>
      </w:r>
      <w:r w:rsidR="00B73B5A">
        <w:t>’,</w:t>
      </w:r>
      <w:r w:rsidRPr="00B73B5A">
        <w:t xml:space="preserve"> In </w:t>
      </w:r>
      <w:r w:rsidRPr="00B73B5A">
        <w:rPr>
          <w:i/>
          <w:iCs/>
        </w:rPr>
        <w:t>Research in Engineering Education Symposium</w:t>
      </w:r>
      <w:r w:rsidRPr="00B73B5A">
        <w:t>.</w:t>
      </w:r>
    </w:p>
    <w:p w14:paraId="5DF1A28C" w14:textId="28DE3955" w:rsidR="00777AA4" w:rsidRPr="00B73B5A" w:rsidRDefault="6526B21C" w:rsidP="00360DE2">
      <w:pPr>
        <w:spacing w:after="240"/>
      </w:pPr>
      <w:r w:rsidRPr="00B73B5A">
        <w:t xml:space="preserve">Bunce, L., Baird, A., and </w:t>
      </w:r>
      <w:r w:rsidR="790673EB" w:rsidRPr="00B73B5A">
        <w:t xml:space="preserve">Jones, S.E., (2017) </w:t>
      </w:r>
      <w:r w:rsidR="00B73B5A">
        <w:t>‘</w:t>
      </w:r>
      <w:r w:rsidR="790673EB" w:rsidRPr="00B73B5A">
        <w:t>The student-as-consumer approach in higher education and its effects on academic performance</w:t>
      </w:r>
      <w:r w:rsidR="00B73B5A">
        <w:t>’,</w:t>
      </w:r>
      <w:r w:rsidR="790673EB" w:rsidRPr="00B73B5A">
        <w:t xml:space="preserve"> </w:t>
      </w:r>
      <w:r w:rsidR="790673EB" w:rsidRPr="00B73B5A">
        <w:rPr>
          <w:i/>
          <w:iCs/>
        </w:rPr>
        <w:t>Studies in Higher Education</w:t>
      </w:r>
      <w:r w:rsidR="790673EB" w:rsidRPr="00B73B5A">
        <w:t xml:space="preserve">, </w:t>
      </w:r>
      <w:r w:rsidR="288F9705" w:rsidRPr="00B73B5A">
        <w:t xml:space="preserve">42(11), </w:t>
      </w:r>
      <w:r w:rsidR="00B73B5A">
        <w:t xml:space="preserve">pp. </w:t>
      </w:r>
      <w:r w:rsidR="288F9705" w:rsidRPr="00B73B5A">
        <w:t>1958-1978.</w:t>
      </w:r>
      <w:r w:rsidR="790673EB" w:rsidRPr="00B73B5A">
        <w:t xml:space="preserve"> </w:t>
      </w:r>
    </w:p>
    <w:p w14:paraId="3D82C4E7" w14:textId="704A3E3A" w:rsidR="00777AA4" w:rsidRPr="00B73B5A" w:rsidRDefault="00777AA4" w:rsidP="00360DE2">
      <w:pPr>
        <w:spacing w:after="240"/>
      </w:pPr>
      <w:r w:rsidRPr="00B73B5A">
        <w:t xml:space="preserve">Carless, D., (2006) </w:t>
      </w:r>
      <w:r w:rsidR="00B73B5A">
        <w:t>‘</w:t>
      </w:r>
      <w:r w:rsidRPr="00B73B5A">
        <w:t>Differing perceptions in the feedback process</w:t>
      </w:r>
      <w:r w:rsidR="00B73B5A">
        <w:t>’,</w:t>
      </w:r>
      <w:r w:rsidRPr="00B73B5A">
        <w:t xml:space="preserve"> </w:t>
      </w:r>
      <w:r w:rsidRPr="00B73B5A">
        <w:rPr>
          <w:i/>
          <w:iCs/>
        </w:rPr>
        <w:t xml:space="preserve">Studies in </w:t>
      </w:r>
      <w:r w:rsidR="00B73B5A">
        <w:rPr>
          <w:i/>
          <w:iCs/>
        </w:rPr>
        <w:t>H</w:t>
      </w:r>
      <w:r w:rsidRPr="00B73B5A">
        <w:rPr>
          <w:i/>
          <w:iCs/>
        </w:rPr>
        <w:t xml:space="preserve">igher </w:t>
      </w:r>
      <w:r w:rsidR="00B73B5A">
        <w:rPr>
          <w:i/>
          <w:iCs/>
        </w:rPr>
        <w:t>E</w:t>
      </w:r>
      <w:r w:rsidRPr="00B73B5A">
        <w:rPr>
          <w:i/>
          <w:iCs/>
        </w:rPr>
        <w:t>ducation</w:t>
      </w:r>
      <w:r w:rsidRPr="00B73B5A">
        <w:t xml:space="preserve">, 31(2), </w:t>
      </w:r>
      <w:r w:rsidR="00B73B5A">
        <w:t xml:space="preserve">pp. </w:t>
      </w:r>
      <w:r w:rsidRPr="00B73B5A">
        <w:t>219-233.</w:t>
      </w:r>
    </w:p>
    <w:p w14:paraId="18C58AE9" w14:textId="6760A47D" w:rsidR="00777AA4" w:rsidRPr="00B73B5A" w:rsidRDefault="00777AA4" w:rsidP="00360DE2">
      <w:pPr>
        <w:spacing w:after="240"/>
      </w:pPr>
      <w:r w:rsidRPr="00B73B5A">
        <w:t xml:space="preserve">Carless, D., &amp; Boud, D., (2018) </w:t>
      </w:r>
      <w:r w:rsidR="00B73B5A">
        <w:t>‘</w:t>
      </w:r>
      <w:r w:rsidRPr="00B73B5A">
        <w:t>The development of student feedback literacy: enabling uptake of feedback</w:t>
      </w:r>
      <w:r w:rsidR="00B73B5A">
        <w:t>’,</w:t>
      </w:r>
      <w:r w:rsidRPr="00B73B5A">
        <w:t xml:space="preserve"> </w:t>
      </w:r>
      <w:r w:rsidRPr="00B73B5A">
        <w:rPr>
          <w:i/>
          <w:iCs/>
        </w:rPr>
        <w:t>Assessment &amp; Evaluation in Higher Education</w:t>
      </w:r>
      <w:r w:rsidRPr="00B73B5A">
        <w:t xml:space="preserve">, 43(8), </w:t>
      </w:r>
      <w:r w:rsidR="00B73B5A">
        <w:t xml:space="preserve">pp. </w:t>
      </w:r>
      <w:r w:rsidRPr="00B73B5A">
        <w:t>1315-1325.</w:t>
      </w:r>
    </w:p>
    <w:p w14:paraId="0EB40AAB" w14:textId="13639D69" w:rsidR="0047368D" w:rsidRPr="00B73B5A" w:rsidDel="0047368D" w:rsidRDefault="0047368D" w:rsidP="00360DE2">
      <w:pPr>
        <w:spacing w:after="240"/>
      </w:pPr>
      <w:r w:rsidRPr="00B73B5A">
        <w:lastRenderedPageBreak/>
        <w:t xml:space="preserve">Cope, M. </w:t>
      </w:r>
      <w:r w:rsidR="00370377">
        <w:t>(</w:t>
      </w:r>
      <w:r w:rsidRPr="00B73B5A">
        <w:t>2010</w:t>
      </w:r>
      <w:r w:rsidR="00370377">
        <w:t>)</w:t>
      </w:r>
      <w:r w:rsidRPr="00B73B5A">
        <w:t xml:space="preserve">. </w:t>
      </w:r>
      <w:r w:rsidR="00370377">
        <w:t>‘</w:t>
      </w:r>
      <w:r w:rsidRPr="00B73B5A">
        <w:t>Coding qualitative data</w:t>
      </w:r>
      <w:r w:rsidR="00370377">
        <w:t>’</w:t>
      </w:r>
      <w:r w:rsidRPr="00B73B5A">
        <w:t>. In Hay, I. (</w:t>
      </w:r>
      <w:r w:rsidR="00370377">
        <w:t>E</w:t>
      </w:r>
      <w:r w:rsidRPr="00B73B5A">
        <w:t xml:space="preserve">d) </w:t>
      </w:r>
      <w:r w:rsidRPr="00B73B5A">
        <w:rPr>
          <w:i/>
          <w:iCs/>
        </w:rPr>
        <w:t>Qualitative Research Methods in Human Geography</w:t>
      </w:r>
      <w:r w:rsidRPr="00B73B5A">
        <w:t>. Oxford: Oxford University Press</w:t>
      </w:r>
      <w:r w:rsidR="7A3FC218" w:rsidRPr="00B73B5A">
        <w:t>, pp.</w:t>
      </w:r>
      <w:r w:rsidRPr="00B73B5A">
        <w:t xml:space="preserve"> 223-233.</w:t>
      </w:r>
    </w:p>
    <w:p w14:paraId="53BF2916" w14:textId="6F9A8881" w:rsidR="00D63957" w:rsidRPr="00B73B5A" w:rsidRDefault="4F46F8D7" w:rsidP="00360DE2">
      <w:pPr>
        <w:spacing w:after="240"/>
      </w:pPr>
      <w:r w:rsidRPr="00B73B5A">
        <w:rPr>
          <w:rFonts w:eastAsia="Tahoma"/>
        </w:rPr>
        <w:t xml:space="preserve">Crang, M. And Cook, I. (2007) </w:t>
      </w:r>
      <w:r w:rsidRPr="00B73B5A">
        <w:rPr>
          <w:rFonts w:eastAsia="Tahoma"/>
          <w:i/>
          <w:iCs/>
        </w:rPr>
        <w:t>Doing Ethnographies</w:t>
      </w:r>
      <w:r w:rsidR="4E3C489A" w:rsidRPr="00B73B5A">
        <w:rPr>
          <w:rFonts w:eastAsia="Tahoma"/>
          <w:i/>
          <w:iCs/>
        </w:rPr>
        <w:t>.</w:t>
      </w:r>
      <w:r w:rsidRPr="00B73B5A">
        <w:rPr>
          <w:rFonts w:eastAsia="Tahoma"/>
        </w:rPr>
        <w:t xml:space="preserve"> London: Sage.</w:t>
      </w:r>
    </w:p>
    <w:p w14:paraId="6D6ED0C0" w14:textId="1673A205" w:rsidR="00777AA4" w:rsidRPr="00B73B5A" w:rsidRDefault="00777AA4" w:rsidP="00360DE2">
      <w:pPr>
        <w:spacing w:after="240"/>
      </w:pPr>
      <w:r w:rsidRPr="00B73B5A">
        <w:t xml:space="preserve">Dawson, P., Henderson, M., Mahoney, P., Phillips, M., Ryan, T., Boud, D. and Molloy, E., (2019) </w:t>
      </w:r>
      <w:r w:rsidR="00B73B5A">
        <w:t>‘</w:t>
      </w:r>
      <w:r w:rsidRPr="00B73B5A">
        <w:t>What makes for effective feedback: Staff and student perspectives</w:t>
      </w:r>
      <w:r w:rsidR="00B73B5A">
        <w:t>’,</w:t>
      </w:r>
      <w:r w:rsidRPr="00B73B5A">
        <w:t xml:space="preserve"> </w:t>
      </w:r>
      <w:r w:rsidRPr="00B73B5A">
        <w:rPr>
          <w:i/>
          <w:iCs/>
        </w:rPr>
        <w:t>Assessment &amp; Evaluation in Higher Education</w:t>
      </w:r>
      <w:r w:rsidRPr="00B73B5A">
        <w:t xml:space="preserve">, 44(1), </w:t>
      </w:r>
      <w:r w:rsidR="00B73B5A">
        <w:t xml:space="preserve">pp. </w:t>
      </w:r>
      <w:r w:rsidRPr="00B73B5A">
        <w:t xml:space="preserve">25-36. </w:t>
      </w:r>
    </w:p>
    <w:p w14:paraId="4F4B5A39" w14:textId="22D12F2C" w:rsidR="00777AA4" w:rsidRPr="00B73B5A" w:rsidRDefault="00777AA4" w:rsidP="00360DE2">
      <w:pPr>
        <w:spacing w:after="240"/>
      </w:pPr>
      <w:r w:rsidRPr="00B73B5A">
        <w:t>De</w:t>
      </w:r>
      <w:r w:rsidR="00655996">
        <w:t>a</w:t>
      </w:r>
      <w:r w:rsidRPr="00B73B5A">
        <w:t xml:space="preserve">ley, S. J. and Bovill, C. (2017) </w:t>
      </w:r>
      <w:r w:rsidR="00B73B5A">
        <w:t>‘</w:t>
      </w:r>
      <w:r w:rsidRPr="00B73B5A">
        <w:t>Staff student partnership in assessment: enhancing assessment literacy through democratic practices</w:t>
      </w:r>
      <w:r w:rsidR="00B73B5A">
        <w:t>’,</w:t>
      </w:r>
      <w:r w:rsidRPr="00B73B5A">
        <w:t xml:space="preserve"> </w:t>
      </w:r>
      <w:r w:rsidRPr="00B73B5A">
        <w:rPr>
          <w:i/>
          <w:iCs/>
        </w:rPr>
        <w:t>Assessment and Evaluation in Higher Education</w:t>
      </w:r>
      <w:r w:rsidRPr="00B73B5A">
        <w:t xml:space="preserve">, 42(3), </w:t>
      </w:r>
      <w:r w:rsidR="00B73B5A">
        <w:t xml:space="preserve">pp. </w:t>
      </w:r>
      <w:r w:rsidRPr="00B73B5A">
        <w:t xml:space="preserve">463-477. </w:t>
      </w:r>
    </w:p>
    <w:p w14:paraId="18D11BF2" w14:textId="6D1B55AF" w:rsidR="00777AA4" w:rsidRPr="00B73B5A" w:rsidRDefault="00777AA4" w:rsidP="00360DE2">
      <w:pPr>
        <w:spacing w:after="240"/>
      </w:pPr>
      <w:r w:rsidRPr="00B73B5A">
        <w:t xml:space="preserve">Dowden, T., Pittaway, S., Yost, H., &amp; McCarthy, R. (2013) </w:t>
      </w:r>
      <w:r w:rsidR="00B73B5A">
        <w:t>‘</w:t>
      </w:r>
      <w:r w:rsidRPr="00B73B5A">
        <w:t>Students' perceptions of written feedback in teacher education: Ideally feedback is a continuing two-way communication that encourages progress</w:t>
      </w:r>
      <w:r w:rsidR="00B73B5A">
        <w:t>’,</w:t>
      </w:r>
      <w:r w:rsidRPr="00B73B5A">
        <w:t xml:space="preserve"> </w:t>
      </w:r>
      <w:r w:rsidRPr="00B73B5A">
        <w:rPr>
          <w:i/>
          <w:iCs/>
        </w:rPr>
        <w:t>Assessment &amp; Evaluation in Higher Education</w:t>
      </w:r>
      <w:r w:rsidRPr="00B73B5A">
        <w:t xml:space="preserve">, 38, </w:t>
      </w:r>
      <w:r w:rsidR="00B73B5A">
        <w:t xml:space="preserve">pp. </w:t>
      </w:r>
      <w:r w:rsidRPr="00B73B5A">
        <w:t xml:space="preserve">349–362. </w:t>
      </w:r>
    </w:p>
    <w:p w14:paraId="0E52A377" w14:textId="4CB2F96F" w:rsidR="11DD79D3" w:rsidRPr="00B73B5A" w:rsidRDefault="11DD79D3" w:rsidP="00360DE2">
      <w:pPr>
        <w:spacing w:after="240"/>
      </w:pPr>
      <w:r w:rsidRPr="00B73B5A">
        <w:t xml:space="preserve">Evans, C. (2013) </w:t>
      </w:r>
      <w:r w:rsidR="00B73B5A">
        <w:t>‘</w:t>
      </w:r>
      <w:r w:rsidRPr="00B73B5A">
        <w:t>Making Sense of Assessment Feedback in Higher Education</w:t>
      </w:r>
      <w:r w:rsidR="00B73B5A">
        <w:t>’,</w:t>
      </w:r>
      <w:r w:rsidRPr="00B73B5A">
        <w:t xml:space="preserve"> </w:t>
      </w:r>
      <w:r w:rsidRPr="00B73B5A">
        <w:rPr>
          <w:i/>
          <w:iCs/>
        </w:rPr>
        <w:t>Review of Educational Research</w:t>
      </w:r>
      <w:r w:rsidRPr="00B73B5A">
        <w:t xml:space="preserve">, 83(1), </w:t>
      </w:r>
      <w:r w:rsidR="00B73B5A">
        <w:t xml:space="preserve">pp. </w:t>
      </w:r>
      <w:r w:rsidR="4CDE2AF2" w:rsidRPr="00B73B5A">
        <w:t>70-120.</w:t>
      </w:r>
    </w:p>
    <w:p w14:paraId="2929C139" w14:textId="4982A309" w:rsidR="00777AA4" w:rsidRPr="00B73B5A" w:rsidRDefault="00777AA4" w:rsidP="00360DE2">
      <w:pPr>
        <w:spacing w:after="240"/>
      </w:pPr>
      <w:r w:rsidRPr="00B73B5A">
        <w:t xml:space="preserve">Francis, R.A., Millington, J.D. and Cederlöf, G. </w:t>
      </w:r>
      <w:r w:rsidR="00370377">
        <w:t>(</w:t>
      </w:r>
      <w:r w:rsidRPr="00B73B5A">
        <w:t>2019</w:t>
      </w:r>
      <w:r w:rsidR="00370377">
        <w:t>)</w:t>
      </w:r>
      <w:r w:rsidRPr="00B73B5A">
        <w:t xml:space="preserve">. </w:t>
      </w:r>
      <w:r w:rsidR="00B73B5A">
        <w:t>‘</w:t>
      </w:r>
      <w:r w:rsidRPr="00B73B5A">
        <w:t>Undergraduate student perceptions of assessment and feedback practice: fostering agency and dialogue</w:t>
      </w:r>
      <w:r w:rsidR="00B73B5A">
        <w:t>’,</w:t>
      </w:r>
      <w:r w:rsidRPr="00B73B5A">
        <w:t> </w:t>
      </w:r>
      <w:r w:rsidRPr="00B73B5A">
        <w:rPr>
          <w:i/>
          <w:iCs/>
        </w:rPr>
        <w:t>Journal of Geography in Higher Education</w:t>
      </w:r>
      <w:r w:rsidRPr="00B73B5A">
        <w:t>, </w:t>
      </w:r>
      <w:r w:rsidRPr="00F72898">
        <w:rPr>
          <w:iCs/>
        </w:rPr>
        <w:t>43</w:t>
      </w:r>
      <w:r w:rsidRPr="00B73B5A">
        <w:t>(4), pp.468-485.</w:t>
      </w:r>
    </w:p>
    <w:p w14:paraId="7A311830" w14:textId="33B57D71" w:rsidR="00777AA4" w:rsidRPr="00B73B5A" w:rsidRDefault="00777AA4" w:rsidP="00360DE2">
      <w:pPr>
        <w:spacing w:after="240"/>
      </w:pPr>
      <w:r w:rsidRPr="00B73B5A">
        <w:t xml:space="preserve">Gedye, S., (2010) </w:t>
      </w:r>
      <w:r w:rsidR="00B73B5A">
        <w:t>‘</w:t>
      </w:r>
      <w:r w:rsidRPr="00B73B5A">
        <w:t>Formative assessment and feedback: a review</w:t>
      </w:r>
      <w:r w:rsidR="00B73B5A">
        <w:t>’,</w:t>
      </w:r>
      <w:r w:rsidRPr="00B73B5A">
        <w:t xml:space="preserve"> </w:t>
      </w:r>
      <w:r w:rsidRPr="00B73B5A">
        <w:rPr>
          <w:i/>
          <w:iCs/>
        </w:rPr>
        <w:t>Planet</w:t>
      </w:r>
      <w:r w:rsidRPr="00B73B5A">
        <w:t xml:space="preserve">, 23(1), </w:t>
      </w:r>
      <w:r w:rsidR="00B73B5A">
        <w:t xml:space="preserve">pp. </w:t>
      </w:r>
      <w:r w:rsidRPr="00B73B5A">
        <w:t>40-45.</w:t>
      </w:r>
    </w:p>
    <w:p w14:paraId="3ABE2DF5" w14:textId="549A247A" w:rsidR="006E3824" w:rsidRPr="00B73B5A" w:rsidRDefault="006E3824" w:rsidP="00360DE2">
      <w:pPr>
        <w:spacing w:after="240"/>
      </w:pPr>
      <w:r w:rsidRPr="00B73B5A">
        <w:t xml:space="preserve">Gill, A.J.G. (2020) </w:t>
      </w:r>
      <w:r w:rsidR="00B73B5A">
        <w:t>‘</w:t>
      </w:r>
      <w:r w:rsidRPr="00B73B5A">
        <w:t>Difficulties and support in the transition to higher education for non-traditional students</w:t>
      </w:r>
      <w:r w:rsidR="00B73B5A">
        <w:t>’,</w:t>
      </w:r>
      <w:r w:rsidRPr="00B73B5A">
        <w:t xml:space="preserve"> </w:t>
      </w:r>
      <w:r w:rsidRPr="00B73B5A">
        <w:rPr>
          <w:i/>
          <w:iCs/>
        </w:rPr>
        <w:t>Research in post-compulsory education</w:t>
      </w:r>
      <w:r w:rsidRPr="00B73B5A">
        <w:t xml:space="preserve">, 26(4), </w:t>
      </w:r>
      <w:r w:rsidR="00B73B5A">
        <w:t xml:space="preserve">pp. </w:t>
      </w:r>
      <w:r w:rsidRPr="00B73B5A">
        <w:t>410-441</w:t>
      </w:r>
      <w:r w:rsidR="0065487A" w:rsidRPr="00B73B5A">
        <w:t>.</w:t>
      </w:r>
    </w:p>
    <w:p w14:paraId="17D69D91" w14:textId="48DD4514" w:rsidR="00777AA4" w:rsidRPr="00B73B5A" w:rsidRDefault="00777AA4" w:rsidP="00360DE2">
      <w:pPr>
        <w:spacing w:after="240"/>
      </w:pPr>
      <w:r w:rsidRPr="00B73B5A">
        <w:t xml:space="preserve">Higher Education Academy (2013) </w:t>
      </w:r>
      <w:r w:rsidRPr="00B73B5A">
        <w:rPr>
          <w:i/>
          <w:iCs/>
        </w:rPr>
        <w:t>HEA Feedback toolkit</w:t>
      </w:r>
      <w:r w:rsidRPr="00B73B5A">
        <w:t xml:space="preserve">. Higher Education Academy: Leicester. Available at: </w:t>
      </w:r>
      <w:r w:rsidR="00F72898" w:rsidRPr="008B2D16">
        <w:t>https://www.heacademy.ac.uk/hea-feedback-toolkit</w:t>
      </w:r>
      <w:r w:rsidR="00F72898">
        <w:t xml:space="preserve"> (</w:t>
      </w:r>
      <w:r w:rsidRPr="00B73B5A">
        <w:t>Accessed</w:t>
      </w:r>
      <w:r w:rsidR="006B0DFE">
        <w:t xml:space="preserve"> 8 April 2017).</w:t>
      </w:r>
    </w:p>
    <w:p w14:paraId="09E2A63C" w14:textId="2B9B0276" w:rsidR="002701E1" w:rsidRPr="00B73B5A" w:rsidRDefault="002701E1" w:rsidP="00360DE2">
      <w:pPr>
        <w:spacing w:after="240"/>
      </w:pPr>
      <w:r w:rsidRPr="00B73B5A">
        <w:lastRenderedPageBreak/>
        <w:t xml:space="preserve">Hoskins, K. (2012) </w:t>
      </w:r>
      <w:r w:rsidR="00B73B5A">
        <w:t>‘</w:t>
      </w:r>
      <w:r w:rsidRPr="00B73B5A">
        <w:t>Widening participation aims and outcomes: examining higher education prospects for four non-traditional students</w:t>
      </w:r>
      <w:r w:rsidR="00B73B5A">
        <w:t>’,</w:t>
      </w:r>
      <w:r w:rsidRPr="00B73B5A">
        <w:t xml:space="preserve"> </w:t>
      </w:r>
      <w:r w:rsidRPr="00B73B5A">
        <w:rPr>
          <w:i/>
          <w:iCs/>
        </w:rPr>
        <w:t>Widening Participation and Lifelong Learning</w:t>
      </w:r>
      <w:r w:rsidRPr="00B73B5A">
        <w:t xml:space="preserve">, 14(3), </w:t>
      </w:r>
      <w:r w:rsidR="00B73B5A">
        <w:t xml:space="preserve">pp. </w:t>
      </w:r>
      <w:r w:rsidRPr="00B73B5A">
        <w:t>235-249.</w:t>
      </w:r>
    </w:p>
    <w:p w14:paraId="1F6775E1" w14:textId="6946354D" w:rsidR="00777AA4" w:rsidRPr="00B73B5A" w:rsidRDefault="00777AA4" w:rsidP="00360DE2">
      <w:pPr>
        <w:spacing w:after="240"/>
      </w:pPr>
      <w:r w:rsidRPr="00B73B5A">
        <w:t xml:space="preserve">Hounsell, D., (2003) </w:t>
      </w:r>
      <w:r w:rsidR="00A6763D">
        <w:t>‘</w:t>
      </w:r>
      <w:r w:rsidRPr="00B73B5A">
        <w:t>Student feedback, learning and development. Higher education and the lifecourse</w:t>
      </w:r>
      <w:r w:rsidR="00A6763D">
        <w:t>’</w:t>
      </w:r>
      <w:r w:rsidRPr="00B73B5A">
        <w:t xml:space="preserve">, </w:t>
      </w:r>
      <w:r w:rsidR="00A6763D">
        <w:t>in</w:t>
      </w:r>
      <w:r w:rsidRPr="00B73B5A">
        <w:t xml:space="preserve"> Boud, D., Falchikov., N.</w:t>
      </w:r>
      <w:r w:rsidR="00A6763D">
        <w:t xml:space="preserve"> (eds.)</w:t>
      </w:r>
      <w:r w:rsidRPr="00B73B5A">
        <w:t xml:space="preserve"> </w:t>
      </w:r>
      <w:r w:rsidRPr="00B73B5A">
        <w:rPr>
          <w:i/>
          <w:iCs/>
        </w:rPr>
        <w:t>Rethinking Assessment in Higher Education: Learning for the Longer Term</w:t>
      </w:r>
      <w:r w:rsidR="005744A6">
        <w:t>.</w:t>
      </w:r>
      <w:r w:rsidR="00655996">
        <w:t xml:space="preserve"> </w:t>
      </w:r>
      <w:r w:rsidRPr="00B73B5A">
        <w:t>London</w:t>
      </w:r>
      <w:r w:rsidR="005744A6">
        <w:t>:</w:t>
      </w:r>
      <w:r w:rsidRPr="00B73B5A">
        <w:t xml:space="preserve"> Routledge, </w:t>
      </w:r>
      <w:r w:rsidR="00B73B5A">
        <w:t xml:space="preserve">pp. </w:t>
      </w:r>
      <w:r w:rsidRPr="00B73B5A">
        <w:t>67-78.</w:t>
      </w:r>
    </w:p>
    <w:p w14:paraId="5F220709" w14:textId="1C0C8141" w:rsidR="00777AA4" w:rsidRPr="00B73B5A" w:rsidRDefault="00777AA4" w:rsidP="00360DE2">
      <w:pPr>
        <w:spacing w:after="240"/>
      </w:pPr>
      <w:r w:rsidRPr="00B73B5A">
        <w:t>Jackel, B.,</w:t>
      </w:r>
      <w:r w:rsidR="00655996">
        <w:t xml:space="preserve"> </w:t>
      </w:r>
      <w:r w:rsidRPr="00B73B5A">
        <w:t>Pearce J.,</w:t>
      </w:r>
      <w:r w:rsidR="00655996">
        <w:t xml:space="preserve"> </w:t>
      </w:r>
      <w:r w:rsidRPr="00B73B5A">
        <w:t>Radloff, A. and</w:t>
      </w:r>
      <w:r w:rsidR="00655996">
        <w:t xml:space="preserve"> </w:t>
      </w:r>
      <w:r w:rsidRPr="00B73B5A">
        <w:t xml:space="preserve">Edwards D., (2017) </w:t>
      </w:r>
      <w:r w:rsidRPr="005744A6">
        <w:rPr>
          <w:i/>
          <w:iCs/>
        </w:rPr>
        <w:t>Assessment and Feedback in Higher Education: A Review of Literature for the Higher Education Academy.</w:t>
      </w:r>
      <w:r w:rsidRPr="00B73B5A">
        <w:t xml:space="preserve"> York: Higher Education Academy &amp; Australian Council for Educational Research. Available at: </w:t>
      </w:r>
      <w:r w:rsidR="00B73B5A" w:rsidRPr="008B2D16">
        <w:t>https://www.heacademy.ac.uk/knowledge-hub/assessment-and-feedback-higher-education-1</w:t>
      </w:r>
      <w:r w:rsidRPr="00B73B5A">
        <w:t>.</w:t>
      </w:r>
      <w:r w:rsidR="00B73B5A">
        <w:t xml:space="preserve"> </w:t>
      </w:r>
      <w:r w:rsidRPr="00B73B5A">
        <w:t>(Accessed</w:t>
      </w:r>
      <w:r w:rsidR="005744A6">
        <w:t xml:space="preserve"> 5 September 2019) </w:t>
      </w:r>
    </w:p>
    <w:p w14:paraId="3774DD5B" w14:textId="1A36CCD5" w:rsidR="00777AA4" w:rsidRPr="00B73B5A" w:rsidRDefault="00777AA4" w:rsidP="00360DE2">
      <w:pPr>
        <w:spacing w:after="240"/>
      </w:pPr>
      <w:r w:rsidRPr="00B73B5A">
        <w:t xml:space="preserve">Jonsson, A., (2013) </w:t>
      </w:r>
      <w:r w:rsidR="00B73B5A">
        <w:t>‘</w:t>
      </w:r>
      <w:r w:rsidRPr="00B73B5A">
        <w:t>Facilitating productive use of feedback in higher education</w:t>
      </w:r>
      <w:r w:rsidR="00B73B5A">
        <w:t>’,</w:t>
      </w:r>
      <w:r w:rsidRPr="00B73B5A">
        <w:t xml:space="preserve"> </w:t>
      </w:r>
      <w:r w:rsidRPr="00B73B5A">
        <w:rPr>
          <w:i/>
          <w:iCs/>
        </w:rPr>
        <w:t>Active Learning in Higher Education</w:t>
      </w:r>
      <w:r w:rsidRPr="00B73B5A">
        <w:t xml:space="preserve">, 14, </w:t>
      </w:r>
      <w:r w:rsidR="00B73B5A">
        <w:t xml:space="preserve">pp. </w:t>
      </w:r>
      <w:r w:rsidRPr="00B73B5A">
        <w:t xml:space="preserve">63–76. </w:t>
      </w:r>
    </w:p>
    <w:p w14:paraId="195CB3EB" w14:textId="435CCBDD" w:rsidR="00777AA4" w:rsidRPr="00B73B5A" w:rsidRDefault="00777AA4" w:rsidP="00360DE2">
      <w:pPr>
        <w:spacing w:after="240"/>
      </w:pPr>
      <w:r w:rsidRPr="00B73B5A">
        <w:t xml:space="preserve">Leydens, J.A. and Santi, P., (2006) </w:t>
      </w:r>
      <w:r w:rsidR="00B73B5A">
        <w:t>‘</w:t>
      </w:r>
      <w:r w:rsidRPr="00B73B5A">
        <w:t>Optimizing faculty use of writing as a learning tool in geoscience education</w:t>
      </w:r>
      <w:r w:rsidR="00B73B5A">
        <w:t>’,</w:t>
      </w:r>
      <w:r w:rsidRPr="00B73B5A">
        <w:t xml:space="preserve"> </w:t>
      </w:r>
      <w:r w:rsidRPr="00B73B5A">
        <w:rPr>
          <w:i/>
          <w:iCs/>
        </w:rPr>
        <w:t>Journal of Geoscience Education</w:t>
      </w:r>
      <w:r w:rsidRPr="00B73B5A">
        <w:t xml:space="preserve">, 54(4), </w:t>
      </w:r>
      <w:r w:rsidR="00B73B5A">
        <w:t xml:space="preserve">pp. </w:t>
      </w:r>
      <w:r w:rsidRPr="00B73B5A">
        <w:t>491-502.</w:t>
      </w:r>
    </w:p>
    <w:p w14:paraId="146EF945" w14:textId="5A05B7DF" w:rsidR="00777AA4" w:rsidRPr="00B73B5A" w:rsidRDefault="00777AA4" w:rsidP="00360DE2">
      <w:pPr>
        <w:spacing w:after="240"/>
      </w:pPr>
      <w:r w:rsidRPr="00B73B5A">
        <w:t xml:space="preserve">McLeod, G.W., Mortimer, R.J.G., (2012) </w:t>
      </w:r>
      <w:r w:rsidR="00B73B5A">
        <w:t>‘</w:t>
      </w:r>
      <w:r w:rsidRPr="00B73B5A">
        <w:t>Evaluating feedback mechanisms in the School of Earth and Environment</w:t>
      </w:r>
      <w:r w:rsidR="00B73B5A">
        <w:t>’,</w:t>
      </w:r>
      <w:r w:rsidRPr="00B73B5A">
        <w:t xml:space="preserve"> </w:t>
      </w:r>
      <w:r w:rsidRPr="00B73B5A">
        <w:rPr>
          <w:i/>
          <w:iCs/>
        </w:rPr>
        <w:t>Planet</w:t>
      </w:r>
      <w:r w:rsidRPr="00B73B5A">
        <w:t xml:space="preserve">, 26(1), </w:t>
      </w:r>
      <w:r w:rsidR="00B73B5A">
        <w:t xml:space="preserve">pp. </w:t>
      </w:r>
      <w:r w:rsidRPr="00B73B5A">
        <w:t xml:space="preserve">36-41. </w:t>
      </w:r>
    </w:p>
    <w:p w14:paraId="682B0F25" w14:textId="286BD701" w:rsidR="00675F77" w:rsidRPr="00B73B5A" w:rsidRDefault="00777AA4" w:rsidP="00360DE2">
      <w:pPr>
        <w:spacing w:after="240"/>
      </w:pPr>
      <w:r w:rsidRPr="00B73B5A">
        <w:t xml:space="preserve">Moskal, B.M., (2000) </w:t>
      </w:r>
      <w:r w:rsidR="00B73B5A">
        <w:t>‘</w:t>
      </w:r>
      <w:r w:rsidRPr="00B73B5A">
        <w:t>Scoring Rubrics: What, When and How?</w:t>
      </w:r>
      <w:r w:rsidR="00B73B5A">
        <w:t>’,</w:t>
      </w:r>
      <w:r w:rsidRPr="00B73B5A">
        <w:t xml:space="preserve"> </w:t>
      </w:r>
      <w:r w:rsidRPr="00B73B5A">
        <w:rPr>
          <w:i/>
          <w:iCs/>
        </w:rPr>
        <w:t>Practical Assessment, Research &amp; Evaluation</w:t>
      </w:r>
      <w:r w:rsidRPr="00B73B5A">
        <w:t xml:space="preserve">, 7(3), </w:t>
      </w:r>
      <w:r w:rsidR="00B73B5A">
        <w:t xml:space="preserve">pp. </w:t>
      </w:r>
      <w:r w:rsidRPr="00B73B5A">
        <w:t>1-5.</w:t>
      </w:r>
    </w:p>
    <w:p w14:paraId="1E18555E" w14:textId="4C2417E8" w:rsidR="00675F77" w:rsidRPr="00B73B5A" w:rsidRDefault="00675F77" w:rsidP="00360DE2">
      <w:pPr>
        <w:spacing w:after="240"/>
      </w:pPr>
      <w:r w:rsidRPr="00B73B5A">
        <w:t xml:space="preserve">Mutton, </w:t>
      </w:r>
      <w:r w:rsidR="00B7038E" w:rsidRPr="00B73B5A">
        <w:t xml:space="preserve">J. and Plowden, P. (2016) </w:t>
      </w:r>
      <w:r w:rsidR="005744A6">
        <w:t>‘</w:t>
      </w:r>
      <w:r w:rsidR="00B7038E" w:rsidRPr="00B73B5A">
        <w:t>Student Attainment in Higher Education: Issues, controversies and debates</w:t>
      </w:r>
      <w:r w:rsidR="005744A6">
        <w:t>’</w:t>
      </w:r>
      <w:r w:rsidR="00F3616E">
        <w:t>, in</w:t>
      </w:r>
      <w:r w:rsidR="00B7038E" w:rsidRPr="00B73B5A">
        <w:t xml:space="preserve"> Steventon, G., Cureton, D., and Clouder, L. </w:t>
      </w:r>
      <w:r w:rsidR="00F3616E">
        <w:t xml:space="preserve">(eds) </w:t>
      </w:r>
      <w:r w:rsidR="00B7038E" w:rsidRPr="00F3616E">
        <w:rPr>
          <w:i/>
          <w:iCs/>
        </w:rPr>
        <w:t>Student Attainment in Higher Education: Issues, controversies and debates</w:t>
      </w:r>
      <w:r w:rsidR="00B7038E" w:rsidRPr="00B73B5A">
        <w:t xml:space="preserve">. Abingdon: Routledge, </w:t>
      </w:r>
      <w:r w:rsidR="00B73B5A">
        <w:t xml:space="preserve">pp. </w:t>
      </w:r>
      <w:r w:rsidR="00B7038E" w:rsidRPr="00B73B5A">
        <w:t xml:space="preserve">40-51. </w:t>
      </w:r>
    </w:p>
    <w:p w14:paraId="1C9F986E" w14:textId="1FB5F141" w:rsidR="00777AA4" w:rsidRPr="00B73B5A" w:rsidRDefault="00777AA4" w:rsidP="00360DE2">
      <w:pPr>
        <w:spacing w:after="240"/>
      </w:pPr>
      <w:r w:rsidRPr="00B73B5A">
        <w:lastRenderedPageBreak/>
        <w:t xml:space="preserve">Nicol, D., (2010) </w:t>
      </w:r>
      <w:r w:rsidR="00B73B5A">
        <w:t>‘</w:t>
      </w:r>
      <w:r w:rsidRPr="00B73B5A">
        <w:t>From monologue to dialogue: improving written feedback processes in mass higher education</w:t>
      </w:r>
      <w:r w:rsidR="00B73B5A">
        <w:t>’,</w:t>
      </w:r>
      <w:r w:rsidRPr="00B73B5A">
        <w:t xml:space="preserve"> </w:t>
      </w:r>
      <w:r w:rsidRPr="00B73B5A">
        <w:rPr>
          <w:i/>
          <w:iCs/>
        </w:rPr>
        <w:t>Assessment &amp; Evaluation in Higher Education</w:t>
      </w:r>
      <w:r w:rsidRPr="00B73B5A">
        <w:t xml:space="preserve">, 35(5), </w:t>
      </w:r>
      <w:r w:rsidR="00B73B5A">
        <w:t xml:space="preserve">pp. </w:t>
      </w:r>
      <w:r w:rsidRPr="00B73B5A">
        <w:t>501-517.</w:t>
      </w:r>
    </w:p>
    <w:p w14:paraId="31A780EA" w14:textId="21F51984" w:rsidR="00777AA4" w:rsidRPr="00B73B5A" w:rsidRDefault="00777AA4" w:rsidP="00360DE2">
      <w:pPr>
        <w:spacing w:after="240"/>
      </w:pPr>
      <w:r w:rsidRPr="00B73B5A">
        <w:t xml:space="preserve">Orsmond, P. and Merry, S., (1996) </w:t>
      </w:r>
      <w:r w:rsidR="00B73B5A">
        <w:t>‘</w:t>
      </w:r>
      <w:r w:rsidRPr="00B73B5A">
        <w:t>The importance of marking criteria in the use of peer assessment</w:t>
      </w:r>
      <w:r w:rsidR="00B73B5A">
        <w:t>’,</w:t>
      </w:r>
      <w:r w:rsidRPr="00B73B5A">
        <w:t xml:space="preserve"> </w:t>
      </w:r>
      <w:r w:rsidRPr="00B73B5A">
        <w:rPr>
          <w:i/>
          <w:iCs/>
        </w:rPr>
        <w:t>Assessment &amp; Evaluation in Higher Education</w:t>
      </w:r>
      <w:r w:rsidRPr="00B73B5A">
        <w:t xml:space="preserve">, 21, </w:t>
      </w:r>
      <w:r w:rsidR="00B73B5A">
        <w:t xml:space="preserve">pp. </w:t>
      </w:r>
      <w:r w:rsidRPr="00B73B5A">
        <w:t>239–250.</w:t>
      </w:r>
    </w:p>
    <w:p w14:paraId="1B921102" w14:textId="52E09AB1" w:rsidR="0060079F" w:rsidRPr="00B73B5A" w:rsidRDefault="0060079F" w:rsidP="00360DE2">
      <w:pPr>
        <w:spacing w:after="240"/>
      </w:pPr>
      <w:r w:rsidRPr="00B73B5A">
        <w:t xml:space="preserve">Pitt, E., and L. Norton, L. (2017) </w:t>
      </w:r>
      <w:r w:rsidR="00B73B5A">
        <w:t>‘</w:t>
      </w:r>
      <w:r w:rsidRPr="00B73B5A">
        <w:t>Now That’s the Feedback I Want!’ Students’ Reactions to Feedback on Graded Work and What They Do with It</w:t>
      </w:r>
      <w:r w:rsidR="00B73B5A">
        <w:t>’,</w:t>
      </w:r>
      <w:r w:rsidRPr="00B73B5A">
        <w:t xml:space="preserve"> </w:t>
      </w:r>
      <w:r w:rsidRPr="00B73B5A">
        <w:rPr>
          <w:i/>
          <w:iCs/>
        </w:rPr>
        <w:t>Assessment &amp; Evaluation in Higher Education</w:t>
      </w:r>
      <w:r w:rsidRPr="00B73B5A">
        <w:t>, 42(4), </w:t>
      </w:r>
      <w:r w:rsidR="00B73B5A">
        <w:t xml:space="preserve">pp. </w:t>
      </w:r>
      <w:r w:rsidRPr="00B73B5A">
        <w:t xml:space="preserve">499–516. </w:t>
      </w:r>
    </w:p>
    <w:p w14:paraId="5228293C" w14:textId="0D9B6BEB" w:rsidR="00777AA4" w:rsidRPr="00B73B5A" w:rsidRDefault="0060079F" w:rsidP="00360DE2">
      <w:pPr>
        <w:spacing w:after="240"/>
      </w:pPr>
      <w:r w:rsidRPr="00B73B5A">
        <w:t xml:space="preserve">Pitt, E., Bearman, M. and Esterhazy, R. (2020) </w:t>
      </w:r>
      <w:r w:rsidR="00B73B5A">
        <w:t>‘</w:t>
      </w:r>
      <w:r w:rsidRPr="00B73B5A">
        <w:t>The Conundrum of Low Achievement and Feedback for Learning</w:t>
      </w:r>
      <w:r w:rsidR="00B73B5A">
        <w:t>’,</w:t>
      </w:r>
      <w:r w:rsidRPr="00B73B5A">
        <w:t xml:space="preserve"> </w:t>
      </w:r>
      <w:r w:rsidRPr="00B73B5A">
        <w:rPr>
          <w:i/>
          <w:iCs/>
        </w:rPr>
        <w:t>Assessment and Evaluation in Higher Education</w:t>
      </w:r>
      <w:r w:rsidRPr="00B73B5A">
        <w:t>, 45(2)</w:t>
      </w:r>
      <w:r w:rsidR="129B1718" w:rsidRPr="00B73B5A">
        <w:t>,</w:t>
      </w:r>
      <w:r w:rsidRPr="00B73B5A">
        <w:t xml:space="preserve"> </w:t>
      </w:r>
      <w:r w:rsidR="00B73B5A">
        <w:t xml:space="preserve">pp. </w:t>
      </w:r>
      <w:r w:rsidRPr="00B73B5A">
        <w:t xml:space="preserve">239-250. </w:t>
      </w:r>
    </w:p>
    <w:p w14:paraId="020967C7" w14:textId="1E87D444" w:rsidR="00777AA4" w:rsidRPr="00B73B5A" w:rsidRDefault="00777AA4" w:rsidP="00360DE2">
      <w:pPr>
        <w:spacing w:after="240"/>
      </w:pPr>
      <w:r w:rsidRPr="00B73B5A">
        <w:t xml:space="preserve">Reddy, Y.M. and Andrade, H., (2010) </w:t>
      </w:r>
      <w:r w:rsidR="00B73B5A">
        <w:t>‘</w:t>
      </w:r>
      <w:r w:rsidRPr="00B73B5A">
        <w:t>A review of rubric use in higher education</w:t>
      </w:r>
      <w:r w:rsidR="00B73B5A">
        <w:t>’,</w:t>
      </w:r>
      <w:r w:rsidRPr="00B73B5A">
        <w:t xml:space="preserve"> </w:t>
      </w:r>
      <w:r w:rsidRPr="00B73B5A">
        <w:rPr>
          <w:i/>
          <w:iCs/>
        </w:rPr>
        <w:t>Assessment &amp; evaluation in higher education</w:t>
      </w:r>
      <w:r w:rsidRPr="00B73B5A">
        <w:t xml:space="preserve">, 35(4), </w:t>
      </w:r>
      <w:r w:rsidR="00B73B5A">
        <w:t xml:space="preserve">pp. </w:t>
      </w:r>
      <w:r w:rsidRPr="00B73B5A">
        <w:t>435-448.</w:t>
      </w:r>
    </w:p>
    <w:p w14:paraId="3DDEFDCF" w14:textId="4499BC0E" w:rsidR="00777AA4" w:rsidRPr="00B73B5A" w:rsidRDefault="00777AA4" w:rsidP="00360DE2">
      <w:pPr>
        <w:spacing w:after="240"/>
      </w:pPr>
      <w:r w:rsidRPr="00B73B5A">
        <w:t xml:space="preserve">Smith, C.D., Worsfold, K., Davies, L., Fisher, R. and McPhail, R., (2013) </w:t>
      </w:r>
      <w:r w:rsidR="00B73B5A">
        <w:t>‘</w:t>
      </w:r>
      <w:r w:rsidRPr="00B73B5A">
        <w:t>Assessment literacy and student learning: the case for explicitly developing students ‘assessment literacy’</w:t>
      </w:r>
      <w:r w:rsidR="00B73B5A">
        <w:t>,</w:t>
      </w:r>
      <w:r w:rsidRPr="00B73B5A">
        <w:t xml:space="preserve"> </w:t>
      </w:r>
      <w:r w:rsidRPr="00B73B5A">
        <w:rPr>
          <w:i/>
          <w:iCs/>
        </w:rPr>
        <w:t>Assessment &amp; Evaluation in Higher Education</w:t>
      </w:r>
      <w:r w:rsidRPr="00B73B5A">
        <w:t xml:space="preserve">, 38(1), </w:t>
      </w:r>
      <w:r w:rsidR="00B73B5A">
        <w:t xml:space="preserve">pp. </w:t>
      </w:r>
      <w:r w:rsidRPr="00B73B5A">
        <w:t>44-60.</w:t>
      </w:r>
    </w:p>
    <w:p w14:paraId="2EBBB0BD" w14:textId="58D04106" w:rsidR="00777AA4" w:rsidRPr="00B73B5A" w:rsidRDefault="00360DE2" w:rsidP="00360DE2">
      <w:pPr>
        <w:spacing w:after="240"/>
      </w:pPr>
      <w:r w:rsidRPr="00B73B5A">
        <w:t>S</w:t>
      </w:r>
      <w:r w:rsidR="00777AA4" w:rsidRPr="00B73B5A">
        <w:t xml:space="preserve">utton, P., (2012) </w:t>
      </w:r>
      <w:r w:rsidR="00B73B5A">
        <w:t>‘</w:t>
      </w:r>
      <w:r w:rsidR="00777AA4" w:rsidRPr="00B73B5A">
        <w:t>Conceptualizing feedback literacy: knowing, being, and acting</w:t>
      </w:r>
      <w:r w:rsidR="00B73B5A">
        <w:t>’,</w:t>
      </w:r>
      <w:r w:rsidR="00777AA4" w:rsidRPr="00B73B5A">
        <w:t xml:space="preserve"> </w:t>
      </w:r>
      <w:r w:rsidR="00777AA4" w:rsidRPr="00B73B5A">
        <w:rPr>
          <w:i/>
          <w:iCs/>
        </w:rPr>
        <w:t>Innovations in Education and Teaching International</w:t>
      </w:r>
      <w:r w:rsidR="00777AA4" w:rsidRPr="00B73B5A">
        <w:t xml:space="preserve">, 49(1), </w:t>
      </w:r>
      <w:r w:rsidR="00B73B5A">
        <w:t xml:space="preserve">pp. </w:t>
      </w:r>
      <w:r w:rsidR="00777AA4" w:rsidRPr="00B73B5A">
        <w:t>31-40.</w:t>
      </w:r>
    </w:p>
    <w:p w14:paraId="71781886" w14:textId="485B5826" w:rsidR="00777AA4" w:rsidRPr="00B73B5A" w:rsidRDefault="00777AA4" w:rsidP="00360DE2">
      <w:pPr>
        <w:spacing w:after="240"/>
      </w:pPr>
      <w:r w:rsidRPr="00B73B5A">
        <w:t xml:space="preserve">Vardi, I., (2012) </w:t>
      </w:r>
      <w:r w:rsidR="00B73B5A">
        <w:t>‘</w:t>
      </w:r>
      <w:r w:rsidRPr="00B73B5A">
        <w:t>The impact of iterative writing and feedback on the characteristics of tertiary students' written texts</w:t>
      </w:r>
      <w:r w:rsidR="00B73B5A">
        <w:t>’,</w:t>
      </w:r>
      <w:r w:rsidRPr="00B73B5A">
        <w:t xml:space="preserve"> </w:t>
      </w:r>
      <w:r w:rsidRPr="00B73B5A">
        <w:rPr>
          <w:i/>
          <w:iCs/>
        </w:rPr>
        <w:t>Teaching in Higher Education</w:t>
      </w:r>
      <w:r w:rsidRPr="00B73B5A">
        <w:t xml:space="preserve">, 17(2), </w:t>
      </w:r>
      <w:r w:rsidR="00B73B5A">
        <w:t xml:space="preserve">pp. </w:t>
      </w:r>
      <w:r w:rsidRPr="00B73B5A">
        <w:t>167-179.</w:t>
      </w:r>
    </w:p>
    <w:p w14:paraId="2751D307" w14:textId="735182E4" w:rsidR="00777AA4" w:rsidRPr="00B73B5A" w:rsidRDefault="00777AA4" w:rsidP="00360DE2">
      <w:pPr>
        <w:spacing w:after="240"/>
      </w:pPr>
      <w:r w:rsidRPr="00B73B5A">
        <w:t xml:space="preserve">Weaver, M.R., (2006) </w:t>
      </w:r>
      <w:r w:rsidR="00B73B5A">
        <w:t>‘</w:t>
      </w:r>
      <w:r w:rsidRPr="00B73B5A">
        <w:t>Do students value feedback? Student perceptions of tutors’ written responses</w:t>
      </w:r>
      <w:r w:rsidR="00B73B5A">
        <w:t>’,</w:t>
      </w:r>
      <w:r w:rsidRPr="00B73B5A">
        <w:t xml:space="preserve"> </w:t>
      </w:r>
      <w:r w:rsidRPr="00B73B5A">
        <w:rPr>
          <w:i/>
          <w:iCs/>
        </w:rPr>
        <w:t>Assessment &amp; Evaluation in Higher Education</w:t>
      </w:r>
      <w:r w:rsidRPr="00B73B5A">
        <w:t xml:space="preserve">, 31(3), </w:t>
      </w:r>
      <w:r w:rsidR="00B73B5A">
        <w:t xml:space="preserve">pp. </w:t>
      </w:r>
      <w:r w:rsidRPr="00B73B5A">
        <w:t>379-394.</w:t>
      </w:r>
    </w:p>
    <w:p w14:paraId="34DC92FC" w14:textId="191763E9" w:rsidR="6B1078C2" w:rsidRPr="00B73B5A" w:rsidRDefault="6B1078C2" w:rsidP="00360DE2">
      <w:pPr>
        <w:spacing w:after="240"/>
      </w:pPr>
      <w:r w:rsidRPr="00B73B5A">
        <w:lastRenderedPageBreak/>
        <w:t xml:space="preserve">Winstone, N. and Boud, D. (2022) </w:t>
      </w:r>
      <w:r w:rsidR="00B73B5A">
        <w:t>‘</w:t>
      </w:r>
      <w:r w:rsidRPr="00B73B5A">
        <w:t>The need to disentangle assessment and feedback in higher education</w:t>
      </w:r>
      <w:r w:rsidR="00B73B5A">
        <w:t>’,</w:t>
      </w:r>
      <w:r w:rsidRPr="00B73B5A">
        <w:t xml:space="preserve"> </w:t>
      </w:r>
      <w:r w:rsidRPr="00B73B5A">
        <w:rPr>
          <w:i/>
          <w:iCs/>
        </w:rPr>
        <w:t>Studies in Higher Education</w:t>
      </w:r>
      <w:r w:rsidRPr="00B73B5A">
        <w:t xml:space="preserve">, 47(3), </w:t>
      </w:r>
      <w:r w:rsidR="00B73B5A">
        <w:t xml:space="preserve">pp. </w:t>
      </w:r>
      <w:r w:rsidRPr="00B73B5A">
        <w:t>656-</w:t>
      </w:r>
      <w:r w:rsidR="53717E42" w:rsidRPr="00B73B5A">
        <w:t>667.</w:t>
      </w:r>
    </w:p>
    <w:p w14:paraId="0919813F" w14:textId="31609785" w:rsidR="00777AA4" w:rsidRPr="00B73B5A" w:rsidRDefault="00777AA4" w:rsidP="00360DE2">
      <w:pPr>
        <w:spacing w:after="240"/>
      </w:pPr>
      <w:r w:rsidRPr="00B73B5A">
        <w:t xml:space="preserve">Worth, N., </w:t>
      </w:r>
      <w:r w:rsidR="00B73B5A">
        <w:t>(</w:t>
      </w:r>
      <w:r w:rsidRPr="00B73B5A">
        <w:t>2014</w:t>
      </w:r>
      <w:r w:rsidR="00B73B5A">
        <w:t>)</w:t>
      </w:r>
      <w:r w:rsidRPr="00B73B5A">
        <w:t xml:space="preserve"> </w:t>
      </w:r>
      <w:r w:rsidR="00B73B5A">
        <w:t>‘</w:t>
      </w:r>
      <w:r w:rsidRPr="00B73B5A">
        <w:t>Student-focused assessment criteria: thinking through best practice</w:t>
      </w:r>
      <w:r w:rsidR="00B73B5A">
        <w:t>’,</w:t>
      </w:r>
      <w:r w:rsidRPr="00B73B5A">
        <w:t xml:space="preserve"> </w:t>
      </w:r>
      <w:r w:rsidRPr="00B73B5A">
        <w:rPr>
          <w:i/>
          <w:iCs/>
        </w:rPr>
        <w:t>Journal of Geography in Higher Education</w:t>
      </w:r>
      <w:r w:rsidRPr="00B73B5A">
        <w:t xml:space="preserve">, 38(3), </w:t>
      </w:r>
      <w:r w:rsidR="00B73B5A">
        <w:t xml:space="preserve">pp. </w:t>
      </w:r>
      <w:r w:rsidRPr="00B73B5A">
        <w:t>361-372.</w:t>
      </w:r>
    </w:p>
    <w:p w14:paraId="130D4E31" w14:textId="77777777" w:rsidR="00B813B8" w:rsidRPr="00D371FC" w:rsidRDefault="00B813B8" w:rsidP="00424131"/>
    <w:sectPr w:rsidR="00B813B8" w:rsidRPr="00D371FC" w:rsidSect="00D371FC">
      <w:headerReference w:type="even" r:id="rId8"/>
      <w:headerReference w:type="default" r:id="rId9"/>
      <w:footerReference w:type="even" r:id="rId10"/>
      <w:footerReference w:type="default" r:id="rId11"/>
      <w:headerReference w:type="first" r:id="rId12"/>
      <w:footerReference w:type="first" r:id="rId13"/>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F918" w14:textId="77777777" w:rsidR="005F368B" w:rsidRDefault="005F368B" w:rsidP="00424131">
      <w:r>
        <w:separator/>
      </w:r>
    </w:p>
  </w:endnote>
  <w:endnote w:type="continuationSeparator" w:id="0">
    <w:p w14:paraId="26AB391C" w14:textId="77777777" w:rsidR="005F368B" w:rsidRDefault="005F368B" w:rsidP="00424131">
      <w:r>
        <w:continuationSeparator/>
      </w:r>
    </w:p>
  </w:endnote>
  <w:endnote w:type="continuationNotice" w:id="1">
    <w:p w14:paraId="3EEE226D" w14:textId="77777777" w:rsidR="005F368B" w:rsidRDefault="005F36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2770" w14:textId="77777777" w:rsidR="007E74ED" w:rsidRDefault="007E7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64CD508B" w14:textId="77777777" w:rsidR="00B77AB5" w:rsidRPr="00C33412" w:rsidRDefault="00B77AB5" w:rsidP="00B77AB5">
        <w:pPr>
          <w:pStyle w:val="Footer"/>
          <w:spacing w:line="240" w:lineRule="auto"/>
          <w:rPr>
            <w:noProof/>
            <w:sz w:val="20"/>
            <w:szCs w:val="20"/>
          </w:rPr>
        </w:pPr>
        <w:r w:rsidRPr="00C33412">
          <w:rPr>
            <w:sz w:val="20"/>
            <w:szCs w:val="20"/>
          </w:rPr>
          <w:t>Innovative Practice in Higher Education</w:t>
        </w:r>
        <w:r w:rsidRPr="00C33412">
          <w:rPr>
            <w:sz w:val="20"/>
            <w:szCs w:val="20"/>
          </w:rPr>
          <w:tab/>
        </w:r>
        <w:r w:rsidRPr="00C33412">
          <w:rPr>
            <w:sz w:val="20"/>
            <w:szCs w:val="20"/>
          </w:rPr>
          <w:tab/>
        </w:r>
        <w:r w:rsidRPr="00C33412">
          <w:rPr>
            <w:sz w:val="20"/>
            <w:szCs w:val="20"/>
          </w:rPr>
          <w:fldChar w:fldCharType="begin"/>
        </w:r>
        <w:r w:rsidRPr="00C33412">
          <w:rPr>
            <w:sz w:val="20"/>
            <w:szCs w:val="20"/>
          </w:rPr>
          <w:instrText xml:space="preserve"> PAGE   \* MERGEFORMAT </w:instrText>
        </w:r>
        <w:r w:rsidRPr="00C33412">
          <w:rPr>
            <w:sz w:val="20"/>
            <w:szCs w:val="20"/>
          </w:rPr>
          <w:fldChar w:fldCharType="separate"/>
        </w:r>
        <w:r w:rsidR="00292945">
          <w:rPr>
            <w:noProof/>
            <w:sz w:val="20"/>
            <w:szCs w:val="20"/>
          </w:rPr>
          <w:t>6</w:t>
        </w:r>
        <w:r w:rsidRPr="00C33412">
          <w:rPr>
            <w:noProof/>
            <w:sz w:val="20"/>
            <w:szCs w:val="20"/>
          </w:rPr>
          <w:fldChar w:fldCharType="end"/>
        </w:r>
      </w:p>
      <w:p w14:paraId="3397C707" w14:textId="77777777" w:rsidR="00B77AB5" w:rsidRPr="00C33412" w:rsidRDefault="00B77AB5" w:rsidP="00B77AB5">
        <w:pPr>
          <w:pStyle w:val="Footer"/>
          <w:spacing w:line="240" w:lineRule="auto"/>
          <w:rPr>
            <w:sz w:val="20"/>
            <w:szCs w:val="20"/>
          </w:rPr>
        </w:pPr>
        <w:r w:rsidRPr="00C33412">
          <w:rPr>
            <w:sz w:val="20"/>
            <w:szCs w:val="20"/>
          </w:rPr>
          <w:t>© IPiHE 2023</w:t>
        </w:r>
      </w:p>
      <w:p w14:paraId="7118897B" w14:textId="4A913F62" w:rsidR="00B77AB5" w:rsidRDefault="00B77AB5" w:rsidP="00B77AB5">
        <w:pPr>
          <w:pStyle w:val="Footer"/>
          <w:tabs>
            <w:tab w:val="center" w:pos="4819"/>
            <w:tab w:val="right" w:pos="9638"/>
          </w:tabs>
          <w:spacing w:line="240" w:lineRule="auto"/>
        </w:pPr>
        <w:r w:rsidRPr="00C33412">
          <w:rPr>
            <w:sz w:val="20"/>
            <w:szCs w:val="20"/>
          </w:rPr>
          <w:t>ISSN: 2044-3315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80E9" w14:textId="77777777" w:rsidR="007E74ED" w:rsidRDefault="007E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B188" w14:textId="77777777" w:rsidR="005F368B" w:rsidRDefault="005F368B" w:rsidP="00424131">
      <w:r>
        <w:separator/>
      </w:r>
    </w:p>
  </w:footnote>
  <w:footnote w:type="continuationSeparator" w:id="0">
    <w:p w14:paraId="4E1F8B68" w14:textId="77777777" w:rsidR="005F368B" w:rsidRDefault="005F368B" w:rsidP="00424131">
      <w:r>
        <w:continuationSeparator/>
      </w:r>
    </w:p>
  </w:footnote>
  <w:footnote w:type="continuationNotice" w:id="1">
    <w:p w14:paraId="03E88955" w14:textId="77777777" w:rsidR="005F368B" w:rsidRDefault="005F36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045C" w14:textId="77777777" w:rsidR="007E74ED" w:rsidRDefault="007E7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DDD1" w14:textId="0DB95184" w:rsidR="00717A95" w:rsidRPr="00C33412" w:rsidRDefault="00717A95" w:rsidP="00717A95">
    <w:pPr>
      <w:pStyle w:val="Header"/>
      <w:spacing w:line="240" w:lineRule="auto"/>
      <w:rPr>
        <w:sz w:val="20"/>
        <w:szCs w:val="20"/>
      </w:rPr>
    </w:pPr>
    <w:r w:rsidRPr="00C33412">
      <w:rPr>
        <w:sz w:val="20"/>
        <w:szCs w:val="20"/>
      </w:rPr>
      <w:t>Innovative Practice in Higher Education</w:t>
    </w:r>
    <w:r w:rsidRPr="00C33412">
      <w:rPr>
        <w:sz w:val="20"/>
        <w:szCs w:val="20"/>
      </w:rPr>
      <w:tab/>
    </w:r>
    <w:r w:rsidRPr="00C33412">
      <w:rPr>
        <w:sz w:val="20"/>
        <w:szCs w:val="20"/>
      </w:rPr>
      <w:tab/>
    </w:r>
    <w:r>
      <w:rPr>
        <w:sz w:val="20"/>
        <w:szCs w:val="20"/>
      </w:rPr>
      <w:t>Tonkin</w:t>
    </w:r>
    <w:r w:rsidR="00A827C6">
      <w:rPr>
        <w:sz w:val="20"/>
        <w:szCs w:val="20"/>
      </w:rPr>
      <w:t xml:space="preserve"> &amp; Boulay</w:t>
    </w:r>
  </w:p>
  <w:p w14:paraId="00FFB0C4" w14:textId="3CA0907B" w:rsidR="00717A95" w:rsidRPr="00717A95" w:rsidRDefault="00717A95" w:rsidP="00717A95">
    <w:pPr>
      <w:pStyle w:val="Header"/>
      <w:spacing w:line="240" w:lineRule="auto"/>
      <w:rPr>
        <w:sz w:val="20"/>
        <w:szCs w:val="20"/>
      </w:rPr>
    </w:pPr>
    <w:r w:rsidRPr="00C33412">
      <w:rPr>
        <w:sz w:val="20"/>
        <w:szCs w:val="20"/>
      </w:rPr>
      <w:t xml:space="preserve">Vol </w:t>
    </w:r>
    <w:r w:rsidR="007E74ED">
      <w:rPr>
        <w:sz w:val="20"/>
        <w:szCs w:val="20"/>
      </w:rPr>
      <w:t>5</w:t>
    </w:r>
    <w:r w:rsidRPr="00C33412">
      <w:rPr>
        <w:sz w:val="20"/>
        <w:szCs w:val="20"/>
      </w:rPr>
      <w:t xml:space="preserve"> (</w:t>
    </w:r>
    <w:r w:rsidR="007E74ED">
      <w:rPr>
        <w:sz w:val="20"/>
        <w:szCs w:val="20"/>
      </w:rPr>
      <w:t>1</w:t>
    </w:r>
    <w:r w:rsidRPr="00C33412">
      <w:rPr>
        <w:sz w:val="20"/>
        <w:szCs w:val="20"/>
      </w:rPr>
      <w:t xml:space="preserve">) </w:t>
    </w:r>
    <w:r>
      <w:rPr>
        <w:sz w:val="20"/>
        <w:szCs w:val="20"/>
      </w:rPr>
      <w:t>May</w:t>
    </w:r>
    <w:r w:rsidRPr="00C33412">
      <w:rPr>
        <w:sz w:val="20"/>
        <w:szCs w:val="20"/>
      </w:rPr>
      <w:t xml:space="preserve"> 2023</w:t>
    </w:r>
    <w:r w:rsidRPr="00C33412">
      <w:rPr>
        <w:sz w:val="20"/>
        <w:szCs w:val="20"/>
      </w:rPr>
      <w:tab/>
    </w:r>
    <w:r w:rsidRPr="00C33412">
      <w:rPr>
        <w:sz w:val="20"/>
        <w:szCs w:val="20"/>
      </w:rPr>
      <w:tab/>
      <w:t xml:space="preserve">T-shaped and Transferable </w:t>
    </w:r>
    <w:r>
      <w:rPr>
        <w:sz w:val="20"/>
        <w:szCs w:val="20"/>
      </w:rPr>
      <w:t>S</w:t>
    </w:r>
    <w:r w:rsidRPr="00C33412">
      <w:rPr>
        <w:sz w:val="20"/>
        <w:szCs w:val="20"/>
      </w:rPr>
      <w:t>kills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3E28" w14:textId="77777777" w:rsidR="007E74ED" w:rsidRDefault="007E7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301F6376"/>
    <w:multiLevelType w:val="hybridMultilevel"/>
    <w:tmpl w:val="FFEA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324746">
    <w:abstractNumId w:val="0"/>
  </w:num>
  <w:num w:numId="2" w16cid:durableId="88160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FC"/>
    <w:rsid w:val="000053DD"/>
    <w:rsid w:val="0001139A"/>
    <w:rsid w:val="0002175D"/>
    <w:rsid w:val="00034A19"/>
    <w:rsid w:val="00036654"/>
    <w:rsid w:val="00043FD0"/>
    <w:rsid w:val="0005668C"/>
    <w:rsid w:val="0006134E"/>
    <w:rsid w:val="00077A3D"/>
    <w:rsid w:val="000852A7"/>
    <w:rsid w:val="00093CFF"/>
    <w:rsid w:val="000953E9"/>
    <w:rsid w:val="000A2C81"/>
    <w:rsid w:val="000A316F"/>
    <w:rsid w:val="000B275D"/>
    <w:rsid w:val="000B6BE5"/>
    <w:rsid w:val="000B76CD"/>
    <w:rsid w:val="000C246F"/>
    <w:rsid w:val="000C5E94"/>
    <w:rsid w:val="000F1370"/>
    <w:rsid w:val="000F7B1C"/>
    <w:rsid w:val="00116B6E"/>
    <w:rsid w:val="001235EE"/>
    <w:rsid w:val="001437D2"/>
    <w:rsid w:val="00150615"/>
    <w:rsid w:val="001522BE"/>
    <w:rsid w:val="00153078"/>
    <w:rsid w:val="00156BED"/>
    <w:rsid w:val="00170ABC"/>
    <w:rsid w:val="001717F9"/>
    <w:rsid w:val="00197069"/>
    <w:rsid w:val="001A151E"/>
    <w:rsid w:val="001A25F1"/>
    <w:rsid w:val="001A612E"/>
    <w:rsid w:val="001A6659"/>
    <w:rsid w:val="001A7668"/>
    <w:rsid w:val="001B7C41"/>
    <w:rsid w:val="001C4F19"/>
    <w:rsid w:val="001D2522"/>
    <w:rsid w:val="001D349B"/>
    <w:rsid w:val="001D74F9"/>
    <w:rsid w:val="001E714C"/>
    <w:rsid w:val="00201900"/>
    <w:rsid w:val="0020288D"/>
    <w:rsid w:val="00206F25"/>
    <w:rsid w:val="002111A5"/>
    <w:rsid w:val="002137A3"/>
    <w:rsid w:val="002157C6"/>
    <w:rsid w:val="00237E7A"/>
    <w:rsid w:val="002505D4"/>
    <w:rsid w:val="00253797"/>
    <w:rsid w:val="002579AD"/>
    <w:rsid w:val="002701E1"/>
    <w:rsid w:val="00271325"/>
    <w:rsid w:val="00275075"/>
    <w:rsid w:val="00290920"/>
    <w:rsid w:val="00292945"/>
    <w:rsid w:val="002A172F"/>
    <w:rsid w:val="002B6374"/>
    <w:rsid w:val="002D1157"/>
    <w:rsid w:val="002D64E6"/>
    <w:rsid w:val="002E2C89"/>
    <w:rsid w:val="002F2662"/>
    <w:rsid w:val="0032740D"/>
    <w:rsid w:val="003419EC"/>
    <w:rsid w:val="00347604"/>
    <w:rsid w:val="0035583C"/>
    <w:rsid w:val="00360DE2"/>
    <w:rsid w:val="00370377"/>
    <w:rsid w:val="003707E2"/>
    <w:rsid w:val="00377288"/>
    <w:rsid w:val="0038384D"/>
    <w:rsid w:val="003876BB"/>
    <w:rsid w:val="00387EB4"/>
    <w:rsid w:val="00397D0C"/>
    <w:rsid w:val="003A42A7"/>
    <w:rsid w:val="003A6293"/>
    <w:rsid w:val="003B1C7F"/>
    <w:rsid w:val="003D07E5"/>
    <w:rsid w:val="003E3AD9"/>
    <w:rsid w:val="003F0AEA"/>
    <w:rsid w:val="00402F3A"/>
    <w:rsid w:val="004073DD"/>
    <w:rsid w:val="004121AA"/>
    <w:rsid w:val="00423605"/>
    <w:rsid w:val="00424131"/>
    <w:rsid w:val="004248BC"/>
    <w:rsid w:val="004253B0"/>
    <w:rsid w:val="00430590"/>
    <w:rsid w:val="00440FBE"/>
    <w:rsid w:val="00450214"/>
    <w:rsid w:val="0046125E"/>
    <w:rsid w:val="0047368D"/>
    <w:rsid w:val="00473A26"/>
    <w:rsid w:val="00484128"/>
    <w:rsid w:val="004A664F"/>
    <w:rsid w:val="004C750B"/>
    <w:rsid w:val="004D6594"/>
    <w:rsid w:val="004E0671"/>
    <w:rsid w:val="004E713E"/>
    <w:rsid w:val="004F41DB"/>
    <w:rsid w:val="005105C3"/>
    <w:rsid w:val="005302ED"/>
    <w:rsid w:val="005338AE"/>
    <w:rsid w:val="0055481B"/>
    <w:rsid w:val="00557AFE"/>
    <w:rsid w:val="00560D56"/>
    <w:rsid w:val="005744A6"/>
    <w:rsid w:val="005802FF"/>
    <w:rsid w:val="005823FD"/>
    <w:rsid w:val="00587ECB"/>
    <w:rsid w:val="00593242"/>
    <w:rsid w:val="0059608D"/>
    <w:rsid w:val="005A0C26"/>
    <w:rsid w:val="005D0408"/>
    <w:rsid w:val="005D056E"/>
    <w:rsid w:val="005D22CB"/>
    <w:rsid w:val="005D5FC8"/>
    <w:rsid w:val="005E1BA6"/>
    <w:rsid w:val="005E441F"/>
    <w:rsid w:val="005F0A40"/>
    <w:rsid w:val="005F368B"/>
    <w:rsid w:val="005F5678"/>
    <w:rsid w:val="005F668A"/>
    <w:rsid w:val="0060079F"/>
    <w:rsid w:val="00602265"/>
    <w:rsid w:val="006062F0"/>
    <w:rsid w:val="00611FE2"/>
    <w:rsid w:val="0061473F"/>
    <w:rsid w:val="00620093"/>
    <w:rsid w:val="00621628"/>
    <w:rsid w:val="0062555F"/>
    <w:rsid w:val="006265B9"/>
    <w:rsid w:val="00634DFA"/>
    <w:rsid w:val="00635584"/>
    <w:rsid w:val="00640F1F"/>
    <w:rsid w:val="00644AB0"/>
    <w:rsid w:val="0065487A"/>
    <w:rsid w:val="00654E0E"/>
    <w:rsid w:val="00655996"/>
    <w:rsid w:val="00661099"/>
    <w:rsid w:val="00671B9A"/>
    <w:rsid w:val="006743F1"/>
    <w:rsid w:val="006752FC"/>
    <w:rsid w:val="00675F77"/>
    <w:rsid w:val="006763C9"/>
    <w:rsid w:val="00681F5A"/>
    <w:rsid w:val="00683098"/>
    <w:rsid w:val="006B0DFE"/>
    <w:rsid w:val="006B2F23"/>
    <w:rsid w:val="006C15DB"/>
    <w:rsid w:val="006D2499"/>
    <w:rsid w:val="006E3824"/>
    <w:rsid w:val="00702372"/>
    <w:rsid w:val="0071201E"/>
    <w:rsid w:val="0071431E"/>
    <w:rsid w:val="00716FED"/>
    <w:rsid w:val="00717A95"/>
    <w:rsid w:val="0072365C"/>
    <w:rsid w:val="00726E08"/>
    <w:rsid w:val="00746D13"/>
    <w:rsid w:val="00761C7A"/>
    <w:rsid w:val="00766F6B"/>
    <w:rsid w:val="00771264"/>
    <w:rsid w:val="00777AA4"/>
    <w:rsid w:val="007837A5"/>
    <w:rsid w:val="007A3914"/>
    <w:rsid w:val="007A573E"/>
    <w:rsid w:val="007A7F8C"/>
    <w:rsid w:val="007C44CE"/>
    <w:rsid w:val="007D0F1F"/>
    <w:rsid w:val="007D5085"/>
    <w:rsid w:val="007E52BE"/>
    <w:rsid w:val="007E74ED"/>
    <w:rsid w:val="007F02A6"/>
    <w:rsid w:val="007F0904"/>
    <w:rsid w:val="007F3F6F"/>
    <w:rsid w:val="0081356D"/>
    <w:rsid w:val="0081733D"/>
    <w:rsid w:val="0083247A"/>
    <w:rsid w:val="00833528"/>
    <w:rsid w:val="00834BCD"/>
    <w:rsid w:val="00837E55"/>
    <w:rsid w:val="00847F16"/>
    <w:rsid w:val="00851C3C"/>
    <w:rsid w:val="00854522"/>
    <w:rsid w:val="00854EBB"/>
    <w:rsid w:val="00857BB9"/>
    <w:rsid w:val="008609CC"/>
    <w:rsid w:val="008643E6"/>
    <w:rsid w:val="00873282"/>
    <w:rsid w:val="008733A6"/>
    <w:rsid w:val="00880608"/>
    <w:rsid w:val="008913A3"/>
    <w:rsid w:val="0089383E"/>
    <w:rsid w:val="008A4123"/>
    <w:rsid w:val="008A6005"/>
    <w:rsid w:val="008B2D16"/>
    <w:rsid w:val="008C273E"/>
    <w:rsid w:val="008C2B9B"/>
    <w:rsid w:val="008C532C"/>
    <w:rsid w:val="008D15D9"/>
    <w:rsid w:val="008D79E2"/>
    <w:rsid w:val="00903398"/>
    <w:rsid w:val="0091068D"/>
    <w:rsid w:val="00940C7D"/>
    <w:rsid w:val="00943452"/>
    <w:rsid w:val="009533F6"/>
    <w:rsid w:val="00954EBF"/>
    <w:rsid w:val="009641DC"/>
    <w:rsid w:val="00981F80"/>
    <w:rsid w:val="009D15E8"/>
    <w:rsid w:val="009E10EF"/>
    <w:rsid w:val="009E45C1"/>
    <w:rsid w:val="00A010BC"/>
    <w:rsid w:val="00A07D44"/>
    <w:rsid w:val="00A172AF"/>
    <w:rsid w:val="00A2100E"/>
    <w:rsid w:val="00A25F29"/>
    <w:rsid w:val="00A32CC2"/>
    <w:rsid w:val="00A3305F"/>
    <w:rsid w:val="00A34CD2"/>
    <w:rsid w:val="00A366F8"/>
    <w:rsid w:val="00A4134A"/>
    <w:rsid w:val="00A6763D"/>
    <w:rsid w:val="00A71413"/>
    <w:rsid w:val="00A740C5"/>
    <w:rsid w:val="00A74E56"/>
    <w:rsid w:val="00A75A66"/>
    <w:rsid w:val="00A827C6"/>
    <w:rsid w:val="00A84E70"/>
    <w:rsid w:val="00A87C07"/>
    <w:rsid w:val="00AE2177"/>
    <w:rsid w:val="00AE4C72"/>
    <w:rsid w:val="00AE65D6"/>
    <w:rsid w:val="00B02FA4"/>
    <w:rsid w:val="00B2616B"/>
    <w:rsid w:val="00B368E9"/>
    <w:rsid w:val="00B36ABC"/>
    <w:rsid w:val="00B466CB"/>
    <w:rsid w:val="00B56F00"/>
    <w:rsid w:val="00B61221"/>
    <w:rsid w:val="00B62D2D"/>
    <w:rsid w:val="00B6405E"/>
    <w:rsid w:val="00B67D11"/>
    <w:rsid w:val="00B7038E"/>
    <w:rsid w:val="00B73847"/>
    <w:rsid w:val="00B73B5A"/>
    <w:rsid w:val="00B77AB5"/>
    <w:rsid w:val="00B813B8"/>
    <w:rsid w:val="00B855A9"/>
    <w:rsid w:val="00B90A2F"/>
    <w:rsid w:val="00B90E76"/>
    <w:rsid w:val="00B9476F"/>
    <w:rsid w:val="00B96994"/>
    <w:rsid w:val="00BA67A4"/>
    <w:rsid w:val="00BB1DFC"/>
    <w:rsid w:val="00BB6119"/>
    <w:rsid w:val="00BB7A68"/>
    <w:rsid w:val="00BC3EA4"/>
    <w:rsid w:val="00BF2D7C"/>
    <w:rsid w:val="00C05EA6"/>
    <w:rsid w:val="00C15D46"/>
    <w:rsid w:val="00C163A2"/>
    <w:rsid w:val="00C21328"/>
    <w:rsid w:val="00C509E8"/>
    <w:rsid w:val="00C517E5"/>
    <w:rsid w:val="00C52A52"/>
    <w:rsid w:val="00C642A1"/>
    <w:rsid w:val="00C76140"/>
    <w:rsid w:val="00C81D47"/>
    <w:rsid w:val="00C82B22"/>
    <w:rsid w:val="00C854A1"/>
    <w:rsid w:val="00C93003"/>
    <w:rsid w:val="00CD0644"/>
    <w:rsid w:val="00CF2CCB"/>
    <w:rsid w:val="00CF48FA"/>
    <w:rsid w:val="00D116F8"/>
    <w:rsid w:val="00D1301D"/>
    <w:rsid w:val="00D17B62"/>
    <w:rsid w:val="00D20320"/>
    <w:rsid w:val="00D21174"/>
    <w:rsid w:val="00D23622"/>
    <w:rsid w:val="00D2366E"/>
    <w:rsid w:val="00D36596"/>
    <w:rsid w:val="00D371FC"/>
    <w:rsid w:val="00D53076"/>
    <w:rsid w:val="00D537E0"/>
    <w:rsid w:val="00D63957"/>
    <w:rsid w:val="00DA578D"/>
    <w:rsid w:val="00DA62D7"/>
    <w:rsid w:val="00DB3F46"/>
    <w:rsid w:val="00DB5EF7"/>
    <w:rsid w:val="00DC7728"/>
    <w:rsid w:val="00DD0A92"/>
    <w:rsid w:val="00DD4332"/>
    <w:rsid w:val="00DE661B"/>
    <w:rsid w:val="00DEF7BB"/>
    <w:rsid w:val="00DF2FAA"/>
    <w:rsid w:val="00E101FA"/>
    <w:rsid w:val="00E309BC"/>
    <w:rsid w:val="00E418DC"/>
    <w:rsid w:val="00E41BDF"/>
    <w:rsid w:val="00E4732E"/>
    <w:rsid w:val="00E56A56"/>
    <w:rsid w:val="00E578DC"/>
    <w:rsid w:val="00E62332"/>
    <w:rsid w:val="00E7329D"/>
    <w:rsid w:val="00E737D8"/>
    <w:rsid w:val="00E75668"/>
    <w:rsid w:val="00E76AE1"/>
    <w:rsid w:val="00E8004F"/>
    <w:rsid w:val="00E81430"/>
    <w:rsid w:val="00E875EF"/>
    <w:rsid w:val="00E91936"/>
    <w:rsid w:val="00EA4826"/>
    <w:rsid w:val="00EA5F0C"/>
    <w:rsid w:val="00EB2882"/>
    <w:rsid w:val="00ED235E"/>
    <w:rsid w:val="00EE25E2"/>
    <w:rsid w:val="00EE3574"/>
    <w:rsid w:val="00EF1B1F"/>
    <w:rsid w:val="00EF5863"/>
    <w:rsid w:val="00EF6A14"/>
    <w:rsid w:val="00F0766E"/>
    <w:rsid w:val="00F17009"/>
    <w:rsid w:val="00F2077C"/>
    <w:rsid w:val="00F27381"/>
    <w:rsid w:val="00F34F72"/>
    <w:rsid w:val="00F3616E"/>
    <w:rsid w:val="00F414D1"/>
    <w:rsid w:val="00F42415"/>
    <w:rsid w:val="00F437C5"/>
    <w:rsid w:val="00F5642E"/>
    <w:rsid w:val="00F72898"/>
    <w:rsid w:val="00F86FFB"/>
    <w:rsid w:val="00F92A90"/>
    <w:rsid w:val="00F93AE0"/>
    <w:rsid w:val="00F94C72"/>
    <w:rsid w:val="00FA3C1D"/>
    <w:rsid w:val="00FC449F"/>
    <w:rsid w:val="00FD7449"/>
    <w:rsid w:val="00FE0A4A"/>
    <w:rsid w:val="00FF1D7A"/>
    <w:rsid w:val="01E6463A"/>
    <w:rsid w:val="02082341"/>
    <w:rsid w:val="0343F6F3"/>
    <w:rsid w:val="035E3071"/>
    <w:rsid w:val="03AAAA49"/>
    <w:rsid w:val="043FF403"/>
    <w:rsid w:val="045D449C"/>
    <w:rsid w:val="05039D5E"/>
    <w:rsid w:val="05428AF5"/>
    <w:rsid w:val="05B27464"/>
    <w:rsid w:val="06DC04B9"/>
    <w:rsid w:val="07E9B58A"/>
    <w:rsid w:val="082E98B4"/>
    <w:rsid w:val="08343F85"/>
    <w:rsid w:val="089A3EA8"/>
    <w:rsid w:val="09050E56"/>
    <w:rsid w:val="09DF2312"/>
    <w:rsid w:val="0AF9945D"/>
    <w:rsid w:val="0C34471A"/>
    <w:rsid w:val="0CE3ACE1"/>
    <w:rsid w:val="0CE57937"/>
    <w:rsid w:val="0D448208"/>
    <w:rsid w:val="0D475BB4"/>
    <w:rsid w:val="0D4B463D"/>
    <w:rsid w:val="0DF60F78"/>
    <w:rsid w:val="0E0C7175"/>
    <w:rsid w:val="0E27D327"/>
    <w:rsid w:val="0E2D0410"/>
    <w:rsid w:val="0E743BC7"/>
    <w:rsid w:val="0EC55B41"/>
    <w:rsid w:val="0EEA7CB7"/>
    <w:rsid w:val="0F05F044"/>
    <w:rsid w:val="0F6CA5C8"/>
    <w:rsid w:val="0FA211DF"/>
    <w:rsid w:val="0FFE59B7"/>
    <w:rsid w:val="1030463A"/>
    <w:rsid w:val="10B0DD67"/>
    <w:rsid w:val="10F5B747"/>
    <w:rsid w:val="11341800"/>
    <w:rsid w:val="11DD79D3"/>
    <w:rsid w:val="123FC35D"/>
    <w:rsid w:val="129B1718"/>
    <w:rsid w:val="1304A642"/>
    <w:rsid w:val="13A2DAEA"/>
    <w:rsid w:val="13CF746A"/>
    <w:rsid w:val="14A86429"/>
    <w:rsid w:val="14CCDDA8"/>
    <w:rsid w:val="153D3D86"/>
    <w:rsid w:val="153EAB4B"/>
    <w:rsid w:val="1565AD2C"/>
    <w:rsid w:val="16BA5217"/>
    <w:rsid w:val="170CD5A6"/>
    <w:rsid w:val="1782CCBC"/>
    <w:rsid w:val="18366887"/>
    <w:rsid w:val="18764C0D"/>
    <w:rsid w:val="191360FD"/>
    <w:rsid w:val="194FB01B"/>
    <w:rsid w:val="1968937A"/>
    <w:rsid w:val="19BDE6D3"/>
    <w:rsid w:val="1A0D5616"/>
    <w:rsid w:val="1A0FCBA9"/>
    <w:rsid w:val="1A121C6E"/>
    <w:rsid w:val="1A47854D"/>
    <w:rsid w:val="1ADECC25"/>
    <w:rsid w:val="1BA92677"/>
    <w:rsid w:val="1C09B228"/>
    <w:rsid w:val="1C99E1BD"/>
    <w:rsid w:val="1CF50B61"/>
    <w:rsid w:val="1CF58795"/>
    <w:rsid w:val="1D274B3E"/>
    <w:rsid w:val="1D945F5B"/>
    <w:rsid w:val="1DA58289"/>
    <w:rsid w:val="1DC185C5"/>
    <w:rsid w:val="1DE2A43E"/>
    <w:rsid w:val="1DE9ACFA"/>
    <w:rsid w:val="1E1FDD4B"/>
    <w:rsid w:val="1E227799"/>
    <w:rsid w:val="1E782F99"/>
    <w:rsid w:val="1E7DABCA"/>
    <w:rsid w:val="1E96CD14"/>
    <w:rsid w:val="1F0241AC"/>
    <w:rsid w:val="1F3824B7"/>
    <w:rsid w:val="1FBBADAC"/>
    <w:rsid w:val="2109B1F4"/>
    <w:rsid w:val="211727B0"/>
    <w:rsid w:val="21503932"/>
    <w:rsid w:val="22C32CE8"/>
    <w:rsid w:val="23FD5228"/>
    <w:rsid w:val="255F6664"/>
    <w:rsid w:val="25AA5D60"/>
    <w:rsid w:val="25E3236E"/>
    <w:rsid w:val="26054515"/>
    <w:rsid w:val="2630DBB5"/>
    <w:rsid w:val="2670A0D1"/>
    <w:rsid w:val="27146AE2"/>
    <w:rsid w:val="27CF328B"/>
    <w:rsid w:val="288F9705"/>
    <w:rsid w:val="28AF2C8F"/>
    <w:rsid w:val="28BB7AB2"/>
    <w:rsid w:val="28C4D966"/>
    <w:rsid w:val="29814A8A"/>
    <w:rsid w:val="2A6D0533"/>
    <w:rsid w:val="2A8F93D7"/>
    <w:rsid w:val="2AE1D878"/>
    <w:rsid w:val="2B71B04F"/>
    <w:rsid w:val="2B925BB8"/>
    <w:rsid w:val="2BC5A430"/>
    <w:rsid w:val="2C1D4422"/>
    <w:rsid w:val="2C8A8189"/>
    <w:rsid w:val="2CE5D11A"/>
    <w:rsid w:val="2CFC2700"/>
    <w:rsid w:val="2D59CF5F"/>
    <w:rsid w:val="2DD33304"/>
    <w:rsid w:val="2E37B4D2"/>
    <w:rsid w:val="2E700102"/>
    <w:rsid w:val="2EFB2963"/>
    <w:rsid w:val="2F013A16"/>
    <w:rsid w:val="2F221116"/>
    <w:rsid w:val="2F45EB5A"/>
    <w:rsid w:val="2F7578FE"/>
    <w:rsid w:val="2FD64BF1"/>
    <w:rsid w:val="2FD7FB2C"/>
    <w:rsid w:val="2FF5E64E"/>
    <w:rsid w:val="304FC326"/>
    <w:rsid w:val="30815349"/>
    <w:rsid w:val="31BD6F4B"/>
    <w:rsid w:val="326A5FA3"/>
    <w:rsid w:val="32C438C3"/>
    <w:rsid w:val="33145EB3"/>
    <w:rsid w:val="336FAFE9"/>
    <w:rsid w:val="3438DC3D"/>
    <w:rsid w:val="348E3468"/>
    <w:rsid w:val="34E20798"/>
    <w:rsid w:val="35042D70"/>
    <w:rsid w:val="3559148D"/>
    <w:rsid w:val="36A6B985"/>
    <w:rsid w:val="37194815"/>
    <w:rsid w:val="37C23C63"/>
    <w:rsid w:val="37F113A9"/>
    <w:rsid w:val="3835DE70"/>
    <w:rsid w:val="383D232F"/>
    <w:rsid w:val="38B51876"/>
    <w:rsid w:val="38B9C2C1"/>
    <w:rsid w:val="3906AD3B"/>
    <w:rsid w:val="392E108D"/>
    <w:rsid w:val="399EC33C"/>
    <w:rsid w:val="39D3AAE4"/>
    <w:rsid w:val="39ED45A5"/>
    <w:rsid w:val="3A210DC0"/>
    <w:rsid w:val="3A2FFBA1"/>
    <w:rsid w:val="3A32783B"/>
    <w:rsid w:val="3AEC57FD"/>
    <w:rsid w:val="3AEF2CA6"/>
    <w:rsid w:val="3B57AB70"/>
    <w:rsid w:val="3B973035"/>
    <w:rsid w:val="3BE8F916"/>
    <w:rsid w:val="3C0D549E"/>
    <w:rsid w:val="3CA29C25"/>
    <w:rsid w:val="3CEC3B6C"/>
    <w:rsid w:val="3CFA96B4"/>
    <w:rsid w:val="3DAF7655"/>
    <w:rsid w:val="3DBA5838"/>
    <w:rsid w:val="3DF4ECEF"/>
    <w:rsid w:val="3E214159"/>
    <w:rsid w:val="3E369FEA"/>
    <w:rsid w:val="3E9031A5"/>
    <w:rsid w:val="3F2459FA"/>
    <w:rsid w:val="3FCE2280"/>
    <w:rsid w:val="4025DEE1"/>
    <w:rsid w:val="4030C32F"/>
    <w:rsid w:val="410686BE"/>
    <w:rsid w:val="41FDC699"/>
    <w:rsid w:val="423D5CCA"/>
    <w:rsid w:val="4243B4AF"/>
    <w:rsid w:val="42B5D633"/>
    <w:rsid w:val="42BFA9F7"/>
    <w:rsid w:val="42C0D596"/>
    <w:rsid w:val="430016B3"/>
    <w:rsid w:val="430229CD"/>
    <w:rsid w:val="430C7BB7"/>
    <w:rsid w:val="442999BC"/>
    <w:rsid w:val="44718128"/>
    <w:rsid w:val="448B0438"/>
    <w:rsid w:val="449BE714"/>
    <w:rsid w:val="44C3080C"/>
    <w:rsid w:val="44CF27E0"/>
    <w:rsid w:val="44EF97AB"/>
    <w:rsid w:val="45043452"/>
    <w:rsid w:val="4505C517"/>
    <w:rsid w:val="45A0ED74"/>
    <w:rsid w:val="46441C79"/>
    <w:rsid w:val="464AC042"/>
    <w:rsid w:val="47D442AA"/>
    <w:rsid w:val="47E5AC59"/>
    <w:rsid w:val="485C0FEA"/>
    <w:rsid w:val="486E9507"/>
    <w:rsid w:val="48D57690"/>
    <w:rsid w:val="48D88E36"/>
    <w:rsid w:val="48F433C1"/>
    <w:rsid w:val="49D7A575"/>
    <w:rsid w:val="49DF0121"/>
    <w:rsid w:val="49F72824"/>
    <w:rsid w:val="4A715FA2"/>
    <w:rsid w:val="4AC47ABC"/>
    <w:rsid w:val="4CDE2AF2"/>
    <w:rsid w:val="4DABFF59"/>
    <w:rsid w:val="4E3C489A"/>
    <w:rsid w:val="4E4F2E5E"/>
    <w:rsid w:val="4E7947F9"/>
    <w:rsid w:val="4EAB1698"/>
    <w:rsid w:val="4F177BFF"/>
    <w:rsid w:val="4F179A54"/>
    <w:rsid w:val="4F46F8D7"/>
    <w:rsid w:val="5046E6F9"/>
    <w:rsid w:val="504ED47F"/>
    <w:rsid w:val="50BED1F3"/>
    <w:rsid w:val="50FCC878"/>
    <w:rsid w:val="5147CF7B"/>
    <w:rsid w:val="51548F98"/>
    <w:rsid w:val="518862B7"/>
    <w:rsid w:val="51C9BB0D"/>
    <w:rsid w:val="527A9213"/>
    <w:rsid w:val="52FB853A"/>
    <w:rsid w:val="53717E42"/>
    <w:rsid w:val="537E87BB"/>
    <w:rsid w:val="53867541"/>
    <w:rsid w:val="53F5F84C"/>
    <w:rsid w:val="54709436"/>
    <w:rsid w:val="548F222E"/>
    <w:rsid w:val="54E8897D"/>
    <w:rsid w:val="551A581C"/>
    <w:rsid w:val="551DF80F"/>
    <w:rsid w:val="553BC1CF"/>
    <w:rsid w:val="55B7113E"/>
    <w:rsid w:val="55D09E42"/>
    <w:rsid w:val="55D2AE28"/>
    <w:rsid w:val="56AC2DE9"/>
    <w:rsid w:val="5752E19F"/>
    <w:rsid w:val="57545D25"/>
    <w:rsid w:val="5888E3C5"/>
    <w:rsid w:val="58E17950"/>
    <w:rsid w:val="58F69F86"/>
    <w:rsid w:val="59FD0165"/>
    <w:rsid w:val="5A85A3F8"/>
    <w:rsid w:val="5A9E87BA"/>
    <w:rsid w:val="5B1E2611"/>
    <w:rsid w:val="5B8999A0"/>
    <w:rsid w:val="5BDC73A8"/>
    <w:rsid w:val="5BEA8FD7"/>
    <w:rsid w:val="5C05E152"/>
    <w:rsid w:val="5C1B6D6B"/>
    <w:rsid w:val="5C2E4048"/>
    <w:rsid w:val="5C4C3D4B"/>
    <w:rsid w:val="5CD58DEB"/>
    <w:rsid w:val="5CEC47A7"/>
    <w:rsid w:val="5D2D5787"/>
    <w:rsid w:val="5DA1B1B3"/>
    <w:rsid w:val="5DB8A15B"/>
    <w:rsid w:val="5DC22323"/>
    <w:rsid w:val="5E6D3FAE"/>
    <w:rsid w:val="5F11AAAC"/>
    <w:rsid w:val="5F3DBF0C"/>
    <w:rsid w:val="5F65E10A"/>
    <w:rsid w:val="5FA3206E"/>
    <w:rsid w:val="5FBCC2A6"/>
    <w:rsid w:val="6046E744"/>
    <w:rsid w:val="6064F849"/>
    <w:rsid w:val="610C058A"/>
    <w:rsid w:val="6200C8AA"/>
    <w:rsid w:val="622A0A2A"/>
    <w:rsid w:val="6285945F"/>
    <w:rsid w:val="636E62FD"/>
    <w:rsid w:val="6419B7D0"/>
    <w:rsid w:val="64E9E8A3"/>
    <w:rsid w:val="6526B21C"/>
    <w:rsid w:val="65D5228E"/>
    <w:rsid w:val="6881D011"/>
    <w:rsid w:val="69122035"/>
    <w:rsid w:val="692D64ED"/>
    <w:rsid w:val="69DC461C"/>
    <w:rsid w:val="69EAA005"/>
    <w:rsid w:val="6A7580DF"/>
    <w:rsid w:val="6AF555AF"/>
    <w:rsid w:val="6AFA3492"/>
    <w:rsid w:val="6B1078C2"/>
    <w:rsid w:val="6B2E9C18"/>
    <w:rsid w:val="6B4065BE"/>
    <w:rsid w:val="6CC7EFFE"/>
    <w:rsid w:val="6CFAE9D0"/>
    <w:rsid w:val="6D2F6C03"/>
    <w:rsid w:val="6D3670C3"/>
    <w:rsid w:val="6D5964B1"/>
    <w:rsid w:val="6DBFC303"/>
    <w:rsid w:val="6DD47001"/>
    <w:rsid w:val="6E11D081"/>
    <w:rsid w:val="6EA77BA9"/>
    <w:rsid w:val="6ECFE24B"/>
    <w:rsid w:val="6F526E18"/>
    <w:rsid w:val="6F5B9364"/>
    <w:rsid w:val="6F802A23"/>
    <w:rsid w:val="6FCB9467"/>
    <w:rsid w:val="714DC923"/>
    <w:rsid w:val="7167717D"/>
    <w:rsid w:val="7221FFCC"/>
    <w:rsid w:val="72D85EAD"/>
    <w:rsid w:val="73956369"/>
    <w:rsid w:val="73E11B1D"/>
    <w:rsid w:val="73F88D9B"/>
    <w:rsid w:val="74250A2D"/>
    <w:rsid w:val="752188C5"/>
    <w:rsid w:val="75AED407"/>
    <w:rsid w:val="75CD3F92"/>
    <w:rsid w:val="75EB4658"/>
    <w:rsid w:val="76314521"/>
    <w:rsid w:val="767BA6EF"/>
    <w:rsid w:val="76F1A916"/>
    <w:rsid w:val="770DF1E3"/>
    <w:rsid w:val="77290A68"/>
    <w:rsid w:val="778716B9"/>
    <w:rsid w:val="789F84D3"/>
    <w:rsid w:val="7904E054"/>
    <w:rsid w:val="790673EB"/>
    <w:rsid w:val="79157DDB"/>
    <w:rsid w:val="7922E71A"/>
    <w:rsid w:val="7A3FC218"/>
    <w:rsid w:val="7A8DDE47"/>
    <w:rsid w:val="7ABEB77B"/>
    <w:rsid w:val="7AE37092"/>
    <w:rsid w:val="7B276BF0"/>
    <w:rsid w:val="7B8029B4"/>
    <w:rsid w:val="7BD935CB"/>
    <w:rsid w:val="7C3E14AD"/>
    <w:rsid w:val="7C7F40F3"/>
    <w:rsid w:val="7D3516D6"/>
    <w:rsid w:val="7D352272"/>
    <w:rsid w:val="7D8327B4"/>
    <w:rsid w:val="7DC3DB87"/>
    <w:rsid w:val="7DE4A43F"/>
    <w:rsid w:val="7E5D8FC0"/>
    <w:rsid w:val="7F7421D8"/>
    <w:rsid w:val="7FC8D4A5"/>
    <w:rsid w:val="7FFDD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4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31"/>
    <w:pPr>
      <w:spacing w:line="360" w:lineRule="auto"/>
    </w:pPr>
    <w:rPr>
      <w:rFonts w:ascii="Tahoma" w:hAnsi="Tahoma" w:cs="Tahoma"/>
    </w:rPr>
  </w:style>
  <w:style w:type="paragraph" w:styleId="Heading1">
    <w:name w:val="heading 1"/>
    <w:basedOn w:val="Normal"/>
    <w:next w:val="Normal"/>
    <w:link w:val="Heading1Char"/>
    <w:uiPriority w:val="9"/>
    <w:qFormat/>
    <w:rsid w:val="00D371FC"/>
    <w:pPr>
      <w:outlineLvl w:val="0"/>
    </w:pPr>
    <w:rPr>
      <w:sz w:val="32"/>
      <w:szCs w:val="32"/>
    </w:rPr>
  </w:style>
  <w:style w:type="paragraph" w:styleId="Heading2">
    <w:name w:val="heading 2"/>
    <w:basedOn w:val="Normal"/>
    <w:next w:val="Normal"/>
    <w:link w:val="Heading2Char"/>
    <w:uiPriority w:val="9"/>
    <w:unhideWhenUsed/>
    <w:qFormat/>
    <w:rsid w:val="00D371FC"/>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1FC"/>
    <w:rPr>
      <w:rFonts w:ascii="Tahoma" w:hAnsi="Tahoma" w:cs="Tahoma"/>
      <w:sz w:val="32"/>
      <w:szCs w:val="32"/>
    </w:rPr>
  </w:style>
  <w:style w:type="character" w:customStyle="1" w:styleId="Heading2Char">
    <w:name w:val="Heading 2 Char"/>
    <w:basedOn w:val="DefaultParagraphFont"/>
    <w:link w:val="Heading2"/>
    <w:uiPriority w:val="9"/>
    <w:rsid w:val="00D371FC"/>
    <w:rPr>
      <w:rFonts w:ascii="Tahoma" w:hAnsi="Tahoma" w:cs="Tahoma"/>
      <w:sz w:val="28"/>
      <w:szCs w:val="28"/>
    </w:rPr>
  </w:style>
  <w:style w:type="paragraph" w:styleId="Title">
    <w:name w:val="Title"/>
    <w:basedOn w:val="Heading1"/>
    <w:next w:val="Normal"/>
    <w:link w:val="TitleChar"/>
    <w:uiPriority w:val="10"/>
    <w:qFormat/>
    <w:rsid w:val="00D371FC"/>
    <w:rPr>
      <w:b/>
      <w:bCs/>
    </w:rPr>
  </w:style>
  <w:style w:type="character" w:customStyle="1" w:styleId="TitleChar">
    <w:name w:val="Title Char"/>
    <w:basedOn w:val="DefaultParagraphFont"/>
    <w:link w:val="Title"/>
    <w:uiPriority w:val="10"/>
    <w:rsid w:val="00D371FC"/>
    <w:rPr>
      <w:rFonts w:ascii="Tahoma" w:hAnsi="Tahoma" w:cs="Tahoma"/>
      <w:b/>
      <w:bCs/>
      <w:sz w:val="32"/>
      <w:szCs w:val="32"/>
    </w:rPr>
  </w:style>
  <w:style w:type="paragraph" w:styleId="Header">
    <w:name w:val="header"/>
    <w:basedOn w:val="Normal"/>
    <w:link w:val="HeaderChar"/>
    <w:uiPriority w:val="99"/>
    <w:unhideWhenUsed/>
    <w:rsid w:val="00D371FC"/>
    <w:pPr>
      <w:tabs>
        <w:tab w:val="center" w:pos="4513"/>
        <w:tab w:val="right" w:pos="9026"/>
      </w:tabs>
    </w:pPr>
  </w:style>
  <w:style w:type="character" w:customStyle="1" w:styleId="HeaderChar">
    <w:name w:val="Header Char"/>
    <w:basedOn w:val="DefaultParagraphFont"/>
    <w:link w:val="Header"/>
    <w:uiPriority w:val="99"/>
    <w:rsid w:val="00D371FC"/>
    <w:rPr>
      <w:rFonts w:ascii="Tahoma" w:hAnsi="Tahoma" w:cs="Tahoma"/>
    </w:rPr>
  </w:style>
  <w:style w:type="paragraph" w:styleId="Footer">
    <w:name w:val="footer"/>
    <w:basedOn w:val="Normal"/>
    <w:link w:val="FooterChar"/>
    <w:uiPriority w:val="99"/>
    <w:unhideWhenUsed/>
    <w:rsid w:val="00D371FC"/>
    <w:pPr>
      <w:tabs>
        <w:tab w:val="center" w:pos="4513"/>
        <w:tab w:val="right" w:pos="9026"/>
      </w:tabs>
    </w:pPr>
  </w:style>
  <w:style w:type="character" w:customStyle="1" w:styleId="FooterChar">
    <w:name w:val="Footer Char"/>
    <w:basedOn w:val="DefaultParagraphFont"/>
    <w:link w:val="Footer"/>
    <w:uiPriority w:val="99"/>
    <w:rsid w:val="00D371FC"/>
    <w:rPr>
      <w:rFonts w:ascii="Tahoma" w:hAnsi="Tahoma" w:cs="Tahoma"/>
    </w:rPr>
  </w:style>
  <w:style w:type="character" w:styleId="Hyperlink">
    <w:name w:val="Hyperlink"/>
    <w:basedOn w:val="DefaultParagraphFont"/>
    <w:uiPriority w:val="99"/>
    <w:unhideWhenUsed/>
    <w:rsid w:val="00424131"/>
    <w:rPr>
      <w:color w:val="0563C1" w:themeColor="hyperlink"/>
      <w:u w:val="single"/>
    </w:rPr>
  </w:style>
  <w:style w:type="character" w:customStyle="1" w:styleId="UnresolvedMention1">
    <w:name w:val="Unresolved Mention1"/>
    <w:basedOn w:val="DefaultParagraphFont"/>
    <w:uiPriority w:val="99"/>
    <w:semiHidden/>
    <w:unhideWhenUsed/>
    <w:rsid w:val="00424131"/>
    <w:rPr>
      <w:color w:val="605E5C"/>
      <w:shd w:val="clear" w:color="auto" w:fill="E1DFDD"/>
    </w:rPr>
  </w:style>
  <w:style w:type="paragraph" w:styleId="Quote">
    <w:name w:val="Quote"/>
    <w:basedOn w:val="Normal"/>
    <w:next w:val="Normal"/>
    <w:link w:val="QuoteChar"/>
    <w:uiPriority w:val="29"/>
    <w:qFormat/>
    <w:rsid w:val="00424131"/>
    <w:pPr>
      <w:ind w:left="851" w:right="851"/>
    </w:pPr>
    <w:rPr>
      <w:i/>
      <w:iCs/>
    </w:rPr>
  </w:style>
  <w:style w:type="character" w:customStyle="1" w:styleId="QuoteChar">
    <w:name w:val="Quote Char"/>
    <w:basedOn w:val="DefaultParagraphFont"/>
    <w:link w:val="Quote"/>
    <w:uiPriority w:val="29"/>
    <w:rsid w:val="00424131"/>
    <w:rPr>
      <w:rFonts w:ascii="Tahoma" w:hAnsi="Tahoma" w:cs="Tahoma"/>
      <w:i/>
      <w:iCs/>
    </w:rPr>
  </w:style>
  <w:style w:type="table" w:styleId="TableGrid">
    <w:name w:val="Table Grid"/>
    <w:basedOn w:val="TableNormal"/>
    <w:uiPriority w:val="39"/>
    <w:rsid w:val="00DB5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EF7"/>
    <w:rPr>
      <w:rFonts w:ascii="Tahoma" w:hAnsi="Tahoma" w:cs="Tahoma"/>
    </w:rPr>
  </w:style>
  <w:style w:type="paragraph" w:styleId="NormalWeb">
    <w:name w:val="Normal (Web)"/>
    <w:basedOn w:val="Normal"/>
    <w:uiPriority w:val="99"/>
    <w:semiHidden/>
    <w:unhideWhenUsed/>
    <w:rsid w:val="00430590"/>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D53076"/>
    <w:rPr>
      <w:rFonts w:ascii="Tahoma" w:hAnsi="Tahoma" w:cs="Tahoma"/>
    </w:rPr>
  </w:style>
  <w:style w:type="character" w:styleId="CommentReference">
    <w:name w:val="annotation reference"/>
    <w:basedOn w:val="DefaultParagraphFont"/>
    <w:uiPriority w:val="99"/>
    <w:semiHidden/>
    <w:unhideWhenUsed/>
    <w:rsid w:val="00C21328"/>
    <w:rPr>
      <w:sz w:val="16"/>
      <w:szCs w:val="16"/>
    </w:rPr>
  </w:style>
  <w:style w:type="paragraph" w:styleId="CommentText">
    <w:name w:val="annotation text"/>
    <w:basedOn w:val="Normal"/>
    <w:link w:val="CommentTextChar"/>
    <w:uiPriority w:val="99"/>
    <w:semiHidden/>
    <w:unhideWhenUsed/>
    <w:rsid w:val="00C21328"/>
    <w:pPr>
      <w:spacing w:line="240" w:lineRule="auto"/>
    </w:pPr>
    <w:rPr>
      <w:sz w:val="20"/>
      <w:szCs w:val="20"/>
    </w:rPr>
  </w:style>
  <w:style w:type="character" w:customStyle="1" w:styleId="CommentTextChar">
    <w:name w:val="Comment Text Char"/>
    <w:basedOn w:val="DefaultParagraphFont"/>
    <w:link w:val="CommentText"/>
    <w:uiPriority w:val="99"/>
    <w:semiHidden/>
    <w:rsid w:val="00C21328"/>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C21328"/>
    <w:rPr>
      <w:b/>
      <w:bCs/>
    </w:rPr>
  </w:style>
  <w:style w:type="character" w:customStyle="1" w:styleId="CommentSubjectChar">
    <w:name w:val="Comment Subject Char"/>
    <w:basedOn w:val="CommentTextChar"/>
    <w:link w:val="CommentSubject"/>
    <w:uiPriority w:val="99"/>
    <w:semiHidden/>
    <w:rsid w:val="00C21328"/>
    <w:rPr>
      <w:rFonts w:ascii="Tahoma" w:hAnsi="Tahoma" w:cs="Tahoma"/>
      <w:b/>
      <w:bCs/>
      <w:sz w:val="20"/>
      <w:szCs w:val="20"/>
    </w:rPr>
  </w:style>
  <w:style w:type="paragraph" w:styleId="ListParagraph">
    <w:name w:val="List Paragraph"/>
    <w:basedOn w:val="Normal"/>
    <w:uiPriority w:val="34"/>
    <w:qFormat/>
    <w:rsid w:val="002D1157"/>
    <w:pPr>
      <w:ind w:left="720"/>
      <w:contextualSpacing/>
    </w:pPr>
  </w:style>
  <w:style w:type="paragraph" w:styleId="BalloonText">
    <w:name w:val="Balloon Text"/>
    <w:basedOn w:val="Normal"/>
    <w:link w:val="BalloonTextChar"/>
    <w:uiPriority w:val="99"/>
    <w:semiHidden/>
    <w:unhideWhenUsed/>
    <w:rsid w:val="000566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756">
      <w:bodyDiv w:val="1"/>
      <w:marLeft w:val="0"/>
      <w:marRight w:val="0"/>
      <w:marTop w:val="0"/>
      <w:marBottom w:val="0"/>
      <w:divBdr>
        <w:top w:val="none" w:sz="0" w:space="0" w:color="auto"/>
        <w:left w:val="none" w:sz="0" w:space="0" w:color="auto"/>
        <w:bottom w:val="none" w:sz="0" w:space="0" w:color="auto"/>
        <w:right w:val="none" w:sz="0" w:space="0" w:color="auto"/>
      </w:divBdr>
      <w:divsChild>
        <w:div w:id="24646374">
          <w:marLeft w:val="0"/>
          <w:marRight w:val="0"/>
          <w:marTop w:val="0"/>
          <w:marBottom w:val="0"/>
          <w:divBdr>
            <w:top w:val="none" w:sz="0" w:space="0" w:color="auto"/>
            <w:left w:val="none" w:sz="0" w:space="0" w:color="auto"/>
            <w:bottom w:val="none" w:sz="0" w:space="0" w:color="auto"/>
            <w:right w:val="none" w:sz="0" w:space="0" w:color="auto"/>
          </w:divBdr>
          <w:divsChild>
            <w:div w:id="1086684352">
              <w:marLeft w:val="0"/>
              <w:marRight w:val="0"/>
              <w:marTop w:val="0"/>
              <w:marBottom w:val="0"/>
              <w:divBdr>
                <w:top w:val="none" w:sz="0" w:space="0" w:color="auto"/>
                <w:left w:val="none" w:sz="0" w:space="0" w:color="auto"/>
                <w:bottom w:val="none" w:sz="0" w:space="0" w:color="auto"/>
                <w:right w:val="none" w:sz="0" w:space="0" w:color="auto"/>
              </w:divBdr>
              <w:divsChild>
                <w:div w:id="572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42028">
      <w:bodyDiv w:val="1"/>
      <w:marLeft w:val="0"/>
      <w:marRight w:val="0"/>
      <w:marTop w:val="0"/>
      <w:marBottom w:val="0"/>
      <w:divBdr>
        <w:top w:val="none" w:sz="0" w:space="0" w:color="auto"/>
        <w:left w:val="none" w:sz="0" w:space="0" w:color="auto"/>
        <w:bottom w:val="none" w:sz="0" w:space="0" w:color="auto"/>
        <w:right w:val="none" w:sz="0" w:space="0" w:color="auto"/>
      </w:divBdr>
      <w:divsChild>
        <w:div w:id="2100368262">
          <w:marLeft w:val="0"/>
          <w:marRight w:val="0"/>
          <w:marTop w:val="0"/>
          <w:marBottom w:val="0"/>
          <w:divBdr>
            <w:top w:val="none" w:sz="0" w:space="0" w:color="auto"/>
            <w:left w:val="none" w:sz="0" w:space="0" w:color="auto"/>
            <w:bottom w:val="none" w:sz="0" w:space="0" w:color="auto"/>
            <w:right w:val="none" w:sz="0" w:space="0" w:color="auto"/>
          </w:divBdr>
          <w:divsChild>
            <w:div w:id="1025328760">
              <w:marLeft w:val="0"/>
              <w:marRight w:val="0"/>
              <w:marTop w:val="0"/>
              <w:marBottom w:val="0"/>
              <w:divBdr>
                <w:top w:val="none" w:sz="0" w:space="0" w:color="auto"/>
                <w:left w:val="none" w:sz="0" w:space="0" w:color="auto"/>
                <w:bottom w:val="none" w:sz="0" w:space="0" w:color="auto"/>
                <w:right w:val="none" w:sz="0" w:space="0" w:color="auto"/>
              </w:divBdr>
              <w:divsChild>
                <w:div w:id="14864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287">
      <w:bodyDiv w:val="1"/>
      <w:marLeft w:val="0"/>
      <w:marRight w:val="0"/>
      <w:marTop w:val="0"/>
      <w:marBottom w:val="0"/>
      <w:divBdr>
        <w:top w:val="none" w:sz="0" w:space="0" w:color="auto"/>
        <w:left w:val="none" w:sz="0" w:space="0" w:color="auto"/>
        <w:bottom w:val="none" w:sz="0" w:space="0" w:color="auto"/>
        <w:right w:val="none" w:sz="0" w:space="0" w:color="auto"/>
      </w:divBdr>
      <w:divsChild>
        <w:div w:id="1271205082">
          <w:marLeft w:val="0"/>
          <w:marRight w:val="0"/>
          <w:marTop w:val="0"/>
          <w:marBottom w:val="0"/>
          <w:divBdr>
            <w:top w:val="none" w:sz="0" w:space="0" w:color="auto"/>
            <w:left w:val="none" w:sz="0" w:space="0" w:color="auto"/>
            <w:bottom w:val="none" w:sz="0" w:space="0" w:color="auto"/>
            <w:right w:val="none" w:sz="0" w:space="0" w:color="auto"/>
          </w:divBdr>
          <w:divsChild>
            <w:div w:id="1818450689">
              <w:marLeft w:val="0"/>
              <w:marRight w:val="0"/>
              <w:marTop w:val="0"/>
              <w:marBottom w:val="0"/>
              <w:divBdr>
                <w:top w:val="none" w:sz="0" w:space="0" w:color="auto"/>
                <w:left w:val="none" w:sz="0" w:space="0" w:color="auto"/>
                <w:bottom w:val="none" w:sz="0" w:space="0" w:color="auto"/>
                <w:right w:val="none" w:sz="0" w:space="0" w:color="auto"/>
              </w:divBdr>
              <w:divsChild>
                <w:div w:id="5494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73869">
      <w:bodyDiv w:val="1"/>
      <w:marLeft w:val="0"/>
      <w:marRight w:val="0"/>
      <w:marTop w:val="0"/>
      <w:marBottom w:val="0"/>
      <w:divBdr>
        <w:top w:val="none" w:sz="0" w:space="0" w:color="auto"/>
        <w:left w:val="none" w:sz="0" w:space="0" w:color="auto"/>
        <w:bottom w:val="none" w:sz="0" w:space="0" w:color="auto"/>
        <w:right w:val="none" w:sz="0" w:space="0" w:color="auto"/>
      </w:divBdr>
    </w:div>
    <w:div w:id="548153480">
      <w:bodyDiv w:val="1"/>
      <w:marLeft w:val="0"/>
      <w:marRight w:val="0"/>
      <w:marTop w:val="0"/>
      <w:marBottom w:val="0"/>
      <w:divBdr>
        <w:top w:val="none" w:sz="0" w:space="0" w:color="auto"/>
        <w:left w:val="none" w:sz="0" w:space="0" w:color="auto"/>
        <w:bottom w:val="none" w:sz="0" w:space="0" w:color="auto"/>
        <w:right w:val="none" w:sz="0" w:space="0" w:color="auto"/>
      </w:divBdr>
    </w:div>
    <w:div w:id="567224596">
      <w:bodyDiv w:val="1"/>
      <w:marLeft w:val="0"/>
      <w:marRight w:val="0"/>
      <w:marTop w:val="0"/>
      <w:marBottom w:val="0"/>
      <w:divBdr>
        <w:top w:val="none" w:sz="0" w:space="0" w:color="auto"/>
        <w:left w:val="none" w:sz="0" w:space="0" w:color="auto"/>
        <w:bottom w:val="none" w:sz="0" w:space="0" w:color="auto"/>
        <w:right w:val="none" w:sz="0" w:space="0" w:color="auto"/>
      </w:divBdr>
    </w:div>
    <w:div w:id="593590306">
      <w:bodyDiv w:val="1"/>
      <w:marLeft w:val="0"/>
      <w:marRight w:val="0"/>
      <w:marTop w:val="0"/>
      <w:marBottom w:val="0"/>
      <w:divBdr>
        <w:top w:val="none" w:sz="0" w:space="0" w:color="auto"/>
        <w:left w:val="none" w:sz="0" w:space="0" w:color="auto"/>
        <w:bottom w:val="none" w:sz="0" w:space="0" w:color="auto"/>
        <w:right w:val="none" w:sz="0" w:space="0" w:color="auto"/>
      </w:divBdr>
    </w:div>
    <w:div w:id="644236279">
      <w:bodyDiv w:val="1"/>
      <w:marLeft w:val="0"/>
      <w:marRight w:val="0"/>
      <w:marTop w:val="0"/>
      <w:marBottom w:val="0"/>
      <w:divBdr>
        <w:top w:val="none" w:sz="0" w:space="0" w:color="auto"/>
        <w:left w:val="none" w:sz="0" w:space="0" w:color="auto"/>
        <w:bottom w:val="none" w:sz="0" w:space="0" w:color="auto"/>
        <w:right w:val="none" w:sz="0" w:space="0" w:color="auto"/>
      </w:divBdr>
    </w:div>
    <w:div w:id="695884296">
      <w:bodyDiv w:val="1"/>
      <w:marLeft w:val="0"/>
      <w:marRight w:val="0"/>
      <w:marTop w:val="0"/>
      <w:marBottom w:val="0"/>
      <w:divBdr>
        <w:top w:val="none" w:sz="0" w:space="0" w:color="auto"/>
        <w:left w:val="none" w:sz="0" w:space="0" w:color="auto"/>
        <w:bottom w:val="none" w:sz="0" w:space="0" w:color="auto"/>
        <w:right w:val="none" w:sz="0" w:space="0" w:color="auto"/>
      </w:divBdr>
      <w:divsChild>
        <w:div w:id="854225539">
          <w:marLeft w:val="0"/>
          <w:marRight w:val="0"/>
          <w:marTop w:val="0"/>
          <w:marBottom w:val="0"/>
          <w:divBdr>
            <w:top w:val="none" w:sz="0" w:space="0" w:color="auto"/>
            <w:left w:val="none" w:sz="0" w:space="0" w:color="auto"/>
            <w:bottom w:val="none" w:sz="0" w:space="0" w:color="auto"/>
            <w:right w:val="none" w:sz="0" w:space="0" w:color="auto"/>
          </w:divBdr>
          <w:divsChild>
            <w:div w:id="1898471218">
              <w:marLeft w:val="0"/>
              <w:marRight w:val="0"/>
              <w:marTop w:val="0"/>
              <w:marBottom w:val="0"/>
              <w:divBdr>
                <w:top w:val="none" w:sz="0" w:space="0" w:color="auto"/>
                <w:left w:val="none" w:sz="0" w:space="0" w:color="auto"/>
                <w:bottom w:val="none" w:sz="0" w:space="0" w:color="auto"/>
                <w:right w:val="none" w:sz="0" w:space="0" w:color="auto"/>
              </w:divBdr>
              <w:divsChild>
                <w:div w:id="10822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1702">
      <w:bodyDiv w:val="1"/>
      <w:marLeft w:val="0"/>
      <w:marRight w:val="0"/>
      <w:marTop w:val="0"/>
      <w:marBottom w:val="0"/>
      <w:divBdr>
        <w:top w:val="none" w:sz="0" w:space="0" w:color="auto"/>
        <w:left w:val="none" w:sz="0" w:space="0" w:color="auto"/>
        <w:bottom w:val="none" w:sz="0" w:space="0" w:color="auto"/>
        <w:right w:val="none" w:sz="0" w:space="0" w:color="auto"/>
      </w:divBdr>
      <w:divsChild>
        <w:div w:id="1363900329">
          <w:marLeft w:val="0"/>
          <w:marRight w:val="0"/>
          <w:marTop w:val="0"/>
          <w:marBottom w:val="0"/>
          <w:divBdr>
            <w:top w:val="none" w:sz="0" w:space="0" w:color="auto"/>
            <w:left w:val="none" w:sz="0" w:space="0" w:color="auto"/>
            <w:bottom w:val="none" w:sz="0" w:space="0" w:color="auto"/>
            <w:right w:val="none" w:sz="0" w:space="0" w:color="auto"/>
          </w:divBdr>
          <w:divsChild>
            <w:div w:id="963727521">
              <w:marLeft w:val="0"/>
              <w:marRight w:val="0"/>
              <w:marTop w:val="0"/>
              <w:marBottom w:val="0"/>
              <w:divBdr>
                <w:top w:val="none" w:sz="0" w:space="0" w:color="auto"/>
                <w:left w:val="none" w:sz="0" w:space="0" w:color="auto"/>
                <w:bottom w:val="none" w:sz="0" w:space="0" w:color="auto"/>
                <w:right w:val="none" w:sz="0" w:space="0" w:color="auto"/>
              </w:divBdr>
              <w:divsChild>
                <w:div w:id="5583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4729">
      <w:bodyDiv w:val="1"/>
      <w:marLeft w:val="0"/>
      <w:marRight w:val="0"/>
      <w:marTop w:val="0"/>
      <w:marBottom w:val="0"/>
      <w:divBdr>
        <w:top w:val="none" w:sz="0" w:space="0" w:color="auto"/>
        <w:left w:val="none" w:sz="0" w:space="0" w:color="auto"/>
        <w:bottom w:val="none" w:sz="0" w:space="0" w:color="auto"/>
        <w:right w:val="none" w:sz="0" w:space="0" w:color="auto"/>
      </w:divBdr>
      <w:divsChild>
        <w:div w:id="587546239">
          <w:marLeft w:val="0"/>
          <w:marRight w:val="0"/>
          <w:marTop w:val="0"/>
          <w:marBottom w:val="0"/>
          <w:divBdr>
            <w:top w:val="none" w:sz="0" w:space="0" w:color="auto"/>
            <w:left w:val="none" w:sz="0" w:space="0" w:color="auto"/>
            <w:bottom w:val="none" w:sz="0" w:space="0" w:color="auto"/>
            <w:right w:val="none" w:sz="0" w:space="0" w:color="auto"/>
          </w:divBdr>
          <w:divsChild>
            <w:div w:id="686718589">
              <w:marLeft w:val="0"/>
              <w:marRight w:val="0"/>
              <w:marTop w:val="0"/>
              <w:marBottom w:val="0"/>
              <w:divBdr>
                <w:top w:val="none" w:sz="0" w:space="0" w:color="auto"/>
                <w:left w:val="none" w:sz="0" w:space="0" w:color="auto"/>
                <w:bottom w:val="none" w:sz="0" w:space="0" w:color="auto"/>
                <w:right w:val="none" w:sz="0" w:space="0" w:color="auto"/>
              </w:divBdr>
              <w:divsChild>
                <w:div w:id="3811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4437">
      <w:bodyDiv w:val="1"/>
      <w:marLeft w:val="0"/>
      <w:marRight w:val="0"/>
      <w:marTop w:val="0"/>
      <w:marBottom w:val="0"/>
      <w:divBdr>
        <w:top w:val="none" w:sz="0" w:space="0" w:color="auto"/>
        <w:left w:val="none" w:sz="0" w:space="0" w:color="auto"/>
        <w:bottom w:val="none" w:sz="0" w:space="0" w:color="auto"/>
        <w:right w:val="none" w:sz="0" w:space="0" w:color="auto"/>
      </w:divBdr>
    </w:div>
    <w:div w:id="1228415146">
      <w:bodyDiv w:val="1"/>
      <w:marLeft w:val="0"/>
      <w:marRight w:val="0"/>
      <w:marTop w:val="0"/>
      <w:marBottom w:val="0"/>
      <w:divBdr>
        <w:top w:val="none" w:sz="0" w:space="0" w:color="auto"/>
        <w:left w:val="none" w:sz="0" w:space="0" w:color="auto"/>
        <w:bottom w:val="none" w:sz="0" w:space="0" w:color="auto"/>
        <w:right w:val="none" w:sz="0" w:space="0" w:color="auto"/>
      </w:divBdr>
    </w:div>
    <w:div w:id="1337341164">
      <w:bodyDiv w:val="1"/>
      <w:marLeft w:val="0"/>
      <w:marRight w:val="0"/>
      <w:marTop w:val="0"/>
      <w:marBottom w:val="0"/>
      <w:divBdr>
        <w:top w:val="none" w:sz="0" w:space="0" w:color="auto"/>
        <w:left w:val="none" w:sz="0" w:space="0" w:color="auto"/>
        <w:bottom w:val="none" w:sz="0" w:space="0" w:color="auto"/>
        <w:right w:val="none" w:sz="0" w:space="0" w:color="auto"/>
      </w:divBdr>
      <w:divsChild>
        <w:div w:id="362680657">
          <w:marLeft w:val="0"/>
          <w:marRight w:val="0"/>
          <w:marTop w:val="0"/>
          <w:marBottom w:val="0"/>
          <w:divBdr>
            <w:top w:val="none" w:sz="0" w:space="0" w:color="auto"/>
            <w:left w:val="none" w:sz="0" w:space="0" w:color="auto"/>
            <w:bottom w:val="none" w:sz="0" w:space="0" w:color="auto"/>
            <w:right w:val="none" w:sz="0" w:space="0" w:color="auto"/>
          </w:divBdr>
          <w:divsChild>
            <w:div w:id="273051102">
              <w:marLeft w:val="0"/>
              <w:marRight w:val="0"/>
              <w:marTop w:val="0"/>
              <w:marBottom w:val="0"/>
              <w:divBdr>
                <w:top w:val="none" w:sz="0" w:space="0" w:color="auto"/>
                <w:left w:val="none" w:sz="0" w:space="0" w:color="auto"/>
                <w:bottom w:val="none" w:sz="0" w:space="0" w:color="auto"/>
                <w:right w:val="none" w:sz="0" w:space="0" w:color="auto"/>
              </w:divBdr>
              <w:divsChild>
                <w:div w:id="13956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5459">
      <w:bodyDiv w:val="1"/>
      <w:marLeft w:val="0"/>
      <w:marRight w:val="0"/>
      <w:marTop w:val="0"/>
      <w:marBottom w:val="0"/>
      <w:divBdr>
        <w:top w:val="none" w:sz="0" w:space="0" w:color="auto"/>
        <w:left w:val="none" w:sz="0" w:space="0" w:color="auto"/>
        <w:bottom w:val="none" w:sz="0" w:space="0" w:color="auto"/>
        <w:right w:val="none" w:sz="0" w:space="0" w:color="auto"/>
      </w:divBdr>
    </w:div>
    <w:div w:id="1704473972">
      <w:bodyDiv w:val="1"/>
      <w:marLeft w:val="0"/>
      <w:marRight w:val="0"/>
      <w:marTop w:val="0"/>
      <w:marBottom w:val="0"/>
      <w:divBdr>
        <w:top w:val="none" w:sz="0" w:space="0" w:color="auto"/>
        <w:left w:val="none" w:sz="0" w:space="0" w:color="auto"/>
        <w:bottom w:val="none" w:sz="0" w:space="0" w:color="auto"/>
        <w:right w:val="none" w:sz="0" w:space="0" w:color="auto"/>
      </w:divBdr>
      <w:divsChild>
        <w:div w:id="1042629696">
          <w:marLeft w:val="0"/>
          <w:marRight w:val="0"/>
          <w:marTop w:val="0"/>
          <w:marBottom w:val="0"/>
          <w:divBdr>
            <w:top w:val="none" w:sz="0" w:space="0" w:color="auto"/>
            <w:left w:val="none" w:sz="0" w:space="0" w:color="auto"/>
            <w:bottom w:val="none" w:sz="0" w:space="0" w:color="auto"/>
            <w:right w:val="none" w:sz="0" w:space="0" w:color="auto"/>
          </w:divBdr>
          <w:divsChild>
            <w:div w:id="895241947">
              <w:marLeft w:val="0"/>
              <w:marRight w:val="0"/>
              <w:marTop w:val="0"/>
              <w:marBottom w:val="0"/>
              <w:divBdr>
                <w:top w:val="none" w:sz="0" w:space="0" w:color="auto"/>
                <w:left w:val="none" w:sz="0" w:space="0" w:color="auto"/>
                <w:bottom w:val="none" w:sz="0" w:space="0" w:color="auto"/>
                <w:right w:val="none" w:sz="0" w:space="0" w:color="auto"/>
              </w:divBdr>
              <w:divsChild>
                <w:div w:id="269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9816">
      <w:bodyDiv w:val="1"/>
      <w:marLeft w:val="0"/>
      <w:marRight w:val="0"/>
      <w:marTop w:val="0"/>
      <w:marBottom w:val="0"/>
      <w:divBdr>
        <w:top w:val="none" w:sz="0" w:space="0" w:color="auto"/>
        <w:left w:val="none" w:sz="0" w:space="0" w:color="auto"/>
        <w:bottom w:val="none" w:sz="0" w:space="0" w:color="auto"/>
        <w:right w:val="none" w:sz="0" w:space="0" w:color="auto"/>
      </w:divBdr>
      <w:divsChild>
        <w:div w:id="579143736">
          <w:marLeft w:val="0"/>
          <w:marRight w:val="0"/>
          <w:marTop w:val="0"/>
          <w:marBottom w:val="0"/>
          <w:divBdr>
            <w:top w:val="none" w:sz="0" w:space="0" w:color="auto"/>
            <w:left w:val="none" w:sz="0" w:space="0" w:color="auto"/>
            <w:bottom w:val="none" w:sz="0" w:space="0" w:color="auto"/>
            <w:right w:val="none" w:sz="0" w:space="0" w:color="auto"/>
          </w:divBdr>
          <w:divsChild>
            <w:div w:id="1917781700">
              <w:marLeft w:val="0"/>
              <w:marRight w:val="0"/>
              <w:marTop w:val="0"/>
              <w:marBottom w:val="0"/>
              <w:divBdr>
                <w:top w:val="none" w:sz="0" w:space="0" w:color="auto"/>
                <w:left w:val="none" w:sz="0" w:space="0" w:color="auto"/>
                <w:bottom w:val="none" w:sz="0" w:space="0" w:color="auto"/>
                <w:right w:val="none" w:sz="0" w:space="0" w:color="auto"/>
              </w:divBdr>
              <w:divsChild>
                <w:div w:id="298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95155">
      <w:bodyDiv w:val="1"/>
      <w:marLeft w:val="0"/>
      <w:marRight w:val="0"/>
      <w:marTop w:val="0"/>
      <w:marBottom w:val="0"/>
      <w:divBdr>
        <w:top w:val="none" w:sz="0" w:space="0" w:color="auto"/>
        <w:left w:val="none" w:sz="0" w:space="0" w:color="auto"/>
        <w:bottom w:val="none" w:sz="0" w:space="0" w:color="auto"/>
        <w:right w:val="none" w:sz="0" w:space="0" w:color="auto"/>
      </w:divBdr>
    </w:div>
    <w:div w:id="1928614687">
      <w:bodyDiv w:val="1"/>
      <w:marLeft w:val="0"/>
      <w:marRight w:val="0"/>
      <w:marTop w:val="0"/>
      <w:marBottom w:val="0"/>
      <w:divBdr>
        <w:top w:val="none" w:sz="0" w:space="0" w:color="auto"/>
        <w:left w:val="none" w:sz="0" w:space="0" w:color="auto"/>
        <w:bottom w:val="none" w:sz="0" w:space="0" w:color="auto"/>
        <w:right w:val="none" w:sz="0" w:space="0" w:color="auto"/>
      </w:divBdr>
    </w:div>
    <w:div w:id="2129202650">
      <w:bodyDiv w:val="1"/>
      <w:marLeft w:val="0"/>
      <w:marRight w:val="0"/>
      <w:marTop w:val="0"/>
      <w:marBottom w:val="0"/>
      <w:divBdr>
        <w:top w:val="none" w:sz="0" w:space="0" w:color="auto"/>
        <w:left w:val="none" w:sz="0" w:space="0" w:color="auto"/>
        <w:bottom w:val="none" w:sz="0" w:space="0" w:color="auto"/>
        <w:right w:val="none" w:sz="0" w:space="0" w:color="auto"/>
      </w:divBdr>
    </w:div>
    <w:div w:id="2140680792">
      <w:bodyDiv w:val="1"/>
      <w:marLeft w:val="0"/>
      <w:marRight w:val="0"/>
      <w:marTop w:val="0"/>
      <w:marBottom w:val="0"/>
      <w:divBdr>
        <w:top w:val="none" w:sz="0" w:space="0" w:color="auto"/>
        <w:left w:val="none" w:sz="0" w:space="0" w:color="auto"/>
        <w:bottom w:val="none" w:sz="0" w:space="0" w:color="auto"/>
        <w:right w:val="none" w:sz="0" w:space="0" w:color="auto"/>
      </w:divBdr>
      <w:divsChild>
        <w:div w:id="350910436">
          <w:marLeft w:val="0"/>
          <w:marRight w:val="0"/>
          <w:marTop w:val="0"/>
          <w:marBottom w:val="0"/>
          <w:divBdr>
            <w:top w:val="none" w:sz="0" w:space="0" w:color="auto"/>
            <w:left w:val="none" w:sz="0" w:space="0" w:color="auto"/>
            <w:bottom w:val="none" w:sz="0" w:space="0" w:color="auto"/>
            <w:right w:val="none" w:sz="0" w:space="0" w:color="auto"/>
          </w:divBdr>
          <w:divsChild>
            <w:div w:id="507599375">
              <w:marLeft w:val="0"/>
              <w:marRight w:val="0"/>
              <w:marTop w:val="0"/>
              <w:marBottom w:val="0"/>
              <w:divBdr>
                <w:top w:val="none" w:sz="0" w:space="0" w:color="auto"/>
                <w:left w:val="none" w:sz="0" w:space="0" w:color="auto"/>
                <w:bottom w:val="none" w:sz="0" w:space="0" w:color="auto"/>
                <w:right w:val="none" w:sz="0" w:space="0" w:color="auto"/>
              </w:divBdr>
              <w:divsChild>
                <w:div w:id="14868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3BD-D22E-4657-B4E3-D16CC598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5933</Words>
  <Characters>33821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2023-05-31T15:21:00Z</dcterms:created>
  <dcterms:modified xsi:type="dcterms:W3CDTF">2023-05-31T15:21:00Z</dcterms:modified>
</cp:coreProperties>
</file>