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AB" w:rsidRPr="00F45AAB" w:rsidRDefault="00F45AAB" w:rsidP="00F45AAB">
      <w:pPr>
        <w:spacing w:line="360" w:lineRule="auto"/>
        <w:rPr>
          <w:rFonts w:ascii="Tahoma" w:hAnsi="Tahoma" w:cs="Tahoma"/>
          <w:b/>
          <w:color w:val="000000" w:themeColor="text1"/>
          <w:sz w:val="32"/>
          <w:szCs w:val="32"/>
        </w:rPr>
      </w:pPr>
      <w:r w:rsidRPr="00F45AAB">
        <w:rPr>
          <w:rFonts w:ascii="Tahoma" w:hAnsi="Tahoma" w:cs="Tahoma"/>
          <w:b/>
          <w:color w:val="000000" w:themeColor="text1"/>
          <w:sz w:val="32"/>
          <w:szCs w:val="32"/>
        </w:rPr>
        <w:t xml:space="preserve">Students’ Experiences in Higher Education With Virtual and Augmented Reality: A Qualitative Systematic Review </w:t>
      </w:r>
    </w:p>
    <w:p w:rsidR="00F45AAB" w:rsidRPr="00F45AAB" w:rsidRDefault="00F45AAB" w:rsidP="00F45AAB">
      <w:pPr>
        <w:spacing w:line="360" w:lineRule="auto"/>
        <w:rPr>
          <w:rFonts w:ascii="Tahoma" w:hAnsi="Tahoma" w:cs="Tahoma"/>
          <w:b/>
          <w:color w:val="000000" w:themeColor="text1"/>
          <w:sz w:val="32"/>
          <w:szCs w:val="32"/>
        </w:rPr>
      </w:pPr>
    </w:p>
    <w:p w:rsidR="00F45AAB" w:rsidRPr="00F45AAB" w:rsidRDefault="00F45AAB" w:rsidP="00F45AAB">
      <w:pPr>
        <w:spacing w:line="360" w:lineRule="auto"/>
        <w:rPr>
          <w:rFonts w:ascii="Tahoma" w:hAnsi="Tahoma" w:cs="Tahoma"/>
          <w:b/>
          <w:color w:val="000000" w:themeColor="text1"/>
          <w:sz w:val="32"/>
          <w:szCs w:val="32"/>
        </w:rPr>
      </w:pPr>
      <w:r w:rsidRPr="00F45AAB">
        <w:rPr>
          <w:rFonts w:ascii="Tahoma" w:hAnsi="Tahoma" w:cs="Tahoma"/>
          <w:b/>
          <w:color w:val="000000" w:themeColor="text1"/>
          <w:sz w:val="32"/>
          <w:szCs w:val="32"/>
        </w:rPr>
        <w:t>Anne-Marie DePape</w:t>
      </w:r>
      <w:r w:rsidRPr="00F45AAB">
        <w:rPr>
          <w:rFonts w:ascii="Tahoma" w:hAnsi="Tahoma" w:cs="Tahoma"/>
          <w:b/>
          <w:color w:val="000000" w:themeColor="text1"/>
          <w:sz w:val="32"/>
          <w:szCs w:val="32"/>
          <w:vertAlign w:val="superscript"/>
        </w:rPr>
        <w:t>1</w:t>
      </w:r>
      <w:r w:rsidRPr="00F45AAB">
        <w:rPr>
          <w:rFonts w:ascii="Tahoma" w:hAnsi="Tahoma" w:cs="Tahoma"/>
          <w:b/>
          <w:color w:val="000000" w:themeColor="text1"/>
          <w:sz w:val="32"/>
          <w:szCs w:val="32"/>
        </w:rPr>
        <w:t>, Marissa Barnes</w:t>
      </w:r>
      <w:r w:rsidRPr="00F45AAB">
        <w:rPr>
          <w:rFonts w:ascii="Tahoma" w:hAnsi="Tahoma" w:cs="Tahoma"/>
          <w:b/>
          <w:color w:val="000000" w:themeColor="text1"/>
          <w:sz w:val="32"/>
          <w:szCs w:val="32"/>
          <w:vertAlign w:val="superscript"/>
        </w:rPr>
        <w:t>2</w:t>
      </w:r>
      <w:r w:rsidRPr="00F45AAB">
        <w:rPr>
          <w:rFonts w:ascii="Tahoma" w:hAnsi="Tahoma" w:cs="Tahoma"/>
          <w:b/>
          <w:color w:val="000000" w:themeColor="text1"/>
          <w:sz w:val="32"/>
          <w:szCs w:val="32"/>
        </w:rPr>
        <w:t xml:space="preserve"> and Jayme Petryschuk</w:t>
      </w:r>
      <w:r w:rsidRPr="00F45AAB">
        <w:rPr>
          <w:rFonts w:ascii="Tahoma" w:hAnsi="Tahoma" w:cs="Tahoma"/>
          <w:b/>
          <w:color w:val="000000" w:themeColor="text1"/>
          <w:sz w:val="32"/>
          <w:szCs w:val="32"/>
          <w:vertAlign w:val="superscript"/>
        </w:rPr>
        <w:t>3</w:t>
      </w:r>
      <w:r w:rsidRPr="00F45AAB">
        <w:rPr>
          <w:rFonts w:ascii="Tahoma" w:hAnsi="Tahoma" w:cs="Tahoma"/>
          <w:b/>
          <w:color w:val="000000" w:themeColor="text1"/>
          <w:sz w:val="32"/>
          <w:szCs w:val="32"/>
        </w:rPr>
        <w:t xml:space="preserve"> </w:t>
      </w:r>
    </w:p>
    <w:p w:rsidR="00F45AAB" w:rsidRPr="00F45AAB" w:rsidRDefault="00F45AAB" w:rsidP="00F45AAB">
      <w:pPr>
        <w:spacing w:line="360" w:lineRule="auto"/>
        <w:rPr>
          <w:rFonts w:ascii="Tahoma" w:hAnsi="Tahoma" w:cs="Tahoma"/>
          <w:b/>
          <w:color w:val="000000" w:themeColor="text1"/>
          <w:sz w:val="32"/>
          <w:szCs w:val="32"/>
        </w:rPr>
      </w:pPr>
    </w:p>
    <w:p w:rsidR="00F45AAB" w:rsidRPr="00F45AAB" w:rsidRDefault="00F45AAB" w:rsidP="00F45AAB">
      <w:pPr>
        <w:spacing w:line="360" w:lineRule="auto"/>
        <w:rPr>
          <w:rFonts w:ascii="Tahoma" w:hAnsi="Tahoma" w:cs="Tahoma"/>
          <w:color w:val="000000" w:themeColor="text1"/>
          <w:sz w:val="28"/>
          <w:szCs w:val="28"/>
        </w:rPr>
      </w:pPr>
      <w:r w:rsidRPr="00F45AAB">
        <w:rPr>
          <w:rFonts w:ascii="Tahoma" w:hAnsi="Tahoma" w:cs="Tahoma"/>
          <w:color w:val="000000" w:themeColor="text1"/>
          <w:sz w:val="28"/>
          <w:szCs w:val="28"/>
          <w:vertAlign w:val="superscript"/>
        </w:rPr>
        <w:t>1</w:t>
      </w:r>
      <w:r w:rsidRPr="00F45AAB">
        <w:rPr>
          <w:rFonts w:ascii="Tahoma" w:hAnsi="Tahoma" w:cs="Tahoma"/>
          <w:color w:val="000000" w:themeColor="text1"/>
          <w:sz w:val="28"/>
          <w:szCs w:val="28"/>
        </w:rPr>
        <w:t xml:space="preserve">Mohawk College, </w:t>
      </w:r>
      <w:r w:rsidRPr="00F45AAB">
        <w:rPr>
          <w:rFonts w:ascii="Tahoma" w:hAnsi="Tahoma" w:cs="Tahoma"/>
          <w:color w:val="000000" w:themeColor="text1"/>
          <w:sz w:val="28"/>
          <w:szCs w:val="28"/>
          <w:vertAlign w:val="superscript"/>
        </w:rPr>
        <w:t>2</w:t>
      </w:r>
      <w:r w:rsidRPr="00F45AAB">
        <w:rPr>
          <w:rFonts w:ascii="Tahoma" w:hAnsi="Tahoma" w:cs="Tahoma"/>
          <w:color w:val="000000" w:themeColor="text1"/>
          <w:sz w:val="28"/>
          <w:szCs w:val="28"/>
        </w:rPr>
        <w:t xml:space="preserve">Lakehead University, </w:t>
      </w:r>
      <w:r w:rsidRPr="00F45AAB">
        <w:rPr>
          <w:rFonts w:ascii="Tahoma" w:hAnsi="Tahoma" w:cs="Tahoma"/>
          <w:color w:val="000000" w:themeColor="text1"/>
          <w:sz w:val="28"/>
          <w:szCs w:val="28"/>
          <w:vertAlign w:val="superscript"/>
        </w:rPr>
        <w:t xml:space="preserve">3 </w:t>
      </w:r>
      <w:r w:rsidRPr="00F45AAB">
        <w:rPr>
          <w:rFonts w:ascii="Tahoma" w:hAnsi="Tahoma" w:cs="Tahoma"/>
          <w:color w:val="000000" w:themeColor="text1"/>
          <w:sz w:val="28"/>
          <w:szCs w:val="28"/>
        </w:rPr>
        <w:t xml:space="preserve">Hamilton-Wentworth District School Board </w:t>
      </w:r>
    </w:p>
    <w:p w:rsidR="00F45AAB" w:rsidRPr="00F45AAB" w:rsidRDefault="00F45AAB" w:rsidP="00F45AAB">
      <w:pPr>
        <w:spacing w:line="360" w:lineRule="auto"/>
        <w:rPr>
          <w:rFonts w:ascii="Tahoma" w:hAnsi="Tahoma" w:cs="Tahoma"/>
          <w:color w:val="000000" w:themeColor="text1"/>
          <w:sz w:val="28"/>
          <w:szCs w:val="28"/>
        </w:rPr>
      </w:pPr>
    </w:p>
    <w:p w:rsidR="00F45AAB" w:rsidRPr="00F45AAB" w:rsidRDefault="00F45AAB" w:rsidP="00F45AAB">
      <w:pPr>
        <w:spacing w:line="360" w:lineRule="auto"/>
        <w:rPr>
          <w:rFonts w:ascii="Tahoma" w:hAnsi="Tahoma" w:cs="Tahoma"/>
          <w:color w:val="000000" w:themeColor="text1"/>
          <w:sz w:val="32"/>
          <w:szCs w:val="32"/>
        </w:rPr>
      </w:pPr>
      <w:r w:rsidRPr="00F45AAB">
        <w:rPr>
          <w:rFonts w:ascii="Tahoma" w:hAnsi="Tahoma" w:cs="Tahoma"/>
          <w:color w:val="000000" w:themeColor="text1"/>
          <w:sz w:val="28"/>
          <w:szCs w:val="28"/>
        </w:rPr>
        <w:t xml:space="preserve">Corresponding </w:t>
      </w:r>
      <w:r>
        <w:rPr>
          <w:rFonts w:ascii="Tahoma" w:hAnsi="Tahoma" w:cs="Tahoma"/>
          <w:color w:val="000000" w:themeColor="text1"/>
          <w:sz w:val="28"/>
          <w:szCs w:val="28"/>
        </w:rPr>
        <w:t>a</w:t>
      </w:r>
      <w:r w:rsidRPr="00F45AAB">
        <w:rPr>
          <w:rFonts w:ascii="Tahoma" w:hAnsi="Tahoma" w:cs="Tahoma"/>
          <w:color w:val="000000" w:themeColor="text1"/>
          <w:sz w:val="28"/>
          <w:szCs w:val="28"/>
        </w:rPr>
        <w:t>uthor</w:t>
      </w:r>
      <w:r>
        <w:rPr>
          <w:rFonts w:ascii="Tahoma" w:hAnsi="Tahoma" w:cs="Tahoma"/>
          <w:color w:val="000000" w:themeColor="text1"/>
          <w:sz w:val="28"/>
          <w:szCs w:val="28"/>
        </w:rPr>
        <w:t xml:space="preserve">: </w:t>
      </w:r>
      <w:hyperlink r:id="rId7" w:history="1">
        <w:r w:rsidR="00351AF5" w:rsidRPr="00BE4A6F">
          <w:rPr>
            <w:rStyle w:val="Hyperlink"/>
            <w:rFonts w:ascii="Tahoma" w:hAnsi="Tahoma" w:cs="Tahoma"/>
            <w:sz w:val="32"/>
            <w:szCs w:val="32"/>
          </w:rPr>
          <w:t>anne-marie.depape@mohawkcollege.ca</w:t>
        </w:r>
      </w:hyperlink>
      <w:r w:rsidR="00351AF5">
        <w:rPr>
          <w:rFonts w:ascii="Tahoma" w:hAnsi="Tahoma" w:cs="Tahoma"/>
          <w:color w:val="000000" w:themeColor="text1"/>
          <w:sz w:val="32"/>
          <w:szCs w:val="32"/>
        </w:rPr>
        <w:t xml:space="preserve"> </w:t>
      </w:r>
    </w:p>
    <w:p w:rsidR="00F45AAB" w:rsidRDefault="00F45AAB" w:rsidP="00B804D6">
      <w:pPr>
        <w:spacing w:line="360" w:lineRule="auto"/>
        <w:rPr>
          <w:rFonts w:ascii="Tahoma" w:hAnsi="Tahoma" w:cs="Tahoma"/>
          <w:b/>
          <w:color w:val="000000" w:themeColor="text1"/>
          <w:sz w:val="32"/>
          <w:szCs w:val="32"/>
        </w:rPr>
      </w:pPr>
    </w:p>
    <w:p w:rsidR="002B1038" w:rsidRPr="00F45AAB" w:rsidRDefault="002B1038" w:rsidP="00B804D6">
      <w:pPr>
        <w:spacing w:line="360" w:lineRule="auto"/>
        <w:rPr>
          <w:rFonts w:ascii="Tahoma" w:hAnsi="Tahoma" w:cs="Tahoma"/>
          <w:b/>
          <w:color w:val="000000" w:themeColor="text1"/>
        </w:rPr>
      </w:pPr>
      <w:r w:rsidRPr="00B804D6">
        <w:rPr>
          <w:rFonts w:ascii="Tahoma" w:hAnsi="Tahoma" w:cs="Tahoma"/>
          <w:b/>
          <w:color w:val="000000" w:themeColor="text1"/>
          <w:sz w:val="32"/>
          <w:szCs w:val="32"/>
        </w:rPr>
        <w:t>Abstract</w:t>
      </w:r>
    </w:p>
    <w:p w:rsidR="00B804D6" w:rsidRPr="00F45AAB" w:rsidRDefault="00B804D6" w:rsidP="00B804D6">
      <w:pPr>
        <w:spacing w:line="360" w:lineRule="auto"/>
        <w:rPr>
          <w:rFonts w:ascii="Tahoma" w:hAnsi="Tahoma" w:cs="Tahoma"/>
          <w:b/>
          <w:color w:val="000000" w:themeColor="text1"/>
        </w:rPr>
      </w:pPr>
    </w:p>
    <w:p w:rsidR="002B1038" w:rsidRPr="000261D1" w:rsidRDefault="002B1038" w:rsidP="002B1038">
      <w:pPr>
        <w:spacing w:line="360" w:lineRule="auto"/>
        <w:rPr>
          <w:rFonts w:ascii="Tahoma" w:hAnsi="Tahoma" w:cs="Tahoma"/>
          <w:color w:val="000000" w:themeColor="text1"/>
        </w:rPr>
      </w:pPr>
      <w:r w:rsidRPr="00F45AAB">
        <w:rPr>
          <w:rFonts w:ascii="Tahoma" w:hAnsi="Tahoma" w:cs="Tahoma"/>
          <w:color w:val="000000" w:themeColor="text1"/>
        </w:rPr>
        <w:t>Virtual rea</w:t>
      </w:r>
      <w:r w:rsidRPr="00B804D6">
        <w:rPr>
          <w:rFonts w:ascii="Tahoma" w:hAnsi="Tahoma" w:cs="Tahoma"/>
          <w:color w:val="000000" w:themeColor="text1"/>
          <w:sz w:val="28"/>
          <w:szCs w:val="28"/>
        </w:rPr>
        <w:t>lit</w:t>
      </w:r>
      <w:r w:rsidRPr="000261D1">
        <w:rPr>
          <w:rFonts w:ascii="Tahoma" w:hAnsi="Tahoma" w:cs="Tahoma"/>
          <w:color w:val="000000" w:themeColor="text1"/>
        </w:rPr>
        <w:t xml:space="preserve">y involves 3-D computer graphics that are experienced using a desktop computer or advanced tools including </w:t>
      </w:r>
      <w:r w:rsidRPr="000261D1">
        <w:rPr>
          <w:rFonts w:ascii="Tahoma" w:hAnsi="Tahoma" w:cs="Tahoma"/>
          <w:color w:val="000000" w:themeColor="text1"/>
          <w:lang w:val="en-CA"/>
        </w:rPr>
        <w:t>head-mounted displays. Augmented reality is usually experienced on a mobile phone and involves combining real and computer-generated digital information. These platforms have been introduced into higher education settings, however, little is known about their impact on student learning.</w:t>
      </w:r>
      <w:r w:rsidRPr="000261D1">
        <w:rPr>
          <w:rFonts w:ascii="Tahoma" w:hAnsi="Tahoma" w:cs="Tahoma"/>
          <w:color w:val="000000" w:themeColor="text1"/>
        </w:rPr>
        <w:t xml:space="preserve"> This meta-synthesis examines the experiences of higher education students with virtual and augmented reality. A thematic synthesis integrating qualitative evidence was undertaken where eight electronic databases were searched. Twenty-three articles met the inclusion criteria (</w:t>
      </w:r>
      <w:r w:rsidRPr="000261D1">
        <w:rPr>
          <w:rFonts w:ascii="Tahoma" w:hAnsi="Tahoma" w:cs="Tahoma"/>
          <w:i/>
          <w:color w:val="000000" w:themeColor="text1"/>
        </w:rPr>
        <w:t>n</w:t>
      </w:r>
      <w:r w:rsidRPr="000261D1">
        <w:rPr>
          <w:rFonts w:ascii="Tahoma" w:hAnsi="Tahoma" w:cs="Tahoma"/>
          <w:color w:val="000000" w:themeColor="text1"/>
        </w:rPr>
        <w:t xml:space="preserve"> = 1,334 students) and were examined by two reviewers using a constant comparative approach. Four themes emerged: technological factors, </w:t>
      </w:r>
      <w:r w:rsidRPr="000261D1">
        <w:rPr>
          <w:rFonts w:ascii="Tahoma" w:hAnsi="Tahoma" w:cs="Tahoma"/>
          <w:color w:val="000000" w:themeColor="text1"/>
        </w:rPr>
        <w:lastRenderedPageBreak/>
        <w:t>student characteristics, learning outcomes and recommendations. Our findings indicate there are factors to consider with these platforms as well as with the learners themselves when incorporating this technology in higher education.</w:t>
      </w:r>
    </w:p>
    <w:p w:rsidR="002B1038" w:rsidRPr="000261D1" w:rsidRDefault="002B1038" w:rsidP="002B1038">
      <w:pPr>
        <w:spacing w:line="360" w:lineRule="auto"/>
        <w:rPr>
          <w:rFonts w:ascii="Tahoma" w:hAnsi="Tahoma" w:cs="Tahoma"/>
          <w:b/>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b/>
          <w:color w:val="000000" w:themeColor="text1"/>
        </w:rPr>
        <w:t xml:space="preserve">Keywords: </w:t>
      </w:r>
      <w:r w:rsidRPr="000261D1">
        <w:rPr>
          <w:rFonts w:ascii="Tahoma" w:hAnsi="Tahoma" w:cs="Tahoma"/>
          <w:color w:val="000000" w:themeColor="text1"/>
        </w:rPr>
        <w:t>Higher Education; Virtual Reality; Augmented Reality; Systematic Review; Qualitative Research</w:t>
      </w:r>
    </w:p>
    <w:p w:rsidR="002B1038" w:rsidRPr="000261D1" w:rsidRDefault="002B1038" w:rsidP="002B1038">
      <w:pPr>
        <w:spacing w:line="360" w:lineRule="auto"/>
        <w:rPr>
          <w:rFonts w:ascii="Tahoma" w:hAnsi="Tahoma" w:cs="Tahoma"/>
          <w:b/>
          <w:color w:val="000000" w:themeColor="text1"/>
        </w:rPr>
      </w:pPr>
    </w:p>
    <w:p w:rsidR="002B1038" w:rsidRPr="00B804D6" w:rsidRDefault="00B804D6" w:rsidP="002B1038">
      <w:pPr>
        <w:spacing w:line="360" w:lineRule="auto"/>
        <w:rPr>
          <w:rFonts w:ascii="Tahoma" w:hAnsi="Tahoma" w:cs="Tahoma"/>
          <w:b/>
          <w:color w:val="000000" w:themeColor="text1"/>
          <w:sz w:val="28"/>
          <w:szCs w:val="28"/>
        </w:rPr>
      </w:pPr>
      <w:r>
        <w:rPr>
          <w:rFonts w:ascii="Tahoma" w:hAnsi="Tahoma" w:cs="Tahoma"/>
          <w:b/>
          <w:color w:val="000000" w:themeColor="text1"/>
          <w:sz w:val="28"/>
          <w:szCs w:val="28"/>
        </w:rPr>
        <w:t>Introduction</w:t>
      </w:r>
    </w:p>
    <w:p w:rsidR="00B804D6" w:rsidRPr="000261D1" w:rsidRDefault="00B804D6"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By 2020, there will be over 1 billion people accessing virtual reality (VR) and augmented reality (AR) (Davidge, 2017). This projection will lead to a production value between €15 billion and €34 billion in Europe and create up to 480,000 jobs (ECORYS, 2017). Similar trends are expected in Canada and United States, which are estimated to hold over $6 billion (Statista, 2018c) and $7.5 billion (Statista, 2018a) respectively of a worldwide market revenue worth $209 billion by 2022 (Statista, 2018b). These statistics show how VR and AR have attracted a worldwide audience and have the potential to impact various sectors including education.</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eastAsia="Times New Roman" w:hAnsi="Tahoma" w:cs="Tahoma"/>
          <w:color w:val="000000" w:themeColor="text1"/>
        </w:rPr>
      </w:pPr>
      <w:r w:rsidRPr="000261D1">
        <w:rPr>
          <w:rFonts w:ascii="Tahoma" w:hAnsi="Tahoma" w:cs="Tahoma"/>
          <w:color w:val="000000" w:themeColor="text1"/>
        </w:rPr>
        <w:t>VR involves 3-D computer graphics used in conjunction with interface devices to create an interactive experience (</w:t>
      </w:r>
      <w:r w:rsidRPr="000261D1">
        <w:rPr>
          <w:rFonts w:ascii="Tahoma" w:hAnsi="Tahoma" w:cs="Tahoma"/>
          <w:color w:val="000000" w:themeColor="text1"/>
          <w:lang w:val="en-CA"/>
        </w:rPr>
        <w:t xml:space="preserve">Madathil, 2017). This experience with VR can take two forms: desktop which exposes users to 3-D multimedia simulations using a personal computer and immersive which provides a portable environment through head-mounted displays (Madathil, 2017). In contrast, augmented reality involves combining “real and computer-generated digital information into the user’s view of the physical world in such a way they appear as one environment” (Olsson, Lagerstam, Karkkainen &amp; Vaananen, 2013, p. 288). One example is </w:t>
      </w:r>
      <w:r w:rsidRPr="000261D1">
        <w:rPr>
          <w:rFonts w:ascii="Tahoma" w:eastAsia="Times New Roman" w:hAnsi="Tahoma" w:cs="Tahoma"/>
          <w:color w:val="000000" w:themeColor="text1"/>
          <w:shd w:val="clear" w:color="auto" w:fill="FFFFFF"/>
        </w:rPr>
        <w:t>Pokémon</w:t>
      </w:r>
      <w:r w:rsidRPr="000261D1">
        <w:rPr>
          <w:rFonts w:ascii="Tahoma" w:hAnsi="Tahoma" w:cs="Tahoma"/>
          <w:color w:val="000000" w:themeColor="text1"/>
          <w:lang w:val="en-CA"/>
        </w:rPr>
        <w:t>Go where a mobile phone is used to catch Pokémon in real-world locations, such as parks and shopping centres (Niantic Incorporated, 2016).</w:t>
      </w:r>
    </w:p>
    <w:p w:rsidR="002B1038" w:rsidRPr="000261D1" w:rsidRDefault="002B1038" w:rsidP="002B1038">
      <w:pPr>
        <w:widowControl w:val="0"/>
        <w:spacing w:line="360" w:lineRule="auto"/>
        <w:rPr>
          <w:rFonts w:ascii="Tahoma" w:hAnsi="Tahoma" w:cs="Tahoma"/>
          <w:color w:val="000000" w:themeColor="text1"/>
          <w:lang w:val="en-CA"/>
        </w:rPr>
      </w:pPr>
    </w:p>
    <w:p w:rsidR="002B1038" w:rsidRPr="000261D1" w:rsidRDefault="002B1038" w:rsidP="002B1038">
      <w:pPr>
        <w:widowControl w:val="0"/>
        <w:spacing w:line="360" w:lineRule="auto"/>
        <w:rPr>
          <w:rFonts w:ascii="Tahoma" w:hAnsi="Tahoma" w:cs="Tahoma"/>
          <w:color w:val="000000" w:themeColor="text1"/>
          <w:lang w:val="en-CA"/>
        </w:rPr>
      </w:pPr>
      <w:r w:rsidRPr="000261D1">
        <w:rPr>
          <w:rFonts w:ascii="Tahoma" w:hAnsi="Tahoma" w:cs="Tahoma"/>
          <w:color w:val="000000" w:themeColor="text1"/>
          <w:lang w:val="en-CA"/>
        </w:rPr>
        <w:t>VR headsets are accessible to the consumer market (Hollander, 2018), ranging from high-end (e.g., HTC Vive and Oculus Rift) to more affordable options like Google Cardboard. AR related sales are also expected to increase in the future (Statista, n.d.) and as such, it is important to understand the impact on higher education. After all, approximately 46 percent of higher education institutions in the United States are using these platforms (Hills-Duty, 2018), making it important to identify best practices.</w:t>
      </w:r>
    </w:p>
    <w:p w:rsidR="002B1038" w:rsidRPr="000261D1" w:rsidRDefault="002B1038" w:rsidP="002B1038">
      <w:pPr>
        <w:widowControl w:val="0"/>
        <w:spacing w:line="360" w:lineRule="auto"/>
        <w:rPr>
          <w:rFonts w:ascii="Tahoma" w:hAnsi="Tahoma" w:cs="Tahoma"/>
          <w:color w:val="000000" w:themeColor="text1"/>
        </w:rPr>
      </w:pPr>
    </w:p>
    <w:p w:rsidR="002B1038" w:rsidRPr="000261D1" w:rsidRDefault="002B1038" w:rsidP="002B1038">
      <w:pPr>
        <w:widowControl w:val="0"/>
        <w:spacing w:line="360" w:lineRule="auto"/>
        <w:rPr>
          <w:rFonts w:ascii="Tahoma" w:hAnsi="Tahoma" w:cs="Tahoma"/>
          <w:color w:val="000000" w:themeColor="text1"/>
        </w:rPr>
      </w:pPr>
      <w:r w:rsidRPr="000261D1">
        <w:rPr>
          <w:rFonts w:ascii="Tahoma" w:hAnsi="Tahoma" w:cs="Tahoma"/>
          <w:color w:val="000000" w:themeColor="text1"/>
        </w:rPr>
        <w:t>Research has revealed that the learning curve associated with VR and AR has created an obstacle for educators (Castaneda &amp; Pacampara, 2016). Students were also left to find their own solutions with these platforms, which led to “student in-class experts” (Castaneda &amp; Pacampara, 2016, p. 532). This role reversal is not surprising given that video games represent the largest industry involved in VR and AR (</w:t>
      </w:r>
      <w:r w:rsidRPr="000261D1">
        <w:rPr>
          <w:rFonts w:ascii="Tahoma" w:hAnsi="Tahoma" w:cs="Tahoma"/>
          <w:color w:val="000000" w:themeColor="text1"/>
          <w:lang w:val="en-CA"/>
        </w:rPr>
        <w:t>Statista, 2018d</w:t>
      </w:r>
      <w:r w:rsidRPr="000261D1">
        <w:rPr>
          <w:rFonts w:ascii="Tahoma" w:hAnsi="Tahoma" w:cs="Tahoma"/>
          <w:color w:val="000000" w:themeColor="text1"/>
        </w:rPr>
        <w:t>) and therefore provide an opportunity for practice outside of school.</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In this article, we synthesize and critically interrogate the qualitative research on higher education students’ experiences with VR and AR. The use of qualitative research methods is suggested when little is known about a phenomenon (McLeod, 2001). Given the recent emergence of VR and AR in education, a focus on qualitative findings is a logical first step. Qualitative strategies allow investigators to develop an understanding of social phenomena (Tong, Morton, Howard, &amp; Craig, 2009). Metasyntheses of research findings also allow investigators to develop a deeper appreciation of a topic than can be obtained from a single study (Erwin, Brotherson, &amp; Summers, 2011). To our knowledge, no previous authors have published a metasynthesis on this topic.</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lastRenderedPageBreak/>
        <w:t xml:space="preserve">Qualitative research findings can inform evidence-based practice (Grypdonck, 2006), which is important in order to provide student-centered teaching and learning. Evidence-based practice is not always evident in the classroom. Consider learning styles, which suggest individuals have a preference in terms of how they learn and teaching students according to this learning style will lead to better performance (Newton, 2015). This matching between teaching and learning style has been labelled a “neuromyth” (Dekker, Lee, Howard-Jones &amp; Jolles, 2012), although, this thinking is still prevalent among educators (Newton &amp; Miah, 2017). This thinking might pigeonhole learners while reinforcing inaccurate beliefs about how the brain processes information. </w:t>
      </w:r>
    </w:p>
    <w:p w:rsidR="002B1038" w:rsidRPr="000261D1" w:rsidRDefault="002B1038" w:rsidP="002B1038">
      <w:pPr>
        <w:widowControl w:val="0"/>
        <w:spacing w:line="360" w:lineRule="auto"/>
        <w:rPr>
          <w:rFonts w:ascii="Tahoma" w:hAnsi="Tahoma" w:cs="Tahoma"/>
          <w:b/>
          <w:color w:val="000000" w:themeColor="text1"/>
        </w:rPr>
      </w:pPr>
    </w:p>
    <w:p w:rsidR="002B1038" w:rsidRPr="000261D1" w:rsidRDefault="002B1038" w:rsidP="002B1038">
      <w:pPr>
        <w:widowControl w:val="0"/>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Theoretical Perspective</w:t>
      </w:r>
    </w:p>
    <w:p w:rsidR="002B1038" w:rsidRPr="000261D1" w:rsidRDefault="002B1038" w:rsidP="002B1038">
      <w:pPr>
        <w:widowControl w:val="0"/>
        <w:spacing w:line="360" w:lineRule="auto"/>
        <w:rPr>
          <w:rFonts w:ascii="Tahoma" w:hAnsi="Tahoma" w:cs="Tahoma"/>
          <w:b/>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We examine VR and AR in terms of the implications for higher education learning. We examine these platforms in the context of learning preferences rather than learning styles as part of a larger framework consistent with Universal Design for Learning (UDL; see Meyer, Rose, &amp; Gordon, 2014). There is a need to incorporate UDL principles, which make learning accessible through the activation of three brain networks: affective, recognition and strategic (National Center on Universal Design for Learning, 2015). The affective network provides multiple ways of engaging students, such as by setting clear learning outcomes. The recognition network provides multiple representations for students, such as auditory and visual. Finally, the strategic network provides multiple ways of expression, such as written or verbal (National Center on Universal Design for Learning, 2015). Together, these networks address different aspects of learning: why (affective), what (recognition) and how (strategic) (British Columbia Ministry of Education, 2017).</w:t>
      </w:r>
    </w:p>
    <w:p w:rsidR="002B1038" w:rsidRPr="000261D1" w:rsidRDefault="002B1038" w:rsidP="002B1038">
      <w:pPr>
        <w:spacing w:line="360" w:lineRule="auto"/>
        <w:jc w:val="center"/>
        <w:rPr>
          <w:rFonts w:ascii="Tahoma" w:hAnsi="Tahoma" w:cs="Tahoma"/>
          <w:b/>
          <w:color w:val="000000" w:themeColor="text1"/>
        </w:rPr>
      </w:pPr>
    </w:p>
    <w:p w:rsidR="00A94592" w:rsidRDefault="00A94592" w:rsidP="00A94592">
      <w:pPr>
        <w:spacing w:line="360" w:lineRule="auto"/>
        <w:rPr>
          <w:rFonts w:ascii="Tahoma" w:hAnsi="Tahoma" w:cs="Tahoma"/>
          <w:b/>
          <w:color w:val="000000" w:themeColor="text1"/>
          <w:sz w:val="32"/>
          <w:szCs w:val="32"/>
        </w:rPr>
      </w:pPr>
    </w:p>
    <w:p w:rsidR="002B1038" w:rsidRPr="000261D1" w:rsidRDefault="002B1038" w:rsidP="00A94592">
      <w:pPr>
        <w:spacing w:line="360" w:lineRule="auto"/>
        <w:rPr>
          <w:rFonts w:ascii="Tahoma" w:hAnsi="Tahoma" w:cs="Tahoma"/>
          <w:b/>
          <w:color w:val="000000" w:themeColor="text1"/>
          <w:sz w:val="32"/>
          <w:szCs w:val="32"/>
        </w:rPr>
      </w:pPr>
      <w:r w:rsidRPr="000261D1">
        <w:rPr>
          <w:rFonts w:ascii="Tahoma" w:hAnsi="Tahoma" w:cs="Tahoma"/>
          <w:b/>
          <w:color w:val="000000" w:themeColor="text1"/>
          <w:sz w:val="32"/>
          <w:szCs w:val="32"/>
        </w:rPr>
        <w:lastRenderedPageBreak/>
        <w:t>Methods</w:t>
      </w:r>
    </w:p>
    <w:p w:rsidR="00A94592" w:rsidRDefault="00A94592" w:rsidP="002B1038">
      <w:pPr>
        <w:spacing w:line="360" w:lineRule="auto"/>
        <w:rPr>
          <w:rFonts w:ascii="Tahoma" w:hAnsi="Tahoma" w:cs="Tahoma"/>
          <w:b/>
          <w:color w:val="000000" w:themeColor="text1"/>
          <w:sz w:val="28"/>
          <w:szCs w:val="28"/>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 xml:space="preserve">Search Strategy </w:t>
      </w:r>
    </w:p>
    <w:p w:rsidR="002B1038" w:rsidRPr="000261D1" w:rsidRDefault="002B1038" w:rsidP="002B1038">
      <w:pPr>
        <w:spacing w:line="360" w:lineRule="auto"/>
        <w:rPr>
          <w:rFonts w:ascii="Tahoma" w:hAnsi="Tahoma" w:cs="Tahoma"/>
          <w:color w:val="000000" w:themeColor="text1"/>
          <w:lang w:val="en-CA"/>
        </w:rPr>
      </w:pPr>
      <w:r w:rsidRPr="000261D1">
        <w:rPr>
          <w:rFonts w:ascii="Tahoma" w:hAnsi="Tahoma" w:cs="Tahoma"/>
          <w:color w:val="000000" w:themeColor="text1"/>
        </w:rPr>
        <w:t xml:space="preserve">The first author developed a search strategy in consultation with a college librarian. The following databases were searched: </w:t>
      </w:r>
      <w:r w:rsidRPr="000261D1">
        <w:rPr>
          <w:rFonts w:ascii="Tahoma" w:hAnsi="Tahoma" w:cs="Tahoma"/>
          <w:color w:val="000000" w:themeColor="text1"/>
          <w:lang w:val="en-CA"/>
        </w:rPr>
        <w:t xml:space="preserve">ERIC, Academic Search Premier, PubMed, ProQuest, </w:t>
      </w:r>
      <w:r w:rsidRPr="000261D1">
        <w:rPr>
          <w:rFonts w:ascii="Tahoma" w:hAnsi="Tahoma" w:cs="Tahoma"/>
          <w:color w:val="000000" w:themeColor="text1"/>
        </w:rPr>
        <w:t xml:space="preserve">MEDLINE (OVID), Healthstar, Web of Science and </w:t>
      </w:r>
      <w:r w:rsidRPr="000261D1">
        <w:rPr>
          <w:rFonts w:ascii="Tahoma" w:hAnsi="Tahoma" w:cs="Tahoma"/>
          <w:color w:val="000000" w:themeColor="text1"/>
          <w:lang w:val="en-CA"/>
        </w:rPr>
        <w:t xml:space="preserve">Google Scholar. </w:t>
      </w:r>
      <w:r w:rsidRPr="000261D1">
        <w:rPr>
          <w:rFonts w:ascii="Tahoma" w:hAnsi="Tahoma" w:cs="Tahoma"/>
          <w:color w:val="000000" w:themeColor="text1"/>
        </w:rPr>
        <w:t xml:space="preserve">The search strategy involved the following terms with the use of modifiers: </w:t>
      </w:r>
      <w:r w:rsidRPr="000261D1">
        <w:rPr>
          <w:rFonts w:ascii="Tahoma" w:hAnsi="Tahoma" w:cs="Tahoma"/>
          <w:color w:val="000000" w:themeColor="text1"/>
          <w:lang w:val="en-CA"/>
        </w:rPr>
        <w:t xml:space="preserve">virtual reality OR desktop reality OR immersive reality AND augmented reality AND qualitative research OR focus group OR interview OR ethnography OR phenomenology OR grounded theory OR hermeneutics AND college OR university OR higher education. This search strategy was completed as part of an advanced search where these terms had to be located in the abstract of an article. </w:t>
      </w:r>
      <w:r w:rsidRPr="000261D1">
        <w:rPr>
          <w:rFonts w:ascii="Tahoma" w:hAnsi="Tahoma" w:cs="Tahoma"/>
          <w:color w:val="000000" w:themeColor="text1"/>
        </w:rPr>
        <w:t xml:space="preserve">Reference lists of included articles were also searched.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The inclusion criteria involved: peer-reviewed published research between 1990 and 2018 </w:t>
      </w:r>
      <w:r w:rsidRPr="000261D1">
        <w:rPr>
          <w:rFonts w:ascii="Tahoma" w:hAnsi="Tahoma" w:cs="Tahoma"/>
          <w:color w:val="000000" w:themeColor="text1"/>
          <w:lang w:val="en-CA"/>
        </w:rPr>
        <w:t xml:space="preserve">focusing on the experiences of higher education students; article focused on students’ experiences with VR or AR; article focused on implications for education including benefits and challenges of these platforms or learning contributions; and qualitative design was used for data collection and analysis. </w:t>
      </w:r>
      <w:r w:rsidRPr="000261D1">
        <w:rPr>
          <w:rFonts w:ascii="Tahoma" w:hAnsi="Tahoma" w:cs="Tahoma"/>
          <w:color w:val="000000" w:themeColor="text1"/>
        </w:rPr>
        <w:t xml:space="preserve">Articles containing only quantitative data, opinions, editorials, content analysis, teachers’ perspectives, discussions about virtual (online) environments, case studies or unpublished work were excluded.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The first author and the librarian conducted the literature search where 3,787 articles were identified. Next, the first and second authors reviewed the titles and abstracts of these articles. After removing the duplicates and applying the inclusion criteria, 88 articles were read in full by the first and third authors in </w:t>
      </w:r>
      <w:r w:rsidRPr="000261D1">
        <w:rPr>
          <w:rFonts w:ascii="Tahoma" w:hAnsi="Tahoma" w:cs="Tahoma"/>
          <w:color w:val="000000" w:themeColor="text1"/>
        </w:rPr>
        <w:lastRenderedPageBreak/>
        <w:t xml:space="preserve">discussion with the second author. All authors agreed 23 articles met the inclusion criteria.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Analytical Approach for Review and Synthesis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The analytic approach adopted included structured abstraction (Tong et al., 2009) and narrative synthesis (Petticrew &amp; Roberts., 2005). The third author read each article and summarized the key characteristics of each study in tabular format. Data were abstracted and compiled by the third author and independently verified by the first author (Tong et al., 2009). The findings were then synthesized in three stages using narrative synthesis guidelines (Petticrew &amp;Roberts, 2005; Saini &amp; Shlonsky, 2012). In the first stage, studies were organized into categories, which represented the reason for incorporating VR and AR including teaching students new skills or exploring these platforms.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In the second stage, findings were analyzed within sub-categories including pros and cons of using VR and AR as well as the type of learners to benefit from these platforms. This second stage allowed a profile to be created about the platform or students themselves, with remarkable similarities across articles. These similarities are attributed to the “newness” of these platforms within education and as such, authors are interested in similar questions, such as how the technology works and what students liked or disliked.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The last stage involved synthesizing findings across all studies with a focus placed on how the profile of the platform or students was consistent with UDL principles. Specifically, we mapped our findings to the affective, recognition, and strategic networks to determine how VR and AR is consistent with UDL principles.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Four primary themes emerged from the narrative synthesis process. The themes include technological factors, student characteristics, learning outcomes, and </w:t>
      </w:r>
      <w:r w:rsidRPr="000261D1">
        <w:rPr>
          <w:rFonts w:ascii="Tahoma" w:hAnsi="Tahoma" w:cs="Tahoma"/>
          <w:color w:val="000000" w:themeColor="text1"/>
        </w:rPr>
        <w:lastRenderedPageBreak/>
        <w:t>recommendations. All studies included in this review contributed to the development of these themes and exemplars (representative quotations) were recorded.</w:t>
      </w:r>
    </w:p>
    <w:p w:rsidR="002B1038" w:rsidRPr="000261D1" w:rsidRDefault="002B1038" w:rsidP="002B1038">
      <w:pPr>
        <w:spacing w:line="360" w:lineRule="auto"/>
        <w:rPr>
          <w:rFonts w:ascii="Tahoma" w:hAnsi="Tahoma" w:cs="Tahoma"/>
          <w:b/>
          <w:color w:val="000000" w:themeColor="text1"/>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Analytic Reliability and Source Appraisal</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During the analytic process, we adopted two aspects integral to the use of consensual qualitative research methods (Hill, Thompson, &amp; Williams, 1997). These aspects included resolving discrepancies by discussion and consensus and establishing reliability via the use of “investigator triangulation” (Carter, Bryant-Lukosius, DiCenso, Blythe, &amp; Neville, 2015). The first and third authors independently coded the data with discrepancies resolved through discussion. The second author audited the review and synthesis process, and served as final check on the abstraction, categorization and thematization of data.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The quality of included studies was appraised using the Critical Appraisal Skills Programme (Critical Appraisal Skills Programme International, 2010). The first and third authors made notes about each item, which were verified by the second author. Discrepancies were resolved by discussion. Research quality was generally good with no article excluded from our analysis.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A94592">
      <w:pPr>
        <w:spacing w:line="360" w:lineRule="auto"/>
        <w:rPr>
          <w:rFonts w:ascii="Tahoma" w:hAnsi="Tahoma" w:cs="Tahoma"/>
          <w:b/>
          <w:color w:val="000000" w:themeColor="text1"/>
          <w:sz w:val="32"/>
          <w:szCs w:val="32"/>
        </w:rPr>
      </w:pPr>
      <w:r w:rsidRPr="000261D1">
        <w:rPr>
          <w:rFonts w:ascii="Tahoma" w:hAnsi="Tahoma" w:cs="Tahoma"/>
          <w:b/>
          <w:color w:val="000000" w:themeColor="text1"/>
          <w:sz w:val="32"/>
          <w:szCs w:val="32"/>
        </w:rPr>
        <w:t>Results</w:t>
      </w:r>
    </w:p>
    <w:p w:rsidR="00A94592" w:rsidRDefault="00A94592" w:rsidP="002B1038">
      <w:pPr>
        <w:spacing w:line="360" w:lineRule="auto"/>
        <w:rPr>
          <w:rFonts w:ascii="Tahoma" w:hAnsi="Tahoma" w:cs="Tahoma"/>
          <w:b/>
          <w:color w:val="000000" w:themeColor="text1"/>
          <w:sz w:val="28"/>
          <w:szCs w:val="28"/>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Characteristics of Included Studies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Twenty-three articles were identified in our search (see Appendix for an overview of the characteristics of each study). The included studies involved 1,334 students (30% males and 70% females). Most studies focused on students at the undergraduate level (</w:t>
      </w:r>
      <w:r w:rsidRPr="000261D1">
        <w:rPr>
          <w:rFonts w:ascii="Tahoma" w:hAnsi="Tahoma" w:cs="Tahoma"/>
          <w:i/>
          <w:color w:val="000000" w:themeColor="text1"/>
        </w:rPr>
        <w:t xml:space="preserve">n </w:t>
      </w:r>
      <w:r w:rsidRPr="000261D1">
        <w:rPr>
          <w:rFonts w:ascii="Tahoma" w:hAnsi="Tahoma" w:cs="Tahoma"/>
          <w:color w:val="000000" w:themeColor="text1"/>
        </w:rPr>
        <w:t>= 13), followed by graduate level including pre-service teacher training and Master’s degree or higher (</w:t>
      </w:r>
      <w:r w:rsidRPr="000261D1">
        <w:rPr>
          <w:rFonts w:ascii="Tahoma" w:hAnsi="Tahoma" w:cs="Tahoma"/>
          <w:i/>
          <w:color w:val="000000" w:themeColor="text1"/>
        </w:rPr>
        <w:t>n</w:t>
      </w:r>
      <w:r w:rsidRPr="000261D1">
        <w:rPr>
          <w:rFonts w:ascii="Tahoma" w:hAnsi="Tahoma" w:cs="Tahoma"/>
          <w:color w:val="000000" w:themeColor="text1"/>
        </w:rPr>
        <w:t xml:space="preserve"> = 10). Students </w:t>
      </w:r>
      <w:r w:rsidRPr="000261D1">
        <w:rPr>
          <w:rFonts w:ascii="Tahoma" w:hAnsi="Tahoma" w:cs="Tahoma"/>
          <w:color w:val="000000" w:themeColor="text1"/>
        </w:rPr>
        <w:lastRenderedPageBreak/>
        <w:t>represented a range of academic areas including education, engineering, nursing, computer science and social work. The majority of the studies (</w:t>
      </w:r>
      <w:r w:rsidRPr="000261D1">
        <w:rPr>
          <w:rFonts w:ascii="Tahoma" w:hAnsi="Tahoma" w:cs="Tahoma"/>
          <w:i/>
          <w:color w:val="000000" w:themeColor="text1"/>
        </w:rPr>
        <w:t xml:space="preserve">n </w:t>
      </w:r>
      <w:r w:rsidRPr="000261D1">
        <w:rPr>
          <w:rFonts w:ascii="Tahoma" w:hAnsi="Tahoma" w:cs="Tahoma"/>
          <w:color w:val="000000" w:themeColor="text1"/>
        </w:rPr>
        <w:t>= 11) involved samples from the United States, followed by Turkey (</w:t>
      </w:r>
      <w:r w:rsidRPr="000261D1">
        <w:rPr>
          <w:rFonts w:ascii="Tahoma" w:hAnsi="Tahoma" w:cs="Tahoma"/>
          <w:i/>
          <w:color w:val="000000" w:themeColor="text1"/>
        </w:rPr>
        <w:t xml:space="preserve">n </w:t>
      </w:r>
      <w:r w:rsidRPr="000261D1">
        <w:rPr>
          <w:rFonts w:ascii="Tahoma" w:hAnsi="Tahoma" w:cs="Tahoma"/>
          <w:color w:val="000000" w:themeColor="text1"/>
        </w:rPr>
        <w:t>= 4), United Kingdom (</w:t>
      </w:r>
      <w:r w:rsidRPr="000261D1">
        <w:rPr>
          <w:rFonts w:ascii="Tahoma" w:hAnsi="Tahoma" w:cs="Tahoma"/>
          <w:i/>
          <w:color w:val="000000" w:themeColor="text1"/>
        </w:rPr>
        <w:t xml:space="preserve">n </w:t>
      </w:r>
      <w:r w:rsidRPr="000261D1">
        <w:rPr>
          <w:rFonts w:ascii="Tahoma" w:hAnsi="Tahoma" w:cs="Tahoma"/>
          <w:color w:val="000000" w:themeColor="text1"/>
        </w:rPr>
        <w:t>= 2) and one in each of the following: Australia, Columbia, Finland, Israel, Japan and Taiwan. The majority of the studies (</w:t>
      </w:r>
      <w:r w:rsidRPr="000261D1">
        <w:rPr>
          <w:rFonts w:ascii="Tahoma" w:hAnsi="Tahoma" w:cs="Tahoma"/>
          <w:i/>
          <w:color w:val="000000" w:themeColor="text1"/>
        </w:rPr>
        <w:t>n</w:t>
      </w:r>
      <w:r w:rsidRPr="000261D1">
        <w:rPr>
          <w:rFonts w:ascii="Tahoma" w:hAnsi="Tahoma" w:cs="Tahoma"/>
          <w:color w:val="000000" w:themeColor="text1"/>
        </w:rPr>
        <w:t xml:space="preserve"> = 17) involved VR, followed by AR (</w:t>
      </w:r>
      <w:r w:rsidRPr="000261D1">
        <w:rPr>
          <w:rFonts w:ascii="Tahoma" w:hAnsi="Tahoma" w:cs="Tahoma"/>
          <w:i/>
          <w:color w:val="000000" w:themeColor="text1"/>
        </w:rPr>
        <w:t>n</w:t>
      </w:r>
      <w:r w:rsidRPr="000261D1">
        <w:rPr>
          <w:rFonts w:ascii="Tahoma" w:hAnsi="Tahoma" w:cs="Tahoma"/>
          <w:color w:val="000000" w:themeColor="text1"/>
        </w:rPr>
        <w:t xml:space="preserve"> = 4) and “mixed reality” where VR and AR were blended together (</w:t>
      </w:r>
      <w:r w:rsidRPr="000261D1">
        <w:rPr>
          <w:rFonts w:ascii="Tahoma" w:hAnsi="Tahoma" w:cs="Tahoma"/>
          <w:i/>
          <w:color w:val="000000" w:themeColor="text1"/>
        </w:rPr>
        <w:t>n</w:t>
      </w:r>
      <w:r w:rsidRPr="000261D1">
        <w:rPr>
          <w:rFonts w:ascii="Tahoma" w:hAnsi="Tahoma" w:cs="Tahoma"/>
          <w:color w:val="000000" w:themeColor="text1"/>
        </w:rPr>
        <w:t xml:space="preserve"> = 2).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Four themes emerged: technological factors (usability and functionality), student characteristics (demographics and academic background), learning outcomes (hard skills, soft skills and essential skills) and recommendations (theoretical framework and applications). Representative quotations from each theme are provided in Table 1.</w:t>
      </w:r>
    </w:p>
    <w:p w:rsidR="00004A44" w:rsidRDefault="00004A44" w:rsidP="002B1038">
      <w:pPr>
        <w:spacing w:line="360" w:lineRule="auto"/>
        <w:rPr>
          <w:rFonts w:ascii="Tahoma" w:hAnsi="Tahoma" w:cs="Tahoma"/>
          <w:color w:val="000000" w:themeColor="text1"/>
        </w:rPr>
      </w:pPr>
    </w:p>
    <w:p w:rsidR="00004A44" w:rsidRDefault="00004A44" w:rsidP="002B1038">
      <w:pPr>
        <w:spacing w:line="360" w:lineRule="auto"/>
        <w:rPr>
          <w:rFonts w:ascii="Tahoma" w:hAnsi="Tahoma" w:cs="Tahoma"/>
          <w:color w:val="000000" w:themeColor="text1"/>
        </w:rPr>
      </w:pPr>
    </w:p>
    <w:p w:rsidR="00004A44" w:rsidRDefault="00004A44" w:rsidP="002B1038">
      <w:pPr>
        <w:spacing w:line="360" w:lineRule="auto"/>
        <w:rPr>
          <w:rFonts w:ascii="Tahoma" w:hAnsi="Tahoma" w:cs="Tahoma"/>
          <w:color w:val="000000" w:themeColor="text1"/>
        </w:rPr>
      </w:pPr>
    </w:p>
    <w:p w:rsidR="00004A44" w:rsidRDefault="00004A44"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Table 1. Representative Quotations from Themes</w:t>
      </w:r>
    </w:p>
    <w:p w:rsidR="002B1038" w:rsidRPr="000261D1" w:rsidRDefault="002B1038" w:rsidP="002B1038">
      <w:pPr>
        <w:spacing w:line="360" w:lineRule="auto"/>
        <w:rPr>
          <w:rFonts w:ascii="Tahoma" w:hAnsi="Tahoma" w:cs="Tahoma"/>
          <w:color w:val="000000" w:themeColor="text1"/>
        </w:rPr>
      </w:pPr>
    </w:p>
    <w:tbl>
      <w:tblPr>
        <w:tblStyle w:val="TableGrid"/>
        <w:tblW w:w="9356" w:type="dxa"/>
        <w:tblInd w:w="-147" w:type="dxa"/>
        <w:tblLook w:val="04A0"/>
      </w:tblPr>
      <w:tblGrid>
        <w:gridCol w:w="2161"/>
        <w:gridCol w:w="7195"/>
      </w:tblGrid>
      <w:tr w:rsidR="002B1038" w:rsidRPr="000261D1" w:rsidTr="008B5F6D">
        <w:tc>
          <w:tcPr>
            <w:tcW w:w="1843" w:type="dxa"/>
          </w:tcPr>
          <w:p w:rsidR="002B1038" w:rsidRPr="000261D1" w:rsidRDefault="002B1038" w:rsidP="008B5F6D">
            <w:pPr>
              <w:rPr>
                <w:rFonts w:ascii="Tahoma" w:hAnsi="Tahoma" w:cs="Tahoma"/>
                <w:b/>
                <w:color w:val="000000" w:themeColor="text1"/>
                <w:sz w:val="24"/>
                <w:szCs w:val="24"/>
              </w:rPr>
            </w:pPr>
            <w:r w:rsidRPr="000261D1">
              <w:rPr>
                <w:rFonts w:ascii="Tahoma" w:hAnsi="Tahoma" w:cs="Tahoma"/>
                <w:b/>
                <w:color w:val="000000" w:themeColor="text1"/>
                <w:sz w:val="24"/>
                <w:szCs w:val="24"/>
              </w:rPr>
              <w:t>Theme</w:t>
            </w:r>
          </w:p>
        </w:tc>
        <w:tc>
          <w:tcPr>
            <w:tcW w:w="7513" w:type="dxa"/>
          </w:tcPr>
          <w:p w:rsidR="002B1038" w:rsidRPr="000261D1" w:rsidRDefault="002B1038" w:rsidP="008B5F6D">
            <w:pPr>
              <w:rPr>
                <w:rFonts w:ascii="Tahoma" w:hAnsi="Tahoma" w:cs="Tahoma"/>
                <w:b/>
                <w:color w:val="000000" w:themeColor="text1"/>
                <w:sz w:val="24"/>
                <w:szCs w:val="24"/>
              </w:rPr>
            </w:pPr>
            <w:r w:rsidRPr="000261D1">
              <w:rPr>
                <w:rFonts w:ascii="Tahoma" w:hAnsi="Tahoma" w:cs="Tahoma"/>
                <w:b/>
                <w:color w:val="000000" w:themeColor="text1"/>
                <w:sz w:val="24"/>
                <w:szCs w:val="24"/>
              </w:rPr>
              <w:t>Quotation</w:t>
            </w:r>
          </w:p>
        </w:tc>
      </w:tr>
      <w:tr w:rsidR="002B1038" w:rsidRPr="000261D1" w:rsidTr="008B5F6D">
        <w:trPr>
          <w:trHeight w:val="2952"/>
        </w:trPr>
        <w:tc>
          <w:tcPr>
            <w:tcW w:w="184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Technological Factors</w:t>
            </w:r>
          </w:p>
        </w:tc>
        <w:tc>
          <w:tcPr>
            <w:tcW w:w="751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 am able to operate this system at home or at school. Even on the way to school in traffic, I can do it, too. This is very convenient” (Chao et al., 2016, p. 248).</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 really was amazed at how much I had learned about navigating in Second Life through my several attempts earlier in the month…I can see how I am progressing from novice to advanced beginner!” (Benham-Hutchins &amp; Lall, 2015, p. 407).</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 xml:space="preserve">“The virtual participants were able to talk to us, jump, wave, type information. Giving the avatars these human qualities…made me feel like I was communicating with my classmates face-to-face" (Bower et al., 2017, p. 420). </w:t>
            </w:r>
          </w:p>
          <w:p w:rsidR="002B1038" w:rsidRPr="000261D1" w:rsidRDefault="002B1038" w:rsidP="008B5F6D">
            <w:pPr>
              <w:rPr>
                <w:rFonts w:ascii="Tahoma" w:hAnsi="Tahoma" w:cs="Tahoma"/>
                <w:color w:val="000000" w:themeColor="text1"/>
                <w:sz w:val="24"/>
                <w:szCs w:val="24"/>
              </w:rPr>
            </w:pPr>
          </w:p>
        </w:tc>
      </w:tr>
      <w:tr w:rsidR="002B1038" w:rsidRPr="000261D1" w:rsidTr="008B5F6D">
        <w:tc>
          <w:tcPr>
            <w:tcW w:w="184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lastRenderedPageBreak/>
              <w:t>Student Characteristics</w:t>
            </w:r>
          </w:p>
        </w:tc>
        <w:tc>
          <w:tcPr>
            <w:tcW w:w="751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“It was, indeed, good. But generally this kind of technologies do not draw my interest” (Yildirim et al., 2018, p. 65).</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 xml:space="preserve">“Because of my inarticulateness, I cannot explain my works well. Now by using this system, I could prepare my illustration information and combine it with my works in advance. This is great to me” (Chao et al., 2016, p. 248).  </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 would learn a whole lot more if I was actually physically in the room” (Ausburn et al., 2009, p. 72).</w:t>
            </w:r>
          </w:p>
          <w:p w:rsidR="002B1038" w:rsidRPr="000261D1" w:rsidRDefault="002B1038" w:rsidP="008B5F6D">
            <w:pPr>
              <w:rPr>
                <w:rFonts w:ascii="Tahoma" w:hAnsi="Tahoma" w:cs="Tahoma"/>
                <w:color w:val="000000" w:themeColor="text1"/>
                <w:sz w:val="24"/>
                <w:szCs w:val="24"/>
              </w:rPr>
            </w:pPr>
          </w:p>
        </w:tc>
      </w:tr>
      <w:tr w:rsidR="002B1038" w:rsidRPr="000261D1" w:rsidTr="008B5F6D">
        <w:tc>
          <w:tcPr>
            <w:tcW w:w="184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Learning Outcomes</w:t>
            </w:r>
          </w:p>
        </w:tc>
        <w:tc>
          <w:tcPr>
            <w:tcW w:w="751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“It will be easier and more convenient for students to think in 3D. The geometry lesson will no longer be a nightmare” (Onal et al., 2017, p. 159).</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"It was perfect...I don’t know where to start really. First of all it was good to meet others. Often you learn alone, usually at home, reading the text and thinking about things, on your own” (Edirisingha et al., 2009, p. 466).</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“…it allows students to use multiple senses, diverse materials, and to be active and autonomous in the classroom” (Can &amp; Simsek, 2015, p. 121).</w:t>
            </w:r>
          </w:p>
          <w:p w:rsidR="002B1038" w:rsidRPr="000261D1" w:rsidRDefault="002B1038" w:rsidP="008B5F6D">
            <w:pPr>
              <w:rPr>
                <w:rFonts w:ascii="Tahoma" w:hAnsi="Tahoma" w:cs="Tahoma"/>
                <w:color w:val="000000" w:themeColor="text1"/>
                <w:sz w:val="24"/>
                <w:szCs w:val="24"/>
              </w:rPr>
            </w:pPr>
          </w:p>
        </w:tc>
      </w:tr>
      <w:tr w:rsidR="002B1038" w:rsidRPr="000261D1" w:rsidTr="008B5F6D">
        <w:tc>
          <w:tcPr>
            <w:tcW w:w="184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Recommendations</w:t>
            </w:r>
          </w:p>
        </w:tc>
        <w:tc>
          <w:tcPr>
            <w:tcW w:w="7513" w:type="dxa"/>
          </w:tcPr>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“There are pros and cons. It's always good to experience new concepts/technology to expand one's knowledge base. I see how it would/could be interesting to implement in the classroom” (Gregory &amp; Masters, 2012, p. 433).</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color w:val="000000" w:themeColor="text1"/>
                <w:sz w:val="24"/>
                <w:szCs w:val="24"/>
              </w:rPr>
            </w:pPr>
            <w:r w:rsidRPr="000261D1">
              <w:rPr>
                <w:rFonts w:ascii="Tahoma" w:hAnsi="Tahoma" w:cs="Tahoma"/>
                <w:color w:val="000000" w:themeColor="text1"/>
                <w:sz w:val="24"/>
                <w:szCs w:val="24"/>
              </w:rPr>
              <w:t>“...summing up my remarks and rationale, I want to convey through the VR creation that ‘knowledge is power’ and therefore we need to explore, to discover, and experiment with everything that goes on around us” (Nissim &amp; Weissblueth, 2017, p. 57).</w:t>
            </w:r>
          </w:p>
          <w:p w:rsidR="002B1038" w:rsidRPr="000261D1" w:rsidRDefault="002B1038" w:rsidP="008B5F6D">
            <w:pPr>
              <w:rPr>
                <w:rFonts w:ascii="Tahoma" w:hAnsi="Tahoma" w:cs="Tahoma"/>
                <w:color w:val="000000" w:themeColor="text1"/>
                <w:sz w:val="24"/>
                <w:szCs w:val="24"/>
              </w:rPr>
            </w:pPr>
          </w:p>
          <w:p w:rsidR="002B1038" w:rsidRPr="000261D1" w:rsidRDefault="002B1038" w:rsidP="008B5F6D">
            <w:pPr>
              <w:rPr>
                <w:rFonts w:ascii="Tahoma" w:hAnsi="Tahoma" w:cs="Tahoma"/>
                <w:b/>
                <w:color w:val="000000" w:themeColor="text1"/>
                <w:sz w:val="24"/>
                <w:szCs w:val="24"/>
              </w:rPr>
            </w:pPr>
            <w:r w:rsidRPr="000261D1">
              <w:rPr>
                <w:rFonts w:ascii="Tahoma" w:hAnsi="Tahoma" w:cs="Tahoma"/>
                <w:color w:val="000000" w:themeColor="text1"/>
                <w:sz w:val="24"/>
                <w:szCs w:val="24"/>
              </w:rPr>
              <w:t>"…I learned how to control and navigate my avatar…There are videos and simulations that you can show your class. If used effectively it could be beneficial to help teach students a topic” (Bahng &amp; Lee, 2017, p. 233).</w:t>
            </w:r>
          </w:p>
          <w:p w:rsidR="002B1038" w:rsidRPr="000261D1" w:rsidRDefault="002B1038" w:rsidP="008B5F6D">
            <w:pPr>
              <w:rPr>
                <w:rFonts w:ascii="Tahoma" w:hAnsi="Tahoma" w:cs="Tahoma"/>
                <w:color w:val="000000" w:themeColor="text1"/>
                <w:sz w:val="24"/>
                <w:szCs w:val="24"/>
              </w:rPr>
            </w:pPr>
          </w:p>
        </w:tc>
      </w:tr>
    </w:tbl>
    <w:p w:rsidR="002B1038" w:rsidRPr="000261D1" w:rsidRDefault="002B1038" w:rsidP="002B1038">
      <w:pPr>
        <w:spacing w:line="360" w:lineRule="auto"/>
        <w:rPr>
          <w:rFonts w:ascii="Tahoma" w:hAnsi="Tahoma" w:cs="Tahoma"/>
          <w:color w:val="000000" w:themeColor="text1"/>
        </w:rPr>
      </w:pPr>
    </w:p>
    <w:p w:rsidR="00004A44" w:rsidRDefault="00004A44" w:rsidP="002B1038">
      <w:pPr>
        <w:spacing w:line="360" w:lineRule="auto"/>
        <w:rPr>
          <w:rFonts w:ascii="Tahoma" w:hAnsi="Tahoma" w:cs="Tahoma"/>
          <w:b/>
          <w:color w:val="000000" w:themeColor="text1"/>
          <w:sz w:val="28"/>
          <w:szCs w:val="28"/>
        </w:rPr>
      </w:pPr>
    </w:p>
    <w:p w:rsidR="00004A44" w:rsidRDefault="00004A44" w:rsidP="002B1038">
      <w:pPr>
        <w:spacing w:line="360" w:lineRule="auto"/>
        <w:rPr>
          <w:rFonts w:ascii="Tahoma" w:hAnsi="Tahoma" w:cs="Tahoma"/>
          <w:b/>
          <w:color w:val="000000" w:themeColor="text1"/>
          <w:sz w:val="28"/>
          <w:szCs w:val="28"/>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lastRenderedPageBreak/>
        <w:t>Theme 1: Technological Factors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Seventeen studies involved themes related to the platforms themselves where students discussed issues related to usability and functionality (see studies 1-10, 13-14, 16-17, 20, 21, 23 in Appendix). This theme relates to UDL principles, specifically, the affective network where these platforms create highly engaged learners. Through the use of 3-D graphics, interactive design and clear instructions, these platforms can enhance higher education learning. </w:t>
      </w:r>
    </w:p>
    <w:p w:rsidR="002B1038" w:rsidRPr="000261D1" w:rsidRDefault="002B1038" w:rsidP="002B1038">
      <w:pPr>
        <w:widowControl w:val="0"/>
        <w:autoSpaceDE w:val="0"/>
        <w:autoSpaceDN w:val="0"/>
        <w:adjustRightInd w:val="0"/>
        <w:spacing w:line="360" w:lineRule="auto"/>
        <w:rPr>
          <w:rFonts w:ascii="Tahoma" w:hAnsi="Tahoma" w:cs="Tahoma"/>
          <w:b/>
          <w:color w:val="000000" w:themeColor="text1"/>
        </w:rPr>
      </w:pPr>
    </w:p>
    <w:p w:rsidR="002B1038" w:rsidRPr="000261D1" w:rsidRDefault="002B1038" w:rsidP="00004A44">
      <w:pPr>
        <w:widowControl w:val="0"/>
        <w:autoSpaceDE w:val="0"/>
        <w:autoSpaceDN w:val="0"/>
        <w:adjustRightInd w:val="0"/>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Usability. </w:t>
      </w:r>
      <w:r w:rsidRPr="000261D1">
        <w:rPr>
          <w:rFonts w:ascii="Tahoma" w:hAnsi="Tahoma" w:cs="Tahoma"/>
          <w:color w:val="000000" w:themeColor="text1"/>
        </w:rPr>
        <w:t>Students described a range of experiences related to the usability of VR and AR. Some experiences were negative, particularly when students first learned how to use these platforms (Alizadeh, Mehran, Koguchi, &amp; Takemura,2017; Ausburn, Martens, Washington, Steele, &amp; Washburn, 2009; Bahng &amp; Lee, 2017; Benham-Hutchins &amp; Lall, 2015; Bower, Mark, Lee, &amp; Dalgarno, 2017; Chien, Davis, Slattery, Keeney-Kennicutt, &amp; Hammer, 2013; Edirisingha, Nie, Pluciennik, &amp; Young, 2009; Maher, Schrader, Ormond, &amp; Kerr, 2015). One student explained: “At first, it was very difficult to find my way around and maneuver my robot [avatar]. As I continued exploring Second Life, I was able to find very interesting icons that allowed me to get around a lot easier” (Bahng &amp; Lee, 2017, p. 231). Some struggled with the fast-paced, interactive elements: "…when you want to say something, and by the time you typed it out, they [other participants] have changed the subject…It takes time to get used to it” (Edirisingha et al., 2009, p. 472). Others complained about the quality of the audio, especially when live streaming into a virtual world (Bower et al., 2017) while others had hardware issues: “As I didn’t have my own PC and I couldn’t follow the lessons regularly” (Can &amp; Simsek, 2015, p. 121). Despite the challenges, some students persevered and appreciated the value-added of these platforms (Chen, 2014; Chao, Chang, Lan, Kinshuk, &amp; Sung, 2016; Onal, Ibili, &amp; Caliskan, 2017). Other students got frustrated and wanted to return to familiar practices (Alizadeh et al., 2017; Nadolny, Woolfrey, Pierlott, Kahn, 2013; Ochoa-</w:t>
      </w:r>
      <w:r w:rsidRPr="000261D1">
        <w:rPr>
          <w:rFonts w:ascii="Tahoma" w:hAnsi="Tahoma" w:cs="Tahoma"/>
          <w:color w:val="000000" w:themeColor="text1"/>
        </w:rPr>
        <w:lastRenderedPageBreak/>
        <w:t>Alpala &amp; Ortiz-Garcia 2018). One student explained: “I would have much preferred doing a report” (Nadolny et al., 2013, p. 991).</w:t>
      </w:r>
    </w:p>
    <w:p w:rsidR="002B1038" w:rsidRPr="000261D1" w:rsidRDefault="002B1038" w:rsidP="002B1038">
      <w:pPr>
        <w:widowControl w:val="0"/>
        <w:autoSpaceDE w:val="0"/>
        <w:autoSpaceDN w:val="0"/>
        <w:adjustRightInd w:val="0"/>
        <w:spacing w:line="360" w:lineRule="auto"/>
        <w:ind w:firstLine="720"/>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Functionality.</w:t>
      </w:r>
      <w:r w:rsidRPr="000261D1">
        <w:rPr>
          <w:rFonts w:ascii="Tahoma" w:hAnsi="Tahoma" w:cs="Tahoma"/>
          <w:color w:val="000000" w:themeColor="text1"/>
        </w:rPr>
        <w:t xml:space="preserve"> Students described the functional elements of VR and AR critical to learning. Some students focused on engagement: “Our attention can be lost quickly but here, there is not such possibility because you are in it, you totally live” (Yildirim, Mehmet, &amp; Yildirim, 2018, p. 66). Other students enjoyed the 3-D representation allowing them to learn about subjects, such as geometry and engineering in new ways (Onal et al., 2017; Toh, Miller, &amp; Simpson, 2015). As an example: “[virtual dissection] takes it apart faster and you don’t have the parts flying off” (Toh et al., 2015, p. 64). Interestingly, these platforms were not only used to improve teaching and learning, but also the evaluation of work. One student described using augmented reality for this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purpose: “There were no classmates beside when I assessed works by using this system…blind assessment could make me tell the truth” (Chao et al., 2016, p. 248). Students also appreciated the ability to role play and engage in simulation exercises (Bahng &amp; Lee, 2017; Benham-Hutchins &amp; Lall, 2015; Can &amp; Simsek, 2015; Chao et al., 2016; Speed, Bradley, &amp; Garland, 2015). For all the elements students liked, there were elements they did not enjoy including the graphics and artificial nature of virtual worlds (Yildirim et al., 2018). One student explained: “you don’t see the real face. It is the avatar. You don’t hear the voice…These are missing so it is a very neutral environment” (Edirisingha et al., 2009, p. 475).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Theme 2: Student Characteristics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Fifteen studies involved themes related to the characteristics of the learners including demographic information and academic background (see studies 2-4, 6-7, 11-12, 14-17, 19, 21-23 in Appendix). This theme relates to UDL principles, specifically, the recognition network where these platforms create knowledgeable </w:t>
      </w:r>
      <w:r w:rsidRPr="000261D1">
        <w:rPr>
          <w:rFonts w:ascii="Tahoma" w:hAnsi="Tahoma" w:cs="Tahoma"/>
          <w:color w:val="000000" w:themeColor="text1"/>
        </w:rPr>
        <w:lastRenderedPageBreak/>
        <w:t xml:space="preserve">learners. Through the use of visual, auditory and kinesthetic cues, VR and AR make learning accessible and thus, inclusive to learners.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Demographic information. </w:t>
      </w:r>
      <w:r w:rsidRPr="000261D1">
        <w:rPr>
          <w:rFonts w:ascii="Tahoma" w:hAnsi="Tahoma" w:cs="Tahoma"/>
          <w:color w:val="000000" w:themeColor="text1"/>
        </w:rPr>
        <w:t>Some students reported having no previous experience using VR and AR, which affected their attitudes (Onal et al., 2017; Yildirim et al., 2018). One participant described: “I do not know, maybe, it is because I used it the first time but I found it scary” (Yildirim et al., 2018, p. 65). Gender differences were also reported with women being less receptive to these platforms and more likely to downplay previous gaming experience (Ausburn et al., 2009). Some students emphasized the need to be open-minded with these platforms as well as with the overall learning (Nissim &amp; Weissblueth, 2017; Reinsmith-Jones, Kibbe, Crayton, &amp; Campbell, 2015). One student shared her reaction after walking through the Holocaust museum in Second Life: “I do not think that I would be able to be as strong as the people nor be able to live each day of my life in fear while worrying about my family and friends” (Reinsmith-Jones et al., 2015, p. 103). Given the self-paced nature of virtual worlds, some students benefitted most from this learning: “Because you can reach that environment anytime and from anywhere it is definitely positive, especially in individualized learning…” (Can &amp; Simsek, 2015, p. 121). These platforms also encouraged self-reflection as described by a student using augmented reality: “I am not good at memory, and I forgot things quickly. The information showed on the works can be read repeatedly by me” (Chao et al., 2016, p. 248). Perhaps because of differences in background, students could not agree even when trained on the same platform: “The training process was not easy for me because I did not know the software” (Onal et al., 2017, p. 157) versus “The training provided was very efficient…It's easy to use once one listens carefully to what is explained” (Onal et al., 2017, p. 157).</w:t>
      </w:r>
    </w:p>
    <w:p w:rsidR="002B1038" w:rsidRPr="000261D1" w:rsidRDefault="002B1038" w:rsidP="002B1038">
      <w:pPr>
        <w:spacing w:line="360" w:lineRule="auto"/>
        <w:ind w:firstLine="720"/>
        <w:rPr>
          <w:rFonts w:ascii="Tahoma" w:hAnsi="Tahoma" w:cs="Tahoma"/>
          <w:color w:val="000000" w:themeColor="text1"/>
        </w:rPr>
      </w:pPr>
    </w:p>
    <w:p w:rsidR="002B1038" w:rsidRPr="000261D1" w:rsidRDefault="002B1038" w:rsidP="00004A44">
      <w:pPr>
        <w:widowControl w:val="0"/>
        <w:autoSpaceDE w:val="0"/>
        <w:autoSpaceDN w:val="0"/>
        <w:adjustRightInd w:val="0"/>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Academic background. </w:t>
      </w:r>
      <w:r w:rsidRPr="000261D1">
        <w:rPr>
          <w:rFonts w:ascii="Tahoma" w:hAnsi="Tahoma" w:cs="Tahoma"/>
          <w:color w:val="000000" w:themeColor="text1"/>
        </w:rPr>
        <w:t xml:space="preserve">Students represented a range of academic </w:t>
      </w:r>
      <w:r w:rsidRPr="000261D1">
        <w:rPr>
          <w:rFonts w:ascii="Tahoma" w:hAnsi="Tahoma" w:cs="Tahoma"/>
          <w:color w:val="000000" w:themeColor="text1"/>
        </w:rPr>
        <w:lastRenderedPageBreak/>
        <w:t>backgrounds, which impacted their receptiveness to these platforms. Those in the health sciences seemed most familiar with VR and AR based on their exposure to virtual worlds and patient simulations (Ausburn et al., 2009; Benham-Hutchins &amp; Lall, 2015; Keskitalo, 2012). Pre-service teachers were also exposed to these platforms frequently (Can &amp; Simsek, 2015; Gregory &amp; Masters, 2012; Nissim &amp; Weissblueth, 2017; Onal et al., 2017; Turk, Kalkan, &amp; Yildirim, 2017), however, this training was inadequate at times. One pre-service teacher explained: “This made me realize that in my three hours of investigating this virtual world, I had only experienced a glimpse…” (Bahng &amp; Lee, 2017, p. 231). Some students were receptive to these platforms because they were in technology friendly fields, such as engineering and computer science whereas other students struggled with the relevance of these platforms (Nadolny et al., 2013; Ochoa-Alpala &amp; Ortiz-Garcia2018; Toh et al., 2015).</w:t>
      </w:r>
    </w:p>
    <w:p w:rsidR="002B1038" w:rsidRPr="000261D1" w:rsidRDefault="002B1038" w:rsidP="002B1038">
      <w:pPr>
        <w:widowControl w:val="0"/>
        <w:autoSpaceDE w:val="0"/>
        <w:autoSpaceDN w:val="0"/>
        <w:adjustRightInd w:val="0"/>
        <w:spacing w:line="360" w:lineRule="auto"/>
        <w:ind w:firstLine="720"/>
        <w:rPr>
          <w:rFonts w:ascii="Tahoma" w:hAnsi="Tahoma" w:cs="Tahoma"/>
          <w:color w:val="000000" w:themeColor="text1"/>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Theme 3: Learning Outcomes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Thirteen studies involved themes related to learning outcomes where students discussed the skills they developed while using VR and AR (see studies 1, 3, 5-6, 10, 12, 14-19, 23 in Table 1). Hard skills involve technical know-how, such as how to use a mobile app while soft skills relate to people, such as being a good communicator (ACCES Employment, 2018). Together, these skills create essential skills, which allow individuals to maintain employment (ACCES Employment, 2018). This theme relates to UDL principles, specifically, the recognition network where these platforms create resourceful learners. That is, VR and AR provide students with the opportunity to practice their skills, which in turn, increase their job readiness.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Hard skills. </w:t>
      </w:r>
      <w:r w:rsidRPr="000261D1">
        <w:rPr>
          <w:rFonts w:ascii="Tahoma" w:hAnsi="Tahoma" w:cs="Tahoma"/>
          <w:color w:val="000000" w:themeColor="text1"/>
        </w:rPr>
        <w:t xml:space="preserve">VR and AR were used to develop a variety of hard skills. As an example, students who were learning English used the augmented reality app, BlippAR to make their poster presentation interactive (Alizadeh et al., 2017). </w:t>
      </w:r>
      <w:r w:rsidRPr="000261D1">
        <w:rPr>
          <w:rFonts w:ascii="Tahoma" w:hAnsi="Tahoma" w:cs="Tahoma"/>
          <w:color w:val="000000" w:themeColor="text1"/>
        </w:rPr>
        <w:lastRenderedPageBreak/>
        <w:t>Another study with English learners involved a virtual world, Machinima, which was used to practice their language skills: “When we record ourselves and listen there is a chance to delete, be aware when the words are mispronounced and if necessary to record it again” (Ochoa-Alpala &amp; Ortiz-Garcia, 2018, p. 50). Other students used VR to learn about history: “…Egyptian Pyramids are in one of the Seven Wonders of the World but how much opportunity do we have to go and see those…if Ancient Pyramids are shown with VR technologies, I can visit those places…I can learn information” (Yildirim et al., 2018, p. 67). Even challenging academic subjects benefitted from the use of these platforms: “Students can see the objects more easily by seeing them in 3D.  It can make the lessons more fun and make the students more active” (Onal et al., 2017, p. 159). Overall, these experiences helped students to practice their technical skills while building self-efficacy: “My confidence at first was shattered...really I didn’t understand anything…after I practiced and gained a little patience then it didn’t seem so bad” (Bahng &amp; Lee, 2017, p. 231).</w:t>
      </w:r>
    </w:p>
    <w:p w:rsidR="002B1038" w:rsidRPr="000261D1" w:rsidRDefault="002B1038" w:rsidP="002B1038">
      <w:pPr>
        <w:spacing w:line="360" w:lineRule="auto"/>
        <w:ind w:firstLine="720"/>
        <w:rPr>
          <w:rFonts w:ascii="Tahoma" w:hAnsi="Tahoma" w:cs="Tahoma"/>
          <w:b/>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Soft skills. </w:t>
      </w:r>
      <w:r w:rsidRPr="000261D1">
        <w:rPr>
          <w:rFonts w:ascii="Tahoma" w:hAnsi="Tahoma" w:cs="Tahoma"/>
          <w:color w:val="000000" w:themeColor="text1"/>
        </w:rPr>
        <w:t xml:space="preserve">Students reported improvements in soft skills as a result of interacting with other users. In the virtual world, Second Life, a pre-service teacher reported: “A friend of mine who has never spoken to me in the class face to face asked me a question in SL for help, this was very interesting to me” (Can &amp; Simsek, 2015, p. 121). Another study using the virtual world, TransGen Island taught students about ethical issues while encouraging them to think critically: “I believe the SciEthics definitely pushed me outside of my comfort zone, which is something that I should expect when I am involved in higher education” (Nadolny et al., 2013, p. 991). Other students described the independence afforded by these platforms as well as the need to work through challenging situations (Can &amp; Simsek, 2015; Nissim &amp; Weissblueth, 2017). One student described: “I think VR can help students think positively and not give up” (Nissim &amp; Weissblueth, 2017, p. 56). Ultimately, students described improved </w:t>
      </w:r>
      <w:r w:rsidRPr="000261D1">
        <w:rPr>
          <w:rFonts w:ascii="Tahoma" w:hAnsi="Tahoma" w:cs="Tahoma"/>
          <w:color w:val="000000" w:themeColor="text1"/>
        </w:rPr>
        <w:lastRenderedPageBreak/>
        <w:t xml:space="preserve">perspective-taking (Reinsmith-Jones et al., 2015) while feeling part of a learning community (Bower et al., 2017; Edirisingha et al., 2009; Pan &amp; Steed, 2017). One student explained: "I felt like part of the group more than when I was studying from home” (Edirisingha et al., 2009, p. 466). </w:t>
      </w:r>
    </w:p>
    <w:p w:rsidR="002B1038" w:rsidRPr="000261D1" w:rsidRDefault="002B1038" w:rsidP="002B1038">
      <w:pPr>
        <w:spacing w:line="360" w:lineRule="auto"/>
        <w:ind w:firstLine="720"/>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Essential skills. </w:t>
      </w:r>
      <w:r w:rsidRPr="000261D1">
        <w:rPr>
          <w:rFonts w:ascii="Tahoma" w:hAnsi="Tahoma" w:cs="Tahoma"/>
          <w:color w:val="000000" w:themeColor="text1"/>
        </w:rPr>
        <w:t>Through the development of hard and soft skills, students reported VR and AR prepared them for their careers. One example was reported in healthcare with ENVI, which is a mixed reality environment where students practice their clinical skills (Keskitalo, 2012). One student explained: “It is nice that we can practise in a simulated situation before being with real patients” (Keskitalo, 2012, p. 848). Other students discussed the importance of these platforms in terms of keeping knowledge relevant: “I think it develops different ways of thinking, and it also allows self-study…the use of technology prepares us for the future” (Nissim &amp; Weissblueth, 2017, p. 57). Finally, these platforms encouraged students to reflect on challenging social circumstances: “The video about racial discrimination at [that company] was eye opening. It shows that racism is still prevalent, even in the job force…” (Reinsmith-Jones et al., 2015, p. 102).</w:t>
      </w:r>
    </w:p>
    <w:p w:rsidR="002B1038" w:rsidRPr="000261D1" w:rsidRDefault="002B1038" w:rsidP="002B1038">
      <w:pPr>
        <w:spacing w:line="360" w:lineRule="auto"/>
        <w:ind w:firstLine="720"/>
        <w:rPr>
          <w:rFonts w:ascii="Tahoma" w:hAnsi="Tahoma" w:cs="Tahoma"/>
          <w:color w:val="000000" w:themeColor="text1"/>
        </w:rPr>
      </w:pPr>
    </w:p>
    <w:p w:rsidR="002B1038" w:rsidRPr="000261D1" w:rsidRDefault="002B1038" w:rsidP="002B1038">
      <w:pPr>
        <w:spacing w:line="360" w:lineRule="auto"/>
        <w:rPr>
          <w:rFonts w:ascii="Tahoma" w:hAnsi="Tahoma" w:cs="Tahoma"/>
          <w:b/>
          <w:color w:val="000000" w:themeColor="text1"/>
          <w:sz w:val="28"/>
          <w:szCs w:val="28"/>
        </w:rPr>
      </w:pPr>
      <w:r w:rsidRPr="000261D1">
        <w:rPr>
          <w:rFonts w:ascii="Tahoma" w:hAnsi="Tahoma" w:cs="Tahoma"/>
          <w:b/>
          <w:color w:val="000000" w:themeColor="text1"/>
          <w:sz w:val="28"/>
          <w:szCs w:val="28"/>
        </w:rPr>
        <w:t>Theme 4: Recommendations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Five studies involved themes related to recommendations where students described the impact of theoretical frameworks and applications of these platforms (see studies 3, 9-11, 15 in Table 1). This theme relates to UDL principles, specifically, the strategic network where these platforms create goal-directed learners. By providing guidelines about how VR and AR will enhance learning, students make connections with the material while using different means of expression.</w:t>
      </w:r>
    </w:p>
    <w:p w:rsidR="002B1038" w:rsidRPr="000261D1" w:rsidRDefault="002B1038" w:rsidP="002B1038">
      <w:pPr>
        <w:spacing w:line="360" w:lineRule="auto"/>
        <w:ind w:firstLine="720"/>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lastRenderedPageBreak/>
        <w:t xml:space="preserve">Theoretical frameworks. </w:t>
      </w:r>
      <w:r w:rsidRPr="000261D1">
        <w:rPr>
          <w:rFonts w:ascii="Tahoma" w:hAnsi="Tahoma" w:cs="Tahoma"/>
          <w:color w:val="000000" w:themeColor="text1"/>
        </w:rPr>
        <w:t>Some studies used a theoretical framework in which to understand the learning with VR and AR. These frameworks involved communities of practice (Wenger, 1998), dialogic inquiry (Wells, 2000), cognitive interactionist theory (Long, 1981, 1983), Currere approach (Pinar, 2004), five-stage model (Salmon, 2004), six thinking hats framework (de Bono, 1985) and self-efficacy theory (Gist &amp; Mitchell, 1992). Studies using a theoretical framework included learning objectives for these platforms, which produced rich learning experiences: “We got space suits and saw the moon. This was the first place we landed…we’re learning how to communicate with each other and explore…We fell from the cloud… and walked on the sea floor. We learned about using angles” (Bahng &amp; Lee, 2017, p. 231). The learning from virtual worlds also transcended the classroom: "…I will spend most of my time educating the public on what has been accomplished and formulating awareness tactics that will allow the public to understand how to continue to prevent these devastating situations from reoccurring” (Chien et al., 2013, p. 213). The studies using a theoretical framework also used multiple data collection techniques including journaling, peer teaching, surveys, interviews and observations (Bahng &amp; Lee, 2017; Chien et al., 2013; Edirisingha et al., 2009; Gregory &amp; Masters, 2012; Nissim &amp; Weissblueth, 2017). One student described the self-reflection afforded by journaling: “The biggest changes will be as I plan for my future. I feel a sense of duty and urgency to talk about issues with my students” (Chien et al., 2013, p. 213).</w:t>
      </w:r>
    </w:p>
    <w:p w:rsidR="002B1038" w:rsidRPr="000261D1" w:rsidRDefault="002B1038" w:rsidP="002B1038">
      <w:pPr>
        <w:spacing w:line="360" w:lineRule="auto"/>
        <w:ind w:firstLine="720"/>
        <w:rPr>
          <w:rFonts w:ascii="Tahoma" w:hAnsi="Tahoma" w:cs="Tahoma"/>
          <w:color w:val="000000" w:themeColor="text1"/>
        </w:rPr>
      </w:pPr>
    </w:p>
    <w:p w:rsidR="002B1038" w:rsidRPr="000261D1" w:rsidRDefault="002B1038" w:rsidP="00004A44">
      <w:pPr>
        <w:spacing w:line="360" w:lineRule="auto"/>
        <w:rPr>
          <w:rFonts w:ascii="Tahoma" w:hAnsi="Tahoma" w:cs="Tahoma"/>
          <w:color w:val="000000" w:themeColor="text1"/>
        </w:rPr>
      </w:pPr>
      <w:r w:rsidRPr="000261D1">
        <w:rPr>
          <w:rFonts w:ascii="Tahoma" w:hAnsi="Tahoma" w:cs="Tahoma"/>
          <w:b/>
          <w:color w:val="000000" w:themeColor="text1"/>
          <w:sz w:val="28"/>
          <w:szCs w:val="28"/>
        </w:rPr>
        <w:t xml:space="preserve">Applications. </w:t>
      </w:r>
      <w:r w:rsidRPr="000261D1">
        <w:rPr>
          <w:rFonts w:ascii="Tahoma" w:hAnsi="Tahoma" w:cs="Tahoma"/>
          <w:color w:val="000000" w:themeColor="text1"/>
        </w:rPr>
        <w:t xml:space="preserve">Despite the enthusiasm, students described that these platforms did not apply to all learning scenarios. Students involved in virtual dissection stated: “On the computer, everything happens quickly, but going step-by-step and physically moving the parts and feeling them, how rigid they are and how things snap or fit together I think is very valuable” (Toh et al., 2015, p. 64). Another example where students appreciated real-world learning is described by </w:t>
      </w:r>
      <w:r w:rsidRPr="000261D1">
        <w:rPr>
          <w:rFonts w:ascii="Tahoma" w:hAnsi="Tahoma" w:cs="Tahoma"/>
          <w:color w:val="000000" w:themeColor="text1"/>
        </w:rPr>
        <w:lastRenderedPageBreak/>
        <w:t xml:space="preserve">pre-service teachers: "I don't see myself using this [Second Life] in the future. I just don't like the fact a computer is teaching children rather than face-to-face" (Gregory &amp; Masters, 2012, p. 432). Furthermore, pre-service teachers were also concerned about a saturation effect: “I don't think that it will work…they will also get bored if they use it all the time” (Gregory &amp; Masters, 2012, p. 432). Still yet, students believed VR and AR have their purpose by making learning meaningful (Nissim &amp; Weissblueth, 2017; Onal et al., 2017; Yildirim et al., 2018). One student explained: “People can forget what they write, can also forget what they listen to, but do not easily forget what they live. This is indeed a kind of living” (Yildirim et al., 2018, p. 66). </w:t>
      </w:r>
    </w:p>
    <w:p w:rsidR="002B1038" w:rsidRPr="000261D1" w:rsidRDefault="002B1038" w:rsidP="002B1038">
      <w:pPr>
        <w:spacing w:line="360" w:lineRule="auto"/>
        <w:ind w:firstLine="720"/>
        <w:jc w:val="center"/>
        <w:rPr>
          <w:rFonts w:ascii="Tahoma" w:hAnsi="Tahoma" w:cs="Tahoma"/>
          <w:color w:val="000000" w:themeColor="text1"/>
        </w:rPr>
      </w:pPr>
    </w:p>
    <w:p w:rsidR="002B1038" w:rsidRPr="000261D1" w:rsidRDefault="002B1038" w:rsidP="00004A44">
      <w:pPr>
        <w:spacing w:line="360" w:lineRule="auto"/>
        <w:rPr>
          <w:rFonts w:ascii="Tahoma" w:hAnsi="Tahoma" w:cs="Tahoma"/>
          <w:b/>
          <w:color w:val="000000" w:themeColor="text1"/>
          <w:sz w:val="32"/>
          <w:szCs w:val="32"/>
        </w:rPr>
      </w:pPr>
      <w:r w:rsidRPr="000261D1">
        <w:rPr>
          <w:rFonts w:ascii="Tahoma" w:hAnsi="Tahoma" w:cs="Tahoma"/>
          <w:b/>
          <w:color w:val="000000" w:themeColor="text1"/>
          <w:sz w:val="32"/>
          <w:szCs w:val="32"/>
        </w:rPr>
        <w:t>Discussion</w:t>
      </w:r>
    </w:p>
    <w:p w:rsidR="002B1038" w:rsidRPr="000261D1" w:rsidRDefault="002B1038" w:rsidP="002B1038">
      <w:pPr>
        <w:spacing w:line="360" w:lineRule="auto"/>
        <w:jc w:val="center"/>
        <w:rPr>
          <w:rFonts w:ascii="Tahoma" w:hAnsi="Tahoma" w:cs="Tahoma"/>
          <w:b/>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The purpose of this article was to synthesize and critically interrogate the qualitative research about higher education students’ experiences with VR and AR. Using UDL principles as our theoretical framework, we examined how students’ experiences mapped onto the affective, recognition and strategic networks. We identified four themes: technological factors, student characteristics, learning outcomes and recommendations.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The first theme involved technological factors, which corresponded to the affective network or “why” of learning. This theme had two sub-themes involving usability and functionality. Our synthesis showed students struggled at first to use VR and AR. However, with practice, students were able to use these platforms as evidenced by their navigation of avatars and ease with which they used mobile apps for AR. Interestingly, our results confirm the pattern reported for further and compulsory education, such that desktop VR is more common than immersive (Madathil, 2017). This popularity can be explained by costs, but with VR headsets accessible to the consumer market, immersive VR is expected </w:t>
      </w:r>
      <w:r w:rsidRPr="000261D1">
        <w:rPr>
          <w:rFonts w:ascii="Tahoma" w:hAnsi="Tahoma" w:cs="Tahoma"/>
          <w:color w:val="000000" w:themeColor="text1"/>
        </w:rPr>
        <w:lastRenderedPageBreak/>
        <w:t xml:space="preserve">to increase in popularity. As an example, Second Life, which was the most prominent virtual world featured in our review was introduced to personal computers in 2003, but now offers an immersive option (Metz, 2017). Another reason for the popularity of desktop VR could be gaming experience, which may reduce the learning curve associated with these platforms. This aspect about desktop VR is attractive because higher education faculty may not receive training with these platforms as we reported among pre-service teachers. Thus, it is incumbent on faculty to create a community of practice and thereby, make these platforms accessible, particularly to areas like social sciences that were lacking representation in our paper.  </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The second theme involved student characteristics, which corresponded to the recognition network or “what” of learning. This theme had two sub-themes involving demographic information and academic background. Our synthesis showed students represented a range of backgrounds from no experience to extensive practice with video games and mobile apps. Some studies did not examine this prior experience, which may have impacted on some students’ willingness to engage with these platforms. For teaching purposes, we recommend instructors do a learning check, which is similar to the “pre-assessment” in the BOPPPS Model where the lesson starts by understanding what students already know about the topic (Univ</w:t>
      </w:r>
      <w:r w:rsidR="00D8309A">
        <w:rPr>
          <w:rFonts w:ascii="Tahoma" w:hAnsi="Tahoma" w:cs="Tahoma"/>
          <w:color w:val="000000" w:themeColor="text1"/>
        </w:rPr>
        <w:t>ersity of British Columbia, 2017</w:t>
      </w:r>
      <w:r w:rsidRPr="000261D1">
        <w:rPr>
          <w:rFonts w:ascii="Tahoma" w:hAnsi="Tahoma" w:cs="Tahoma"/>
          <w:color w:val="000000" w:themeColor="text1"/>
        </w:rPr>
        <w:t>). In this pre-assessment, it is also important for instructors to address misconceptions related to these platforms. These misconceptions were found in the study by Ausburn et al. (2009), which reported evidence of technophobia among female undergraduates. Technophobia involves a “fear or dislike of advanced technology or comple</w:t>
      </w:r>
      <w:bookmarkStart w:id="0" w:name="_GoBack"/>
      <w:bookmarkEnd w:id="0"/>
      <w:r w:rsidRPr="000261D1">
        <w:rPr>
          <w:rFonts w:ascii="Tahoma" w:hAnsi="Tahoma" w:cs="Tahoma"/>
          <w:color w:val="000000" w:themeColor="text1"/>
        </w:rPr>
        <w:t xml:space="preserve">x devices and especially computers” (Merriam-Webster, n.d.) and has been reported in older adults (Hogan, 2008). These group stereotypes need to be addressed in a classroom setting as they can potentially lead to a stereotype threat where targeted groups will underperform </w:t>
      </w:r>
      <w:r w:rsidRPr="000261D1">
        <w:rPr>
          <w:rFonts w:ascii="Tahoma" w:hAnsi="Tahoma" w:cs="Tahoma"/>
          <w:color w:val="000000" w:themeColor="text1"/>
        </w:rPr>
        <w:lastRenderedPageBreak/>
        <w:t>on tasks (American Psychological Association, 2018). By understanding the profile of learners, educators can determine the amount of scaffolding needed and potentially reduce the number of issues reported with the platforms themselves.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The third theme involved learning outcomes, which corresponded to the recognition network or “what” of learning. This theme had three sub-themes involving hard skills, soft skills and essential skills. Our synthesis showed these platforms could enhance a range of skills including English fluency, 3-D manipulation and historical knowledge while developing social-communication and computer literacy. Research examining the top employability skills revealed soft skills, such as communication and teamwork are ranked highest in the workplace (University of Kent Careers and Employability Service, 2017). Interestingly, VR and AR have the ability to develop skills through near and far transfer. Near transfer involves learning in situations similar to the original learning context while far transfer involves situations where the original learning and the transfer event are different (Laker, 1990). After practicing with these platforms, students are able to use VR and AR applications more easily (near transfer) while showing improved verbal communication skills (far transfer). Interestingly, when the transfer appeared to be far from the task, such as improving English skills (e.g., Alizadeh et al., 2017; Ochoa-Alpala &amp; Ortiz-Garcia, 2018), students struggled to appreciate the relevance of these platforms. It is therefore suggested educators be explicit with the instruction provided to students including the learning outcomes associated with these platforms.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 xml:space="preserve">Finally, the last theme involved recommendations, which corresponded to the strategic network or “how” of learning. This theme had two sub-themes involving theoretical framework and application. Our synthesis showed articles using a theoretical framework provided more structured learning and varied ways for </w:t>
      </w:r>
      <w:r w:rsidRPr="000261D1">
        <w:rPr>
          <w:rFonts w:ascii="Tahoma" w:hAnsi="Tahoma" w:cs="Tahoma"/>
          <w:color w:val="000000" w:themeColor="text1"/>
        </w:rPr>
        <w:lastRenderedPageBreak/>
        <w:t>students to express themselves. This learning also appeared to be qualitatively different than studies not using a theoretical framework, such that students were encouraged to take action. This learning resonates with Maslow’s Hierarchy of Needs where at the highest level is self-actualization where individuals are encouraged to think beyond themselves (Maslow, 1943). Interestingly, VR is increasingly being used to foster empathy about the plight of others including Clouds Over Sidra, which was developed by the United Nations to educate decision-makers about the Syrian refugee crisis (United Nations, 2015). Despite the usefulness of these platforms, there is still a lack of selectivity plaguing the use of VR and AR. That is, there is a sense the technology is available and therefore, should be used indiscriminately. This was shown in the fact that very few studies we reviewed made reference to a theoretical framework (Bahng &amp; Lee, 2017; Chien et al., 2013; Edirisingha et al., 2009; Gregory &amp; Masters, 2012; Nissim &amp; Weissblueth, 2017), which served to guide teaching and learning. The consequence of not having a theoretical framework was that some students were more likely to extract the “edutainment” quality of these platforms (e.g., Alizadeh et al. 2017) rather than see them as a legitimate learning opportunity. This lack of selectivity can also lead to a saturation effect (Gregory &amp; Masters, 2012), such that too much exposure to VR or AR can lead to boredom and even a lack of buy-in on the part of learners.</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t>Our review has several limitations to address in future research. First, the studies examined more applications of VR than AR. More research is needed to understand the challenges and benefits of AR and the learners most likely to benefit from this platform. This is particularly important given research showing 86 percent of higher education students own a smart phone (Chen, Seilhamer, Bennett, &amp; Bauer, 2015). Our review also examined the experiences of students. More research should be done to examine teachers’ experiences with these platforms and whether their experiences corroborate with those of students.</w:t>
      </w: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lastRenderedPageBreak/>
        <w:t>Our review revealed VR and AR have the ability to engage higher education learners. However, these platforms cannot be used as a one size fits all model. That is, educators have to have a clear sense of how these platforms add but critically, do not replace traditional teaching and learning practices. Thus, there are factors to consider with these platforms as well as with the learners themselves when incorporating this technology at the higher education level.</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p>
    <w:p w:rsidR="002B1038" w:rsidRPr="00004A44" w:rsidRDefault="002B1038" w:rsidP="00004A44">
      <w:pPr>
        <w:spacing w:line="360" w:lineRule="auto"/>
        <w:rPr>
          <w:rFonts w:ascii="Tahoma" w:hAnsi="Tahoma" w:cs="Tahoma"/>
          <w:b/>
          <w:color w:val="000000" w:themeColor="text1"/>
          <w:sz w:val="32"/>
          <w:szCs w:val="32"/>
        </w:rPr>
      </w:pPr>
      <w:r w:rsidRPr="00004A44">
        <w:rPr>
          <w:rFonts w:ascii="Tahoma" w:hAnsi="Tahoma" w:cs="Tahoma"/>
          <w:b/>
          <w:color w:val="000000" w:themeColor="text1"/>
          <w:sz w:val="32"/>
          <w:szCs w:val="32"/>
        </w:rPr>
        <w:t>References</w:t>
      </w:r>
    </w:p>
    <w:p w:rsidR="00004A44" w:rsidRDefault="002B1038" w:rsidP="008B5F6D">
      <w:pPr>
        <w:spacing w:line="360" w:lineRule="auto"/>
        <w:ind w:left="720" w:hanging="720"/>
        <w:rPr>
          <w:rFonts w:ascii="Tahoma" w:hAnsi="Tahoma" w:cs="Tahoma"/>
          <w:color w:val="000000" w:themeColor="text1"/>
        </w:rPr>
      </w:pPr>
      <w:r w:rsidRPr="000261D1">
        <w:rPr>
          <w:rFonts w:ascii="Tahoma" w:hAnsi="Tahoma" w:cs="Tahoma"/>
          <w:color w:val="000000" w:themeColor="text1"/>
        </w:rPr>
        <w:t>Alizadeh, M., Mehran, P., Koguchi, I., &amp; T</w:t>
      </w:r>
      <w:r w:rsidR="00004A44">
        <w:rPr>
          <w:rFonts w:ascii="Tahoma" w:hAnsi="Tahoma" w:cs="Tahoma"/>
          <w:color w:val="000000" w:themeColor="text1"/>
        </w:rPr>
        <w:t>akemura, H. (2017). Learning by</w:t>
      </w:r>
    </w:p>
    <w:p w:rsidR="00004A44" w:rsidRDefault="002B1038" w:rsidP="008B5F6D">
      <w:pPr>
        <w:spacing w:line="360" w:lineRule="auto"/>
        <w:ind w:left="720" w:hanging="720"/>
        <w:rPr>
          <w:rFonts w:ascii="Tahoma" w:hAnsi="Tahoma" w:cs="Tahoma"/>
          <w:color w:val="000000" w:themeColor="text1"/>
        </w:rPr>
      </w:pPr>
      <w:r w:rsidRPr="000261D1">
        <w:rPr>
          <w:rFonts w:ascii="Tahoma" w:hAnsi="Tahoma" w:cs="Tahoma"/>
          <w:color w:val="000000" w:themeColor="text1"/>
        </w:rPr>
        <w:t>design: Bringing poster carousels to life through augmented reality in a blended</w:t>
      </w:r>
    </w:p>
    <w:p w:rsidR="00004A44" w:rsidRDefault="002B1038" w:rsidP="008B5F6D">
      <w:pPr>
        <w:spacing w:line="360" w:lineRule="auto"/>
        <w:ind w:left="720" w:hanging="720"/>
        <w:rPr>
          <w:rFonts w:ascii="Tahoma" w:hAnsi="Tahoma" w:cs="Tahoma"/>
          <w:i/>
          <w:color w:val="000000" w:themeColor="text1"/>
        </w:rPr>
      </w:pPr>
      <w:r w:rsidRPr="000261D1">
        <w:rPr>
          <w:rFonts w:ascii="Tahoma" w:hAnsi="Tahoma" w:cs="Tahoma"/>
          <w:color w:val="000000" w:themeColor="text1"/>
        </w:rPr>
        <w:t>English course. In K. Borthwick, L. Bradley, &amp; S. Thoue</w:t>
      </w:r>
      <w:r w:rsidRPr="000261D1">
        <w:rPr>
          <w:rFonts w:ascii="Tahoma" w:eastAsia="Calibri" w:hAnsi="Tahoma" w:cs="Tahoma"/>
          <w:color w:val="000000" w:themeColor="text1"/>
        </w:rPr>
        <w:t>̈</w:t>
      </w:r>
      <w:r w:rsidRPr="000261D1">
        <w:rPr>
          <w:rFonts w:ascii="Tahoma" w:hAnsi="Tahoma" w:cs="Tahoma"/>
          <w:color w:val="000000" w:themeColor="text1"/>
        </w:rPr>
        <w:t xml:space="preserve">sny (Eds.), </w:t>
      </w:r>
      <w:r w:rsidR="00004A44">
        <w:rPr>
          <w:rFonts w:ascii="Tahoma" w:hAnsi="Tahoma" w:cs="Tahoma"/>
          <w:i/>
          <w:color w:val="000000" w:themeColor="text1"/>
        </w:rPr>
        <w:t>CALL in a</w:t>
      </w:r>
    </w:p>
    <w:p w:rsidR="00004A44" w:rsidRDefault="002B1038" w:rsidP="008B5F6D">
      <w:pPr>
        <w:spacing w:line="360" w:lineRule="auto"/>
        <w:ind w:left="720" w:hanging="720"/>
        <w:rPr>
          <w:rFonts w:ascii="Tahoma" w:hAnsi="Tahoma" w:cs="Tahoma"/>
          <w:i/>
          <w:color w:val="000000" w:themeColor="text1"/>
        </w:rPr>
      </w:pPr>
      <w:r w:rsidRPr="000261D1">
        <w:rPr>
          <w:rFonts w:ascii="Tahoma" w:hAnsi="Tahoma" w:cs="Tahoma"/>
          <w:i/>
          <w:color w:val="000000" w:themeColor="text1"/>
        </w:rPr>
        <w:t xml:space="preserve">climate of change: Adapting to turbulent global conditions – short papers from </w:t>
      </w:r>
    </w:p>
    <w:p w:rsidR="00004A44" w:rsidRDefault="002B1038" w:rsidP="008B5F6D">
      <w:pPr>
        <w:spacing w:line="360" w:lineRule="auto"/>
        <w:ind w:left="720" w:hanging="720"/>
        <w:rPr>
          <w:rFonts w:ascii="Tahoma" w:hAnsi="Tahoma" w:cs="Tahoma"/>
          <w:color w:val="000000" w:themeColor="text1"/>
        </w:rPr>
      </w:pPr>
      <w:r w:rsidRPr="000261D1">
        <w:rPr>
          <w:rFonts w:ascii="Tahoma" w:hAnsi="Tahoma" w:cs="Tahoma"/>
          <w:i/>
          <w:color w:val="000000" w:themeColor="text1"/>
        </w:rPr>
        <w:t>EUROCALL 2017</w:t>
      </w:r>
      <w:r w:rsidRPr="000261D1">
        <w:rPr>
          <w:rFonts w:ascii="Tahoma" w:hAnsi="Tahoma" w:cs="Tahoma"/>
          <w:color w:val="000000" w:themeColor="text1"/>
        </w:rPr>
        <w:t xml:space="preserve"> (pp. 7-12). </w:t>
      </w:r>
      <w:r>
        <w:rPr>
          <w:rFonts w:ascii="Tahoma" w:hAnsi="Tahoma" w:cs="Tahoma"/>
          <w:color w:val="000000" w:themeColor="text1"/>
        </w:rPr>
        <w:t>Available at:</w:t>
      </w:r>
    </w:p>
    <w:p w:rsidR="00004A44" w:rsidRDefault="00B676F3" w:rsidP="008B5F6D">
      <w:pPr>
        <w:spacing w:line="360" w:lineRule="auto"/>
        <w:ind w:left="720" w:hanging="720"/>
        <w:rPr>
          <w:rStyle w:val="Hyperlink"/>
          <w:rFonts w:ascii="Tahoma" w:hAnsi="Tahoma" w:cs="Tahoma"/>
          <w:color w:val="000000" w:themeColor="text1"/>
          <w:u w:val="none"/>
        </w:rPr>
      </w:pPr>
      <w:hyperlink r:id="rId8" w:history="1">
        <w:r w:rsidR="00325C25" w:rsidRPr="00DE5B61">
          <w:rPr>
            <w:rStyle w:val="Hyperlink"/>
            <w:rFonts w:ascii="Tahoma" w:hAnsi="Tahoma" w:cs="Tahoma"/>
            <w:color w:val="auto"/>
          </w:rPr>
          <w:t>https://doi.org/10.14705/rpnet.2017.eurocall2017.680</w:t>
        </w:r>
      </w:hyperlink>
      <w:r w:rsidR="00004A44">
        <w:rPr>
          <w:rStyle w:val="Hyperlink"/>
          <w:rFonts w:ascii="Tahoma" w:hAnsi="Tahoma" w:cs="Tahoma"/>
          <w:color w:val="000000" w:themeColor="text1"/>
          <w:u w:val="none"/>
        </w:rPr>
        <w:t xml:space="preserve"> (Accessed: 27th July</w:t>
      </w:r>
    </w:p>
    <w:p w:rsidR="002B1038" w:rsidRPr="008B5F6D" w:rsidRDefault="002B1038" w:rsidP="008B5F6D">
      <w:pPr>
        <w:spacing w:line="360" w:lineRule="auto"/>
        <w:ind w:left="720" w:hanging="720"/>
        <w:rPr>
          <w:rFonts w:ascii="Tahoma" w:hAnsi="Tahoma" w:cs="Tahoma"/>
          <w:color w:val="000000" w:themeColor="text1"/>
          <w:u w:val="single"/>
        </w:rPr>
      </w:pPr>
      <w:r w:rsidRPr="00F518C6">
        <w:rPr>
          <w:rStyle w:val="Hyperlink"/>
          <w:rFonts w:ascii="Tahoma" w:hAnsi="Tahoma" w:cs="Tahoma"/>
          <w:color w:val="000000" w:themeColor="text1"/>
          <w:u w:val="none"/>
        </w:rPr>
        <w:t>2018).</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American Psychological Association (2006). Stereotype threat widens</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achievement gap. </w:t>
      </w:r>
      <w:bookmarkStart w:id="1" w:name="_Hlk529124296"/>
      <w:r>
        <w:rPr>
          <w:rFonts w:ascii="Tahoma" w:hAnsi="Tahoma" w:cs="Tahoma"/>
          <w:color w:val="000000" w:themeColor="text1"/>
        </w:rPr>
        <w:t>Available at:</w:t>
      </w:r>
    </w:p>
    <w:p w:rsidR="002B1038" w:rsidRPr="00566362" w:rsidRDefault="00B676F3" w:rsidP="002B1038">
      <w:pPr>
        <w:spacing w:line="360" w:lineRule="auto"/>
        <w:ind w:left="720" w:hanging="720"/>
        <w:rPr>
          <w:rStyle w:val="Hyperlink"/>
          <w:rFonts w:ascii="Tahoma" w:hAnsi="Tahoma" w:cs="Tahoma"/>
          <w:color w:val="000000" w:themeColor="text1"/>
        </w:rPr>
      </w:pPr>
      <w:hyperlink r:id="rId9" w:history="1">
        <w:r w:rsidR="002B1038" w:rsidRPr="00F96823">
          <w:rPr>
            <w:rStyle w:val="Hyperlink"/>
            <w:rFonts w:ascii="Tahoma" w:hAnsi="Tahoma" w:cs="Tahoma"/>
            <w:color w:val="auto"/>
          </w:rPr>
          <w:t>http://www.apa.org/research/action/stereotype.aspx</w:t>
        </w:r>
      </w:hyperlink>
      <w:bookmarkEnd w:id="1"/>
      <w:r w:rsidR="00325C25" w:rsidRPr="00F96823">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Ausburn, L. J., Martens, J., Washington, A., Steele, D., &amp; Washburn, E. (2009). A</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cross-case analysis of gender issues in desktop virtual reality learning</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environments. </w:t>
      </w:r>
      <w:r w:rsidRPr="000261D1">
        <w:rPr>
          <w:rFonts w:ascii="Tahoma" w:hAnsi="Tahoma" w:cs="Tahoma"/>
          <w:i/>
          <w:color w:val="000000" w:themeColor="text1"/>
        </w:rPr>
        <w:t>Journal of Industrial Teacher Education, 46</w:t>
      </w:r>
      <w:r w:rsidR="00325C25">
        <w:rPr>
          <w:rFonts w:ascii="Tahoma" w:hAnsi="Tahoma" w:cs="Tahoma"/>
          <w:i/>
          <w:color w:val="000000" w:themeColor="text1"/>
        </w:rPr>
        <w:t xml:space="preserve"> </w:t>
      </w:r>
      <w:r w:rsidRPr="000261D1">
        <w:rPr>
          <w:rFonts w:ascii="Tahoma" w:hAnsi="Tahoma" w:cs="Tahoma"/>
          <w:color w:val="000000" w:themeColor="text1"/>
        </w:rPr>
        <w:t>(3), 51-89.</w:t>
      </w:r>
    </w:p>
    <w:p w:rsidR="002B1038" w:rsidRPr="000261D1" w:rsidRDefault="002B1038" w:rsidP="002B1038">
      <w:pPr>
        <w:spacing w:line="360" w:lineRule="auto"/>
        <w:ind w:left="720" w:hanging="720"/>
        <w:rPr>
          <w:rFonts w:ascii="Tahoma" w:hAnsi="Tahoma" w:cs="Tahoma"/>
          <w:color w:val="000000" w:themeColor="text1"/>
        </w:rPr>
      </w:pP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Bahng, E. J. &amp; Lee, M. (2017). Learning experiences and practices of elementary</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teacher candidates on the use of emerging technology: A grounded theory</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approach. </w:t>
      </w:r>
      <w:r w:rsidRPr="000261D1">
        <w:rPr>
          <w:rFonts w:ascii="Tahoma" w:hAnsi="Tahoma" w:cs="Tahoma"/>
          <w:i/>
          <w:color w:val="000000" w:themeColor="text1"/>
        </w:rPr>
        <w:t>International Electronic Journal of Elementary Education, 10</w:t>
      </w:r>
      <w:r w:rsidR="00325C25">
        <w:rPr>
          <w:rFonts w:ascii="Tahoma" w:hAnsi="Tahoma" w:cs="Tahoma"/>
          <w:i/>
          <w:color w:val="000000" w:themeColor="text1"/>
        </w:rPr>
        <w:t xml:space="preserve"> </w:t>
      </w:r>
      <w:r w:rsidRPr="000261D1">
        <w:rPr>
          <w:rFonts w:ascii="Tahoma" w:hAnsi="Tahoma" w:cs="Tahoma"/>
          <w:color w:val="000000" w:themeColor="text1"/>
        </w:rPr>
        <w:t>(2), 225-</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241. </w:t>
      </w:r>
    </w:p>
    <w:p w:rsidR="002B1038" w:rsidRPr="000261D1" w:rsidRDefault="002B1038" w:rsidP="002B1038">
      <w:pPr>
        <w:spacing w:line="360" w:lineRule="auto"/>
        <w:ind w:left="720" w:hanging="720"/>
        <w:rPr>
          <w:rFonts w:ascii="Tahoma" w:hAnsi="Tahoma" w:cs="Tahoma"/>
          <w:color w:val="000000" w:themeColor="text1"/>
        </w:rPr>
      </w:pP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British Columbia Ministry of Education, Inclusive Education Learning Division C</w:t>
      </w:r>
    </w:p>
    <w:p w:rsidR="00004A44"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Ministry of Education (2017). UDL core principles and the brain. </w:t>
      </w:r>
      <w:r>
        <w:rPr>
          <w:rFonts w:ascii="Tahoma" w:hAnsi="Tahoma" w:cs="Tahoma"/>
          <w:color w:val="000000" w:themeColor="text1"/>
        </w:rPr>
        <w:t>Available</w:t>
      </w:r>
    </w:p>
    <w:p w:rsidR="00004A44" w:rsidRDefault="002B1038" w:rsidP="002B1038">
      <w:pPr>
        <w:spacing w:line="360" w:lineRule="auto"/>
        <w:ind w:left="720" w:hanging="720"/>
        <w:rPr>
          <w:rStyle w:val="Hyperlink"/>
          <w:rFonts w:ascii="Tahoma" w:hAnsi="Tahoma" w:cs="Tahoma"/>
          <w:color w:val="000000" w:themeColor="text1"/>
          <w:u w:val="none"/>
        </w:rPr>
      </w:pPr>
      <w:r>
        <w:rPr>
          <w:rFonts w:ascii="Tahoma" w:hAnsi="Tahoma" w:cs="Tahoma"/>
          <w:color w:val="000000" w:themeColor="text1"/>
        </w:rPr>
        <w:t>at:</w:t>
      </w:r>
      <w:r w:rsidR="00004A44">
        <w:rPr>
          <w:rFonts w:ascii="Tahoma" w:hAnsi="Tahoma" w:cs="Tahoma"/>
          <w:color w:val="000000" w:themeColor="text1"/>
        </w:rPr>
        <w:t xml:space="preserve"> </w:t>
      </w:r>
      <w:hyperlink r:id="rId10" w:history="1">
        <w:r w:rsidRPr="000261D1">
          <w:rPr>
            <w:rStyle w:val="Hyperlink"/>
            <w:rFonts w:ascii="Tahoma" w:hAnsi="Tahoma" w:cs="Tahoma"/>
            <w:color w:val="000000" w:themeColor="text1"/>
          </w:rPr>
          <w:t>http://udlresource.ca/2017/12/udl-core-principles-and-the-brain/</w:t>
        </w:r>
      </w:hyperlink>
      <w:r w:rsidR="00004A44">
        <w:t xml:space="preserve"> </w:t>
      </w:r>
      <w:r>
        <w:rPr>
          <w:rStyle w:val="Hyperlink"/>
          <w:rFonts w:ascii="Tahoma" w:hAnsi="Tahoma" w:cs="Tahoma"/>
          <w:color w:val="000000" w:themeColor="text1"/>
          <w:u w:val="none"/>
        </w:rPr>
        <w:t>(Accessed:</w:t>
      </w:r>
    </w:p>
    <w:p w:rsidR="002B1038" w:rsidRPr="000261D1" w:rsidRDefault="002B1038" w:rsidP="002B1038">
      <w:pPr>
        <w:spacing w:line="360" w:lineRule="auto"/>
        <w:ind w:left="720" w:hanging="720"/>
        <w:rPr>
          <w:rStyle w:val="Hyperlink"/>
          <w:rFonts w:ascii="Tahoma" w:hAnsi="Tahoma" w:cs="Tahoma"/>
          <w:color w:val="000000" w:themeColor="text1"/>
          <w:u w:val="none"/>
        </w:rPr>
      </w:pPr>
      <w:r>
        <w:rPr>
          <w:rStyle w:val="Hyperlink"/>
          <w:rFonts w:ascii="Tahoma" w:hAnsi="Tahoma" w:cs="Tahoma"/>
          <w:color w:val="000000" w:themeColor="text1"/>
          <w:u w:val="none"/>
        </w:rPr>
        <w:t>28th July 2018).</w:t>
      </w:r>
    </w:p>
    <w:p w:rsidR="002B1038" w:rsidRPr="000261D1" w:rsidRDefault="002B1038"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Benham-Hutchins, M., &amp; Lall, M. P. (2015). Perception of nursing education uses</w:t>
      </w:r>
    </w:p>
    <w:p w:rsidR="00F96823"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of Second Life by graduate nursing students. </w:t>
      </w:r>
      <w:r w:rsidRPr="000261D1">
        <w:rPr>
          <w:rFonts w:ascii="Tahoma" w:hAnsi="Tahoma" w:cs="Tahoma"/>
          <w:i/>
          <w:color w:val="000000" w:themeColor="text1"/>
        </w:rPr>
        <w:t xml:space="preserve">Computers, Informatics, Nursing, </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33</w:t>
      </w:r>
      <w:r w:rsidR="00F96823">
        <w:rPr>
          <w:rFonts w:ascii="Tahoma" w:hAnsi="Tahoma" w:cs="Tahoma"/>
          <w:i/>
          <w:color w:val="000000" w:themeColor="text1"/>
        </w:rPr>
        <w:t xml:space="preserve"> </w:t>
      </w:r>
      <w:r w:rsidRPr="000261D1">
        <w:rPr>
          <w:rFonts w:ascii="Tahoma" w:hAnsi="Tahoma" w:cs="Tahoma"/>
          <w:color w:val="000000" w:themeColor="text1"/>
        </w:rPr>
        <w:t>(9), 404-409.</w:t>
      </w:r>
    </w:p>
    <w:p w:rsidR="002B1038" w:rsidRPr="000261D1" w:rsidRDefault="002B1038"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Bower, M., Mark J. W. Lee, M. J. W., &amp; Dalgarno, B. (2017). Collaborative</w:t>
      </w: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learning across physical and virtual worlds: Factors supporting and constraining</w:t>
      </w:r>
    </w:p>
    <w:p w:rsidR="00F96823" w:rsidRDefault="002B1038" w:rsidP="00F96823">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learners in a blended reality environment. </w:t>
      </w:r>
      <w:r w:rsidRPr="000261D1">
        <w:rPr>
          <w:rFonts w:ascii="Tahoma" w:hAnsi="Tahoma" w:cs="Tahoma"/>
          <w:i/>
          <w:color w:val="000000" w:themeColor="text1"/>
        </w:rPr>
        <w:t xml:space="preserve">British Journal of Educational </w:t>
      </w:r>
    </w:p>
    <w:p w:rsidR="002B1038" w:rsidRPr="00F96823" w:rsidRDefault="00F96823" w:rsidP="00F96823">
      <w:pPr>
        <w:spacing w:line="360" w:lineRule="auto"/>
        <w:ind w:left="720" w:hanging="720"/>
        <w:rPr>
          <w:rFonts w:ascii="Tahoma" w:hAnsi="Tahoma" w:cs="Tahoma"/>
          <w:i/>
          <w:color w:val="000000" w:themeColor="text1"/>
        </w:rPr>
      </w:pPr>
      <w:r>
        <w:rPr>
          <w:rFonts w:ascii="Tahoma" w:hAnsi="Tahoma" w:cs="Tahoma"/>
          <w:i/>
          <w:color w:val="000000" w:themeColor="text1"/>
        </w:rPr>
        <w:t>T</w:t>
      </w:r>
      <w:r w:rsidR="002B1038" w:rsidRPr="000261D1">
        <w:rPr>
          <w:rFonts w:ascii="Tahoma" w:hAnsi="Tahoma" w:cs="Tahoma"/>
          <w:i/>
          <w:color w:val="000000" w:themeColor="text1"/>
        </w:rPr>
        <w:t>echnology, 48</w:t>
      </w:r>
      <w:r>
        <w:rPr>
          <w:rFonts w:ascii="Tahoma" w:hAnsi="Tahoma" w:cs="Tahoma"/>
          <w:i/>
          <w:color w:val="000000" w:themeColor="text1"/>
        </w:rPr>
        <w:t xml:space="preserve"> </w:t>
      </w:r>
      <w:r w:rsidR="002B1038" w:rsidRPr="000261D1">
        <w:rPr>
          <w:rFonts w:ascii="Tahoma" w:hAnsi="Tahoma" w:cs="Tahoma"/>
          <w:color w:val="000000" w:themeColor="text1"/>
        </w:rPr>
        <w:t>(2), 407-430 doi:10.1111/bjet.12435.</w:t>
      </w:r>
    </w:p>
    <w:p w:rsidR="002B1038" w:rsidRPr="000261D1" w:rsidRDefault="002B1038"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Can, T. &amp; Simsek, I. (2015). The use of 3D virtual learning environments in</w:t>
      </w:r>
    </w:p>
    <w:p w:rsidR="00F96823"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training foreign language pre-service teachers. </w:t>
      </w:r>
      <w:r w:rsidRPr="000261D1">
        <w:rPr>
          <w:rFonts w:ascii="Tahoma" w:hAnsi="Tahoma" w:cs="Tahoma"/>
          <w:i/>
          <w:color w:val="000000" w:themeColor="text1"/>
        </w:rPr>
        <w:t>Turkish Online Journal of Distance</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Education-TOJDE, 16</w:t>
      </w:r>
      <w:r w:rsidR="00F96823">
        <w:rPr>
          <w:rFonts w:ascii="Tahoma" w:hAnsi="Tahoma" w:cs="Tahoma"/>
          <w:i/>
          <w:color w:val="000000" w:themeColor="text1"/>
        </w:rPr>
        <w:t xml:space="preserve"> </w:t>
      </w:r>
      <w:r w:rsidRPr="000261D1">
        <w:rPr>
          <w:rFonts w:ascii="Tahoma" w:hAnsi="Tahoma" w:cs="Tahoma"/>
          <w:color w:val="000000" w:themeColor="text1"/>
        </w:rPr>
        <w:t>(4), 114-124.</w:t>
      </w:r>
    </w:p>
    <w:p w:rsidR="002B1038" w:rsidRPr="000261D1" w:rsidRDefault="002B1038" w:rsidP="002B1038">
      <w:pPr>
        <w:spacing w:line="360" w:lineRule="auto"/>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Carter, N., Bryant-Lukosius, D., DiCenso, A., Blythe, J., &amp; Neville, A. J. (2014).</w:t>
      </w: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The use of triangulation in qualitative research. </w:t>
      </w:r>
      <w:r w:rsidRPr="000261D1">
        <w:rPr>
          <w:rFonts w:ascii="Tahoma" w:hAnsi="Tahoma" w:cs="Tahoma"/>
          <w:i/>
          <w:color w:val="000000" w:themeColor="text1"/>
        </w:rPr>
        <w:t>Oncology Nursing Forum, 41</w:t>
      </w:r>
      <w:r w:rsidR="00F96823">
        <w:rPr>
          <w:rFonts w:ascii="Tahoma" w:hAnsi="Tahoma" w:cs="Tahoma"/>
          <w:i/>
          <w:color w:val="000000" w:themeColor="text1"/>
        </w:rPr>
        <w:t xml:space="preserve"> </w:t>
      </w:r>
      <w:r w:rsidRPr="000261D1">
        <w:rPr>
          <w:rFonts w:ascii="Tahoma" w:hAnsi="Tahoma" w:cs="Tahoma"/>
          <w:color w:val="000000" w:themeColor="text1"/>
        </w:rPr>
        <w:t>(5),</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545-547. doi: 10.1188/14.onf.545-547.</w:t>
      </w:r>
    </w:p>
    <w:p w:rsidR="002B1038" w:rsidRPr="000261D1" w:rsidRDefault="002B1038"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Castaneda, L. &amp; Pacampara, M. (2016). Virtual reality in the classroom </w:t>
      </w:r>
      <w:r w:rsidR="00F96823">
        <w:rPr>
          <w:rFonts w:ascii="Tahoma" w:hAnsi="Tahoma" w:cs="Tahoma"/>
          <w:color w:val="000000" w:themeColor="text1"/>
        </w:rPr>
        <w:t>–</w:t>
      </w:r>
      <w:r w:rsidRPr="000261D1">
        <w:rPr>
          <w:rFonts w:ascii="Tahoma" w:hAnsi="Tahoma" w:cs="Tahoma"/>
          <w:color w:val="000000" w:themeColor="text1"/>
        </w:rPr>
        <w:t xml:space="preserve"> An</w:t>
      </w: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exploration of hardware, management, content and pedagogy. In G. Chamblee &amp;</w:t>
      </w:r>
    </w:p>
    <w:p w:rsidR="00F96823"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L. Langub (Eds.), </w:t>
      </w:r>
      <w:r w:rsidRPr="000261D1">
        <w:rPr>
          <w:rFonts w:ascii="Tahoma" w:hAnsi="Tahoma" w:cs="Tahoma"/>
          <w:i/>
          <w:color w:val="000000" w:themeColor="text1"/>
        </w:rPr>
        <w:t xml:space="preserve">Proceedings of Society for Information Technology &amp; Teacher </w:t>
      </w:r>
    </w:p>
    <w:p w:rsidR="00F96823" w:rsidRDefault="002B1038" w:rsidP="00F96823">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 International Conference</w:t>
      </w:r>
      <w:r w:rsidRPr="000261D1">
        <w:rPr>
          <w:rFonts w:ascii="Tahoma" w:hAnsi="Tahoma" w:cs="Tahoma"/>
          <w:color w:val="000000" w:themeColor="text1"/>
        </w:rPr>
        <w:t xml:space="preserve"> (pp. 527-534). Savannah, GA: Association for</w:t>
      </w:r>
    </w:p>
    <w:p w:rsidR="002B1038" w:rsidRPr="000261D1" w:rsidRDefault="002B1038" w:rsidP="00F96823">
      <w:pPr>
        <w:spacing w:line="360" w:lineRule="auto"/>
        <w:rPr>
          <w:rFonts w:ascii="Tahoma" w:hAnsi="Tahoma" w:cs="Tahoma"/>
          <w:color w:val="000000" w:themeColor="text1"/>
        </w:rPr>
      </w:pPr>
      <w:r w:rsidRPr="000261D1">
        <w:rPr>
          <w:rFonts w:ascii="Tahoma" w:hAnsi="Tahoma" w:cs="Tahoma"/>
          <w:color w:val="000000" w:themeColor="text1"/>
        </w:rPr>
        <w:t xml:space="preserve"> the Advancement of Computing in Education. </w:t>
      </w:r>
    </w:p>
    <w:p w:rsidR="002B1038" w:rsidRPr="000261D1" w:rsidRDefault="002B1038" w:rsidP="002B1038">
      <w:pPr>
        <w:spacing w:line="360" w:lineRule="auto"/>
        <w:ind w:left="720" w:hanging="720"/>
        <w:rPr>
          <w:rFonts w:ascii="Tahoma" w:hAnsi="Tahoma" w:cs="Tahoma"/>
          <w:color w:val="000000" w:themeColor="text1"/>
        </w:rPr>
      </w:pPr>
    </w:p>
    <w:p w:rsidR="00F96823" w:rsidRDefault="00F96823"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Chao, K. H., Chang, K. E., Lan, C. H., Kinshuk, &amp; Sung, Y. T. (2016). Integration</w:t>
      </w:r>
    </w:p>
    <w:p w:rsidR="00F96823"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of mobile AR technology in performance assessment. </w:t>
      </w:r>
      <w:r w:rsidRPr="000261D1">
        <w:rPr>
          <w:rFonts w:ascii="Tahoma" w:hAnsi="Tahoma" w:cs="Tahoma"/>
          <w:i/>
          <w:color w:val="000000" w:themeColor="text1"/>
        </w:rPr>
        <w:t>Educational Technology &amp;</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Society, 19</w:t>
      </w:r>
      <w:r w:rsidR="00F96823">
        <w:rPr>
          <w:rFonts w:ascii="Tahoma" w:hAnsi="Tahoma" w:cs="Tahoma"/>
          <w:i/>
          <w:color w:val="000000" w:themeColor="text1"/>
        </w:rPr>
        <w:t xml:space="preserve"> </w:t>
      </w:r>
      <w:r w:rsidRPr="000261D1">
        <w:rPr>
          <w:rFonts w:ascii="Tahoma" w:hAnsi="Tahoma" w:cs="Tahoma"/>
          <w:color w:val="000000" w:themeColor="text1"/>
        </w:rPr>
        <w:t>(4), 239–251.</w:t>
      </w:r>
    </w:p>
    <w:p w:rsidR="002B1038" w:rsidRPr="000261D1" w:rsidRDefault="002B1038" w:rsidP="002B1038">
      <w:pPr>
        <w:spacing w:line="360" w:lineRule="auto"/>
        <w:ind w:left="720" w:hanging="720"/>
        <w:rPr>
          <w:rFonts w:ascii="Tahoma" w:hAnsi="Tahoma" w:cs="Tahoma"/>
          <w:color w:val="000000" w:themeColor="text1"/>
        </w:rPr>
      </w:pP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Chen, B., Seilhamer, R., Bennett, L., &amp; Bauer, S. (2015). Students'</w:t>
      </w:r>
    </w:p>
    <w:p w:rsidR="00F96823"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mobile learning practices in higher education: A multi-year study. </w:t>
      </w:r>
      <w:r>
        <w:rPr>
          <w:rFonts w:ascii="Tahoma" w:hAnsi="Tahoma" w:cs="Tahoma"/>
          <w:color w:val="000000" w:themeColor="text1"/>
        </w:rPr>
        <w:t>Available</w:t>
      </w:r>
    </w:p>
    <w:p w:rsidR="002B1038" w:rsidRPr="00566362" w:rsidRDefault="002B1038" w:rsidP="00A92458">
      <w:pPr>
        <w:spacing w:line="360" w:lineRule="auto"/>
        <w:rPr>
          <w:rFonts w:ascii="Tahoma" w:hAnsi="Tahoma" w:cs="Tahoma"/>
          <w:color w:val="000000" w:themeColor="text1"/>
          <w:u w:val="single"/>
        </w:rPr>
      </w:pPr>
      <w:r>
        <w:rPr>
          <w:rFonts w:ascii="Tahoma" w:hAnsi="Tahoma" w:cs="Tahoma"/>
          <w:color w:val="000000" w:themeColor="text1"/>
        </w:rPr>
        <w:t>at:</w:t>
      </w:r>
      <w:r w:rsidR="00F96823">
        <w:rPr>
          <w:rFonts w:ascii="Tahoma" w:hAnsi="Tahoma" w:cs="Tahoma"/>
          <w:color w:val="000000" w:themeColor="text1"/>
        </w:rPr>
        <w:t xml:space="preserve"> </w:t>
      </w:r>
      <w:hyperlink r:id="rId11" w:history="1">
        <w:r w:rsidR="00A92458" w:rsidRPr="00A92458">
          <w:rPr>
            <w:rStyle w:val="Hyperlink"/>
            <w:rFonts w:ascii="Tahoma" w:hAnsi="Tahoma" w:cs="Tahoma"/>
            <w:color w:val="auto"/>
          </w:rPr>
          <w:t>https://er.educause.edu/articles/2015/6/students-mobile-learning-practices-in-higher-education-a-multiyear-study</w:t>
        </w:r>
      </w:hyperlink>
      <w:r w:rsidR="00A92458">
        <w:rPr>
          <w:rFonts w:ascii="Tahoma" w:hAnsi="Tahoma" w:cs="Tahoma"/>
        </w:rPr>
        <w:t xml:space="preserve"> </w:t>
      </w:r>
      <w:r w:rsidR="00F96823">
        <w:rPr>
          <w:rFonts w:ascii="Tahoma" w:hAnsi="Tahoma" w:cs="Tahoma"/>
        </w:rPr>
        <w:t xml:space="preserve"> </w:t>
      </w:r>
      <w:r>
        <w:rPr>
          <w:rStyle w:val="Hyperlink"/>
          <w:rFonts w:ascii="Tahoma" w:hAnsi="Tahoma" w:cs="Tahoma"/>
          <w:color w:val="000000" w:themeColor="text1"/>
          <w:u w:val="none"/>
        </w:rPr>
        <w:t>(Accessed: 29th July 2018).</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Chen, J. C. (2014). A case study on English language learners’ task-based</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interaction and avatar identities in Second Life: A mixed-methods design. In S.</w:t>
      </w:r>
    </w:p>
    <w:p w:rsidR="00A92458"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Jager, L. Bradley, E. J. Meima, &amp; S. Thou</w:t>
      </w:r>
      <w:r w:rsidRPr="000261D1">
        <w:rPr>
          <w:rFonts w:ascii="Tahoma" w:eastAsia="Calibri" w:hAnsi="Tahoma" w:cs="Tahoma"/>
          <w:color w:val="000000" w:themeColor="text1"/>
        </w:rPr>
        <w:t>ee</w:t>
      </w:r>
      <w:r w:rsidRPr="000261D1">
        <w:rPr>
          <w:rFonts w:ascii="Tahoma" w:hAnsi="Tahoma" w:cs="Tahoma"/>
          <w:color w:val="000000" w:themeColor="text1"/>
        </w:rPr>
        <w:t xml:space="preserve">sny (Eds.), </w:t>
      </w:r>
      <w:r w:rsidRPr="000261D1">
        <w:rPr>
          <w:rFonts w:ascii="Tahoma" w:hAnsi="Tahoma" w:cs="Tahoma"/>
          <w:i/>
          <w:color w:val="000000" w:themeColor="text1"/>
        </w:rPr>
        <w:t>CALL design: Principles</w:t>
      </w:r>
    </w:p>
    <w:p w:rsidR="00A92458" w:rsidRDefault="002B1038" w:rsidP="002B1038">
      <w:pPr>
        <w:spacing w:line="360" w:lineRule="auto"/>
        <w:ind w:left="720" w:hanging="720"/>
        <w:rPr>
          <w:rFonts w:ascii="Tahoma" w:hAnsi="Tahoma" w:cs="Tahoma"/>
          <w:i/>
          <w:color w:val="000000" w:themeColor="text1"/>
        </w:rPr>
      </w:pPr>
      <w:r w:rsidRPr="000261D1">
        <w:rPr>
          <w:rFonts w:ascii="Tahoma" w:hAnsi="Tahoma" w:cs="Tahoma"/>
          <w:i/>
          <w:color w:val="000000" w:themeColor="text1"/>
        </w:rPr>
        <w:t>and practice; Proceedings of the 2014 EUROCALL conference, Groningen, The</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Netherlands</w:t>
      </w:r>
      <w:r w:rsidRPr="000261D1">
        <w:rPr>
          <w:rFonts w:ascii="Tahoma" w:hAnsi="Tahoma" w:cs="Tahoma"/>
          <w:color w:val="000000" w:themeColor="text1"/>
        </w:rPr>
        <w:t xml:space="preserve"> (pp. 47-51). Dublin, Ireland: Research-publishing.net.</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doi:10.14705/rpnet.2014.000193.</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Chien, C.-F., Davis, T., Slattery, P., Keeney-Kennicutt, W., &amp; Hammer, J. (2013).</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Development of a virtual Second Life curriculum using Currere model.</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Educational Technology &amp; Society, 16</w:t>
      </w:r>
      <w:r w:rsidR="00A92458">
        <w:rPr>
          <w:rFonts w:ascii="Tahoma" w:hAnsi="Tahoma" w:cs="Tahoma"/>
          <w:i/>
          <w:color w:val="000000" w:themeColor="text1"/>
        </w:rPr>
        <w:t xml:space="preserve"> </w:t>
      </w:r>
      <w:r w:rsidRPr="000261D1">
        <w:rPr>
          <w:rFonts w:ascii="Tahoma" w:hAnsi="Tahoma" w:cs="Tahoma"/>
          <w:color w:val="000000" w:themeColor="text1"/>
        </w:rPr>
        <w:t>(3), 204-219.</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Davidge, J. (2017, June 21). 5 amazing stats you need to know about virtual </w:t>
      </w:r>
    </w:p>
    <w:p w:rsidR="002B1038" w:rsidRPr="00566362" w:rsidRDefault="002B1038" w:rsidP="00A92458">
      <w:pPr>
        <w:spacing w:line="360" w:lineRule="auto"/>
        <w:rPr>
          <w:rFonts w:ascii="Tahoma" w:hAnsi="Tahoma" w:cs="Tahoma"/>
          <w:color w:val="000000" w:themeColor="text1"/>
          <w:u w:val="single"/>
        </w:rPr>
      </w:pPr>
      <w:r w:rsidRPr="000261D1">
        <w:rPr>
          <w:rFonts w:ascii="Tahoma" w:hAnsi="Tahoma" w:cs="Tahoma"/>
          <w:color w:val="000000" w:themeColor="text1"/>
        </w:rPr>
        <w:t xml:space="preserve">reality. </w:t>
      </w:r>
      <w:r>
        <w:rPr>
          <w:rFonts w:ascii="Tahoma" w:hAnsi="Tahoma" w:cs="Tahoma"/>
          <w:color w:val="000000" w:themeColor="text1"/>
        </w:rPr>
        <w:t>Available at:</w:t>
      </w:r>
      <w:hyperlink r:id="rId12" w:history="1">
        <w:r w:rsidR="00A92458" w:rsidRPr="00A92458">
          <w:rPr>
            <w:rStyle w:val="Hyperlink"/>
            <w:rFonts w:ascii="Tahoma" w:hAnsi="Tahoma" w:cs="Tahoma"/>
            <w:color w:val="auto"/>
          </w:rPr>
          <w:t>https://www.becausexm.com/blog/5-amazing-stats-you-need-to-know-about-virtual-reality</w:t>
        </w:r>
      </w:hyperlink>
      <w:r w:rsidR="00A92458">
        <w:t xml:space="preserve"> </w:t>
      </w:r>
      <w:r>
        <w:rPr>
          <w:rStyle w:val="Hyperlink"/>
          <w:rFonts w:ascii="Tahoma" w:hAnsi="Tahoma" w:cs="Tahoma"/>
          <w:color w:val="000000" w:themeColor="text1"/>
          <w:u w:val="none"/>
        </w:rPr>
        <w:t>(Accessed: 30th July 2018).</w:t>
      </w:r>
    </w:p>
    <w:p w:rsidR="002B1038" w:rsidRPr="000261D1" w:rsidRDefault="002B1038" w:rsidP="002B1038">
      <w:pPr>
        <w:spacing w:line="360" w:lineRule="auto"/>
        <w:rPr>
          <w:rStyle w:val="Hyperlink"/>
          <w:rFonts w:ascii="Tahoma" w:hAnsi="Tahoma" w:cs="Tahoma"/>
          <w:color w:val="000000" w:themeColor="text1"/>
          <w:u w:val="none"/>
        </w:rPr>
      </w:pP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De Bono, E. (1985). </w:t>
      </w:r>
      <w:r w:rsidRPr="000261D1">
        <w:rPr>
          <w:rFonts w:ascii="Tahoma" w:hAnsi="Tahoma" w:cs="Tahoma"/>
          <w:i/>
          <w:color w:val="000000" w:themeColor="text1"/>
        </w:rPr>
        <w:t>Six thinking hats</w:t>
      </w:r>
      <w:r w:rsidRPr="000261D1">
        <w:rPr>
          <w:rFonts w:ascii="Tahoma" w:hAnsi="Tahoma" w:cs="Tahoma"/>
          <w:color w:val="000000" w:themeColor="text1"/>
        </w:rPr>
        <w:t xml:space="preserve">. London, UK: Penguin. </w:t>
      </w:r>
    </w:p>
    <w:p w:rsidR="002B1038" w:rsidRPr="000261D1" w:rsidRDefault="002B1038" w:rsidP="002B1038">
      <w:pPr>
        <w:spacing w:line="360" w:lineRule="auto"/>
        <w:ind w:left="720" w:hanging="720"/>
        <w:rPr>
          <w:rFonts w:ascii="Tahoma" w:hAnsi="Tahoma" w:cs="Tahoma"/>
          <w:color w:val="000000" w:themeColor="text1"/>
        </w:rPr>
      </w:pPr>
    </w:p>
    <w:p w:rsidR="00A92458" w:rsidRDefault="00A92458" w:rsidP="002B1038">
      <w:pPr>
        <w:spacing w:line="360" w:lineRule="auto"/>
        <w:ind w:left="720" w:hanging="720"/>
        <w:rPr>
          <w:rFonts w:ascii="Tahoma" w:hAnsi="Tahoma" w:cs="Tahoma"/>
          <w:color w:val="000000" w:themeColor="text1"/>
        </w:rPr>
      </w:pPr>
    </w:p>
    <w:p w:rsidR="00A92458" w:rsidRDefault="00A92458" w:rsidP="002B1038">
      <w:pPr>
        <w:spacing w:line="360" w:lineRule="auto"/>
        <w:ind w:left="720" w:hanging="720"/>
        <w:rPr>
          <w:rFonts w:ascii="Tahoma" w:hAnsi="Tahoma" w:cs="Tahoma"/>
          <w:color w:val="000000" w:themeColor="text1"/>
        </w:rPr>
      </w:pPr>
    </w:p>
    <w:p w:rsidR="00A92458" w:rsidRDefault="00A9245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Dekker, S., Lee, N. C., Howard-Jones, P., &amp; Jolles, J. (2012). Neuromyths in</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education: Prevalence and predictors of misconceptions among teachers.</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Frontiers in Psychology, 3</w:t>
      </w:r>
      <w:r w:rsidR="00A92458">
        <w:rPr>
          <w:rFonts w:ascii="Tahoma" w:hAnsi="Tahoma" w:cs="Tahoma"/>
          <w:i/>
          <w:color w:val="000000" w:themeColor="text1"/>
        </w:rPr>
        <w:t xml:space="preserve"> </w:t>
      </w:r>
      <w:r w:rsidRPr="000261D1">
        <w:rPr>
          <w:rFonts w:ascii="Tahoma" w:hAnsi="Tahoma" w:cs="Tahoma"/>
          <w:color w:val="000000" w:themeColor="text1"/>
        </w:rPr>
        <w:t>(429), 1-8.</w:t>
      </w:r>
      <w:r>
        <w:rPr>
          <w:rFonts w:ascii="Tahoma" w:hAnsi="Tahoma" w:cs="Tahoma"/>
          <w:color w:val="000000" w:themeColor="text1"/>
        </w:rPr>
        <w:t xml:space="preserve"> Available</w:t>
      </w:r>
      <w:r w:rsidR="00A92458">
        <w:rPr>
          <w:rFonts w:ascii="Tahoma" w:hAnsi="Tahoma" w:cs="Tahoma"/>
          <w:color w:val="000000" w:themeColor="text1"/>
        </w:rPr>
        <w:t xml:space="preserve"> </w:t>
      </w:r>
      <w:r>
        <w:rPr>
          <w:rFonts w:ascii="Tahoma" w:hAnsi="Tahoma" w:cs="Tahoma"/>
          <w:color w:val="000000" w:themeColor="text1"/>
        </w:rPr>
        <w:t>at:</w:t>
      </w:r>
    </w:p>
    <w:p w:rsidR="002B1038" w:rsidRPr="00566362" w:rsidRDefault="00B676F3" w:rsidP="002B1038">
      <w:pPr>
        <w:spacing w:line="360" w:lineRule="auto"/>
        <w:ind w:left="720" w:hanging="720"/>
        <w:rPr>
          <w:rStyle w:val="Hyperlink"/>
          <w:rFonts w:ascii="Tahoma" w:hAnsi="Tahoma" w:cs="Tahoma"/>
          <w:color w:val="000000" w:themeColor="text1"/>
        </w:rPr>
      </w:pPr>
      <w:hyperlink r:id="rId13" w:history="1">
        <w:r w:rsidR="002B1038" w:rsidRPr="00B15708">
          <w:rPr>
            <w:rStyle w:val="Hyperlink"/>
            <w:rFonts w:ascii="Tahoma" w:hAnsi="Tahoma" w:cs="Tahoma"/>
            <w:color w:val="000000" w:themeColor="text1"/>
          </w:rPr>
          <w:t>https://doi.org/10.3389/fpsyg.2012.00429</w:t>
        </w:r>
      </w:hyperlink>
      <w:r w:rsidR="00A92458">
        <w:t xml:space="preserve"> </w:t>
      </w:r>
      <w:r w:rsidR="002B1038">
        <w:rPr>
          <w:rStyle w:val="Hyperlink"/>
          <w:rFonts w:ascii="Tahoma" w:hAnsi="Tahoma" w:cs="Tahoma"/>
          <w:color w:val="000000" w:themeColor="text1"/>
          <w:u w:val="none"/>
        </w:rPr>
        <w:t>(Accessed: 27th July 2018).</w:t>
      </w:r>
    </w:p>
    <w:p w:rsidR="002B1038" w:rsidRPr="000261D1" w:rsidRDefault="002B1038" w:rsidP="002B1038">
      <w:pPr>
        <w:spacing w:line="360" w:lineRule="auto"/>
        <w:rPr>
          <w:rStyle w:val="Hyperlink"/>
          <w:rFonts w:ascii="Tahoma" w:hAnsi="Tahoma" w:cs="Tahoma"/>
          <w:color w:val="000000" w:themeColor="text1"/>
          <w:u w:val="none"/>
        </w:rPr>
      </w:pPr>
    </w:p>
    <w:p w:rsidR="00A92458" w:rsidRDefault="002B1038" w:rsidP="002B1038">
      <w:pPr>
        <w:spacing w:line="360" w:lineRule="auto"/>
        <w:ind w:left="720" w:hanging="720"/>
        <w:rPr>
          <w:rStyle w:val="Hyperlink"/>
          <w:rFonts w:ascii="Tahoma" w:hAnsi="Tahoma" w:cs="Tahoma"/>
          <w:color w:val="000000" w:themeColor="text1"/>
          <w:u w:val="none"/>
        </w:rPr>
      </w:pPr>
      <w:r w:rsidRPr="000261D1">
        <w:rPr>
          <w:rStyle w:val="Hyperlink"/>
          <w:rFonts w:ascii="Tahoma" w:hAnsi="Tahoma" w:cs="Tahoma"/>
          <w:color w:val="000000" w:themeColor="text1"/>
          <w:u w:val="none"/>
        </w:rPr>
        <w:t>ECORYS (2017, November 13). Europe is a strong and competitive hub for VR.</w:t>
      </w:r>
    </w:p>
    <w:p w:rsidR="002B1038" w:rsidRDefault="002B1038" w:rsidP="00A92458">
      <w:pPr>
        <w:spacing w:line="360" w:lineRule="auto"/>
        <w:rPr>
          <w:rFonts w:ascii="Tahoma" w:hAnsi="Tahoma" w:cs="Tahoma"/>
          <w:color w:val="000000" w:themeColor="text1"/>
          <w:u w:val="single"/>
        </w:rPr>
      </w:pPr>
      <w:r>
        <w:rPr>
          <w:rStyle w:val="Hyperlink"/>
          <w:rFonts w:ascii="Tahoma" w:hAnsi="Tahoma" w:cs="Tahoma"/>
          <w:color w:val="000000" w:themeColor="text1"/>
          <w:u w:val="none"/>
        </w:rPr>
        <w:t>Available at:</w:t>
      </w:r>
      <w:hyperlink r:id="rId14" w:history="1">
        <w:r w:rsidR="00A92458" w:rsidRPr="00A92458">
          <w:rPr>
            <w:rStyle w:val="Hyperlink"/>
            <w:rFonts w:ascii="Tahoma" w:hAnsi="Tahoma" w:cs="Tahoma"/>
            <w:color w:val="auto"/>
          </w:rPr>
          <w:t>https://www.ecorys.com/news/europe-strong-and-competitive-hub-vr-ecorys-study-finds</w:t>
        </w:r>
      </w:hyperlink>
      <w:r w:rsidR="00A92458">
        <w:t xml:space="preserve"> </w:t>
      </w:r>
      <w:r>
        <w:rPr>
          <w:rStyle w:val="Hyperlink"/>
          <w:rFonts w:ascii="Tahoma" w:hAnsi="Tahoma" w:cs="Tahoma"/>
          <w:color w:val="000000" w:themeColor="text1"/>
          <w:u w:val="none"/>
        </w:rPr>
        <w:t>(Accessed: 30th July 2018).</w:t>
      </w:r>
    </w:p>
    <w:p w:rsidR="002B1038" w:rsidRPr="00566362" w:rsidRDefault="002B1038" w:rsidP="002B1038">
      <w:pPr>
        <w:spacing w:line="360" w:lineRule="auto"/>
        <w:ind w:left="720" w:hanging="720"/>
        <w:rPr>
          <w:rFonts w:ascii="Tahoma" w:hAnsi="Tahoma" w:cs="Tahoma"/>
          <w:color w:val="000000" w:themeColor="text1"/>
          <w:u w:val="single"/>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Edirisingha, P., Nie, M., Pluciennik, M., &amp; Young, R. (2009). Socialisation for</w:t>
      </w:r>
    </w:p>
    <w:p w:rsidR="00A92458"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learning at a distance in a 3-D multi-user virtual environment. </w:t>
      </w:r>
      <w:r w:rsidRPr="000261D1">
        <w:rPr>
          <w:rFonts w:ascii="Tahoma" w:hAnsi="Tahoma" w:cs="Tahoma"/>
          <w:i/>
          <w:color w:val="000000" w:themeColor="text1"/>
        </w:rPr>
        <w:t>British Journal of</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Educational Technology, 40</w:t>
      </w:r>
      <w:r w:rsidR="00A92458">
        <w:rPr>
          <w:rFonts w:ascii="Tahoma" w:hAnsi="Tahoma" w:cs="Tahoma"/>
          <w:i/>
          <w:color w:val="000000" w:themeColor="text1"/>
        </w:rPr>
        <w:t xml:space="preserve"> </w:t>
      </w:r>
      <w:r w:rsidRPr="000261D1">
        <w:rPr>
          <w:rFonts w:ascii="Tahoma" w:hAnsi="Tahoma" w:cs="Tahoma"/>
          <w:color w:val="000000" w:themeColor="text1"/>
        </w:rPr>
        <w:t>(3), 458-479.</w:t>
      </w:r>
    </w:p>
    <w:p w:rsidR="002B1038" w:rsidRPr="000261D1" w:rsidRDefault="002B1038" w:rsidP="002B1038">
      <w:pPr>
        <w:spacing w:line="360" w:lineRule="auto"/>
        <w:rPr>
          <w:rFonts w:ascii="Tahoma" w:hAnsi="Tahoma" w:cs="Tahoma"/>
          <w:color w:val="000000" w:themeColor="text1"/>
        </w:rPr>
      </w:pPr>
    </w:p>
    <w:p w:rsidR="00A92458" w:rsidRDefault="002B1038" w:rsidP="002B1038">
      <w:pPr>
        <w:spacing w:line="360" w:lineRule="auto"/>
        <w:ind w:left="720" w:hanging="720"/>
        <w:rPr>
          <w:rFonts w:ascii="Tahoma" w:hAnsi="Tahoma" w:cs="Tahoma"/>
          <w:bCs/>
          <w:color w:val="000000" w:themeColor="text1"/>
        </w:rPr>
      </w:pPr>
      <w:r w:rsidRPr="000261D1">
        <w:rPr>
          <w:rFonts w:ascii="Tahoma" w:hAnsi="Tahoma" w:cs="Tahoma"/>
          <w:color w:val="000000" w:themeColor="text1"/>
        </w:rPr>
        <w:t xml:space="preserve">Erwin, E. J., Brotherson, M. J., &amp; Summers, J. A. (2011). </w:t>
      </w:r>
      <w:r w:rsidRPr="000261D1">
        <w:rPr>
          <w:rFonts w:ascii="Tahoma" w:hAnsi="Tahoma" w:cs="Tahoma"/>
          <w:bCs/>
          <w:color w:val="000000" w:themeColor="text1"/>
        </w:rPr>
        <w:t>Understanding</w:t>
      </w:r>
    </w:p>
    <w:p w:rsidR="00A92458" w:rsidRDefault="002B1038" w:rsidP="002B1038">
      <w:pPr>
        <w:spacing w:line="360" w:lineRule="auto"/>
        <w:ind w:left="720" w:hanging="720"/>
        <w:rPr>
          <w:rFonts w:ascii="Tahoma" w:hAnsi="Tahoma" w:cs="Tahoma"/>
          <w:i/>
          <w:iCs/>
          <w:color w:val="000000" w:themeColor="text1"/>
        </w:rPr>
      </w:pPr>
      <w:r w:rsidRPr="000261D1">
        <w:rPr>
          <w:rFonts w:ascii="Tahoma" w:hAnsi="Tahoma" w:cs="Tahoma"/>
          <w:bCs/>
          <w:color w:val="000000" w:themeColor="text1"/>
        </w:rPr>
        <w:t xml:space="preserve">qualitative metasynthesis. </w:t>
      </w:r>
      <w:r w:rsidRPr="000261D1">
        <w:rPr>
          <w:rFonts w:ascii="Tahoma" w:hAnsi="Tahoma" w:cs="Tahoma"/>
          <w:i/>
          <w:iCs/>
          <w:color w:val="000000" w:themeColor="text1"/>
        </w:rPr>
        <w:t xml:space="preserve">Issues and Opportunities in Early Childhood </w:t>
      </w:r>
    </w:p>
    <w:p w:rsidR="00A92458" w:rsidRDefault="002B1038" w:rsidP="002B1038">
      <w:pPr>
        <w:spacing w:line="360" w:lineRule="auto"/>
        <w:ind w:left="720" w:hanging="720"/>
        <w:rPr>
          <w:rFonts w:ascii="Tahoma" w:hAnsi="Tahoma" w:cs="Tahoma"/>
          <w:iCs/>
          <w:color w:val="000000" w:themeColor="text1"/>
        </w:rPr>
      </w:pPr>
      <w:r w:rsidRPr="000261D1">
        <w:rPr>
          <w:rFonts w:ascii="Tahoma" w:hAnsi="Tahoma" w:cs="Tahoma"/>
          <w:i/>
          <w:iCs/>
          <w:color w:val="000000" w:themeColor="text1"/>
        </w:rPr>
        <w:t>Intervention Research, 33</w:t>
      </w:r>
      <w:r w:rsidR="00A92458">
        <w:rPr>
          <w:rFonts w:ascii="Tahoma" w:hAnsi="Tahoma" w:cs="Tahoma"/>
          <w:i/>
          <w:iCs/>
          <w:color w:val="000000" w:themeColor="text1"/>
        </w:rPr>
        <w:t xml:space="preserve"> </w:t>
      </w:r>
      <w:r w:rsidRPr="000261D1">
        <w:rPr>
          <w:rFonts w:ascii="Tahoma" w:hAnsi="Tahoma" w:cs="Tahoma"/>
          <w:iCs/>
          <w:color w:val="000000" w:themeColor="text1"/>
        </w:rPr>
        <w:t xml:space="preserve">(3), 186-200. </w:t>
      </w:r>
      <w:r>
        <w:rPr>
          <w:rFonts w:ascii="Tahoma" w:hAnsi="Tahoma" w:cs="Tahoma"/>
          <w:iCs/>
          <w:color w:val="000000" w:themeColor="text1"/>
        </w:rPr>
        <w:t>Available at:</w:t>
      </w:r>
    </w:p>
    <w:p w:rsidR="002B1038" w:rsidRPr="00566362" w:rsidRDefault="00B676F3" w:rsidP="002B1038">
      <w:pPr>
        <w:spacing w:line="360" w:lineRule="auto"/>
        <w:ind w:left="720" w:hanging="720"/>
        <w:rPr>
          <w:rFonts w:ascii="Tahoma" w:hAnsi="Tahoma" w:cs="Tahoma"/>
          <w:color w:val="000000" w:themeColor="text1"/>
          <w:u w:val="single"/>
        </w:rPr>
      </w:pPr>
      <w:hyperlink r:id="rId15" w:history="1">
        <w:r w:rsidR="002B1038" w:rsidRPr="000261D1">
          <w:rPr>
            <w:rStyle w:val="Hyperlink"/>
            <w:rFonts w:ascii="Tahoma" w:hAnsi="Tahoma" w:cs="Tahoma"/>
            <w:color w:val="000000" w:themeColor="text1"/>
          </w:rPr>
          <w:t>https://doi.org/10.1177/1053815111425493</w:t>
        </w:r>
      </w:hyperlink>
      <w:r w:rsidR="00A92458">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Gist, M. E., &amp; Mitchell, T. R. (1992). Self-efficacy: A theoretical analysis of its</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determinants and malleability. </w:t>
      </w:r>
      <w:r w:rsidRPr="000261D1">
        <w:rPr>
          <w:rFonts w:ascii="Tahoma" w:hAnsi="Tahoma" w:cs="Tahoma"/>
          <w:i/>
          <w:color w:val="000000" w:themeColor="text1"/>
        </w:rPr>
        <w:t>Academy of Management Review, 17</w:t>
      </w:r>
      <w:r w:rsidR="00A92458">
        <w:rPr>
          <w:rFonts w:ascii="Tahoma" w:hAnsi="Tahoma" w:cs="Tahoma"/>
          <w:i/>
          <w:color w:val="000000" w:themeColor="text1"/>
        </w:rPr>
        <w:t xml:space="preserve"> </w:t>
      </w:r>
      <w:r w:rsidRPr="000261D1">
        <w:rPr>
          <w:rFonts w:ascii="Tahoma" w:hAnsi="Tahoma" w:cs="Tahoma"/>
          <w:color w:val="000000" w:themeColor="text1"/>
        </w:rPr>
        <w:t>(2), 183-</w:t>
      </w:r>
    </w:p>
    <w:p w:rsidR="00A92458" w:rsidRDefault="002B1038" w:rsidP="002B1038">
      <w:pPr>
        <w:spacing w:line="360" w:lineRule="auto"/>
        <w:ind w:left="720" w:hanging="720"/>
        <w:rPr>
          <w:rStyle w:val="Hyperlink"/>
          <w:rFonts w:ascii="Tahoma" w:hAnsi="Tahoma" w:cs="Tahoma"/>
          <w:color w:val="000000" w:themeColor="text1"/>
          <w:u w:val="none"/>
        </w:rPr>
      </w:pPr>
      <w:r w:rsidRPr="000261D1">
        <w:rPr>
          <w:rFonts w:ascii="Tahoma" w:hAnsi="Tahoma" w:cs="Tahoma"/>
          <w:color w:val="000000" w:themeColor="text1"/>
        </w:rPr>
        <w:t xml:space="preserve">211. </w:t>
      </w:r>
      <w:r>
        <w:rPr>
          <w:rFonts w:ascii="Tahoma" w:hAnsi="Tahoma" w:cs="Tahoma"/>
          <w:color w:val="000000" w:themeColor="text1"/>
        </w:rPr>
        <w:t>Available at:</w:t>
      </w:r>
      <w:r w:rsidR="00A92458">
        <w:rPr>
          <w:rFonts w:ascii="Tahoma" w:hAnsi="Tahoma" w:cs="Tahoma"/>
          <w:color w:val="000000" w:themeColor="text1"/>
        </w:rPr>
        <w:t xml:space="preserve"> </w:t>
      </w:r>
      <w:hyperlink r:id="rId16" w:history="1">
        <w:r w:rsidRPr="000261D1">
          <w:rPr>
            <w:rStyle w:val="Hyperlink"/>
            <w:rFonts w:ascii="Tahoma" w:hAnsi="Tahoma" w:cs="Tahoma"/>
            <w:color w:val="000000" w:themeColor="text1"/>
          </w:rPr>
          <w:t>https://doi.org/10.5465/AMR.1992.4279530</w:t>
        </w:r>
      </w:hyperlink>
      <w:r w:rsidR="00A92458">
        <w:t xml:space="preserve"> </w:t>
      </w:r>
      <w:r>
        <w:rPr>
          <w:rStyle w:val="Hyperlink"/>
          <w:rFonts w:ascii="Tahoma" w:hAnsi="Tahoma" w:cs="Tahoma"/>
          <w:color w:val="000000" w:themeColor="text1"/>
          <w:u w:val="none"/>
        </w:rPr>
        <w:t>(Accessed: 26th</w:t>
      </w:r>
    </w:p>
    <w:p w:rsidR="002B1038" w:rsidRPr="00566362" w:rsidRDefault="002B1038" w:rsidP="002B1038">
      <w:pPr>
        <w:spacing w:line="360" w:lineRule="auto"/>
        <w:ind w:left="720" w:hanging="720"/>
        <w:rPr>
          <w:rStyle w:val="Hyperlink"/>
          <w:rFonts w:ascii="Tahoma" w:hAnsi="Tahoma" w:cs="Tahoma"/>
          <w:color w:val="000000" w:themeColor="text1"/>
        </w:rPr>
      </w:pPr>
      <w:r>
        <w:rPr>
          <w:rStyle w:val="Hyperlink"/>
          <w:rFonts w:ascii="Tahoma" w:hAnsi="Tahoma" w:cs="Tahoma"/>
          <w:color w:val="000000" w:themeColor="text1"/>
          <w:u w:val="none"/>
        </w:rPr>
        <w:t>July 2018).</w:t>
      </w:r>
    </w:p>
    <w:p w:rsidR="002B1038" w:rsidRPr="000261D1" w:rsidRDefault="002B1038" w:rsidP="002B1038">
      <w:pPr>
        <w:spacing w:line="360" w:lineRule="auto"/>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Gregory, S., &amp; Masters, Y. (2012). Real thinking with virtual hats: A role-playing</w:t>
      </w:r>
    </w:p>
    <w:p w:rsidR="00A92458"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activity for pre-service teachers in Second Life. </w:t>
      </w:r>
      <w:r w:rsidRPr="000261D1">
        <w:rPr>
          <w:rFonts w:ascii="Tahoma" w:hAnsi="Tahoma" w:cs="Tahoma"/>
          <w:i/>
          <w:color w:val="000000" w:themeColor="text1"/>
        </w:rPr>
        <w:t>Australasian Journal of</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Educational Technology, 28</w:t>
      </w:r>
      <w:r w:rsidR="00A92458">
        <w:rPr>
          <w:rFonts w:ascii="Tahoma" w:hAnsi="Tahoma" w:cs="Tahoma"/>
          <w:i/>
          <w:color w:val="000000" w:themeColor="text1"/>
        </w:rPr>
        <w:t xml:space="preserve"> </w:t>
      </w:r>
      <w:r w:rsidRPr="000261D1">
        <w:rPr>
          <w:rFonts w:ascii="Tahoma" w:hAnsi="Tahoma" w:cs="Tahoma"/>
          <w:color w:val="000000" w:themeColor="text1"/>
        </w:rPr>
        <w:t>(3), 420-440.</w:t>
      </w:r>
    </w:p>
    <w:p w:rsidR="002B1038" w:rsidRPr="000261D1" w:rsidRDefault="002B1038" w:rsidP="002B1038">
      <w:pPr>
        <w:spacing w:line="360" w:lineRule="auto"/>
        <w:ind w:left="720" w:hanging="720"/>
        <w:rPr>
          <w:rFonts w:ascii="Tahoma" w:hAnsi="Tahoma" w:cs="Tahoma"/>
          <w:color w:val="000000" w:themeColor="text1"/>
        </w:rPr>
      </w:pPr>
    </w:p>
    <w:p w:rsidR="00A92458" w:rsidRDefault="00A92458" w:rsidP="002B1038">
      <w:pPr>
        <w:spacing w:line="360" w:lineRule="auto"/>
        <w:ind w:left="720" w:hanging="720"/>
        <w:rPr>
          <w:rFonts w:ascii="Tahoma" w:hAnsi="Tahoma" w:cs="Tahoma"/>
          <w:color w:val="000000" w:themeColor="text1"/>
          <w:shd w:val="clear" w:color="auto" w:fill="FFFFFF"/>
        </w:rPr>
      </w:pPr>
    </w:p>
    <w:p w:rsidR="00A92458" w:rsidRDefault="00A92458" w:rsidP="002B1038">
      <w:pPr>
        <w:spacing w:line="360" w:lineRule="auto"/>
        <w:ind w:left="720" w:hanging="720"/>
        <w:rPr>
          <w:rFonts w:ascii="Tahoma" w:hAnsi="Tahoma" w:cs="Tahoma"/>
          <w:color w:val="000000" w:themeColor="text1"/>
          <w:shd w:val="clear" w:color="auto" w:fill="FFFFFF"/>
        </w:rPr>
      </w:pPr>
    </w:p>
    <w:p w:rsidR="00A92458" w:rsidRDefault="002B1038" w:rsidP="002B1038">
      <w:pPr>
        <w:spacing w:line="360" w:lineRule="auto"/>
        <w:ind w:left="720" w:hanging="720"/>
        <w:rPr>
          <w:rFonts w:ascii="Tahoma" w:hAnsi="Tahoma" w:cs="Tahoma"/>
          <w:color w:val="000000" w:themeColor="text1"/>
          <w:shd w:val="clear" w:color="auto" w:fill="FFFFFF"/>
        </w:rPr>
      </w:pPr>
      <w:r w:rsidRPr="000261D1">
        <w:rPr>
          <w:rFonts w:ascii="Tahoma" w:hAnsi="Tahoma" w:cs="Tahoma"/>
          <w:color w:val="000000" w:themeColor="text1"/>
          <w:shd w:val="clear" w:color="auto" w:fill="FFFFFF"/>
        </w:rPr>
        <w:lastRenderedPageBreak/>
        <w:t>Grypdonck, M. H. (2006). Qualitative health research in the era of evidence-</w:t>
      </w:r>
    </w:p>
    <w:p w:rsidR="00A92458" w:rsidRDefault="002B1038" w:rsidP="002B1038">
      <w:pPr>
        <w:spacing w:line="360" w:lineRule="auto"/>
        <w:ind w:left="720" w:hanging="720"/>
        <w:rPr>
          <w:rFonts w:ascii="Tahoma" w:hAnsi="Tahoma" w:cs="Tahoma"/>
          <w:color w:val="000000" w:themeColor="text1"/>
          <w:shd w:val="clear" w:color="auto" w:fill="FFFFFF"/>
        </w:rPr>
      </w:pPr>
      <w:r w:rsidRPr="000261D1">
        <w:rPr>
          <w:rFonts w:ascii="Tahoma" w:hAnsi="Tahoma" w:cs="Tahoma"/>
          <w:color w:val="000000" w:themeColor="text1"/>
          <w:shd w:val="clear" w:color="auto" w:fill="FFFFFF"/>
        </w:rPr>
        <w:t>based practice.</w:t>
      </w:r>
      <w:r w:rsidRPr="000261D1">
        <w:rPr>
          <w:rStyle w:val="apple-converted-space"/>
          <w:rFonts w:ascii="Tahoma" w:hAnsi="Tahoma" w:cs="Tahoma"/>
          <w:color w:val="000000" w:themeColor="text1"/>
          <w:shd w:val="clear" w:color="auto" w:fill="FFFFFF"/>
        </w:rPr>
        <w:t> </w:t>
      </w:r>
      <w:r w:rsidRPr="000261D1">
        <w:rPr>
          <w:rFonts w:ascii="Tahoma" w:hAnsi="Tahoma" w:cs="Tahoma"/>
          <w:i/>
          <w:color w:val="000000" w:themeColor="text1"/>
          <w:shd w:val="clear" w:color="auto" w:fill="FFFFFF"/>
        </w:rPr>
        <w:t>Qualitative Health Research</w:t>
      </w:r>
      <w:r w:rsidRPr="000261D1">
        <w:rPr>
          <w:rStyle w:val="apple-converted-space"/>
          <w:rFonts w:ascii="Tahoma" w:hAnsi="Tahoma" w:cs="Tahoma"/>
          <w:color w:val="000000" w:themeColor="text1"/>
          <w:shd w:val="clear" w:color="auto" w:fill="FFFFFF"/>
        </w:rPr>
        <w:t> </w:t>
      </w:r>
      <w:r w:rsidRPr="000261D1">
        <w:rPr>
          <w:rFonts w:ascii="Tahoma" w:hAnsi="Tahoma" w:cs="Tahoma"/>
          <w:i/>
          <w:color w:val="000000" w:themeColor="text1"/>
          <w:shd w:val="clear" w:color="auto" w:fill="FFFFFF"/>
        </w:rPr>
        <w:t>16</w:t>
      </w:r>
      <w:r w:rsidR="00AA6EE7">
        <w:rPr>
          <w:rFonts w:ascii="Tahoma" w:hAnsi="Tahoma" w:cs="Tahoma"/>
          <w:i/>
          <w:color w:val="000000" w:themeColor="text1"/>
          <w:shd w:val="clear" w:color="auto" w:fill="FFFFFF"/>
        </w:rPr>
        <w:t xml:space="preserve"> </w:t>
      </w:r>
      <w:r w:rsidRPr="000261D1">
        <w:rPr>
          <w:rFonts w:ascii="Tahoma" w:hAnsi="Tahoma" w:cs="Tahoma"/>
          <w:color w:val="000000" w:themeColor="text1"/>
          <w:shd w:val="clear" w:color="auto" w:fill="FFFFFF"/>
        </w:rPr>
        <w:t>(10), 1371-85. doi:</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shd w:val="clear" w:color="auto" w:fill="FFFFFF"/>
        </w:rPr>
        <w:t>10.1177/1049732306294089.</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Hill, C. E., Thompson, B. J., &amp; Williams, E. N</w:t>
      </w:r>
      <w:r w:rsidR="00A92458">
        <w:rPr>
          <w:rFonts w:ascii="Tahoma" w:hAnsi="Tahoma" w:cs="Tahoma"/>
          <w:color w:val="000000" w:themeColor="text1"/>
        </w:rPr>
        <w:t>. (1997). A guide to conducting</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consensual qualitative research. </w:t>
      </w:r>
      <w:r w:rsidRPr="000261D1">
        <w:rPr>
          <w:rFonts w:ascii="Tahoma" w:hAnsi="Tahoma" w:cs="Tahoma"/>
          <w:i/>
          <w:color w:val="000000" w:themeColor="text1"/>
        </w:rPr>
        <w:t>The Counseling Psychologist, 25</w:t>
      </w:r>
      <w:r w:rsidRPr="000261D1">
        <w:rPr>
          <w:rFonts w:ascii="Tahoma" w:hAnsi="Tahoma" w:cs="Tahoma"/>
          <w:color w:val="000000" w:themeColor="text1"/>
        </w:rPr>
        <w:t>, 517-572.</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Hills-Duty, R. (2018, June 13). Report: Almost half of colleges use VR. </w:t>
      </w:r>
      <w:r>
        <w:rPr>
          <w:rFonts w:ascii="Tahoma" w:hAnsi="Tahoma" w:cs="Tahoma"/>
          <w:color w:val="000000" w:themeColor="text1"/>
        </w:rPr>
        <w:t>Available</w:t>
      </w:r>
    </w:p>
    <w:p w:rsidR="002B1038" w:rsidRPr="00566362" w:rsidRDefault="002B1038" w:rsidP="00A92458">
      <w:pPr>
        <w:spacing w:line="360" w:lineRule="auto"/>
        <w:rPr>
          <w:rFonts w:ascii="Tahoma" w:hAnsi="Tahoma" w:cs="Tahoma"/>
          <w:color w:val="000000" w:themeColor="text1"/>
          <w:u w:val="single"/>
        </w:rPr>
      </w:pPr>
      <w:r>
        <w:rPr>
          <w:rFonts w:ascii="Tahoma" w:hAnsi="Tahoma" w:cs="Tahoma"/>
          <w:color w:val="000000" w:themeColor="text1"/>
        </w:rPr>
        <w:t>at:</w:t>
      </w:r>
      <w:r w:rsidR="00A92458">
        <w:rPr>
          <w:rFonts w:ascii="Tahoma" w:hAnsi="Tahoma" w:cs="Tahoma"/>
          <w:color w:val="000000" w:themeColor="text1"/>
        </w:rPr>
        <w:t xml:space="preserve"> </w:t>
      </w:r>
      <w:hyperlink r:id="rId17" w:history="1">
        <w:r w:rsidR="00A92458" w:rsidRPr="00AA6EE7">
          <w:rPr>
            <w:rStyle w:val="Hyperlink"/>
            <w:rFonts w:ascii="Tahoma" w:hAnsi="Tahoma" w:cs="Tahoma"/>
            <w:color w:val="auto"/>
          </w:rPr>
          <w:t>https://www.vrfocus.com/2018/06/report-almost-half-of-us-colleges-use-vr/</w:t>
        </w:r>
      </w:hyperlink>
      <w:r w:rsidR="00A92458" w:rsidRPr="00AA6EE7">
        <w:rPr>
          <w:rFonts w:ascii="Tahoma" w:hAnsi="Tahoma" w:cs="Tahoma"/>
        </w:rPr>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Hogan, M. (2008). Age differences in technophobia: An Irish study. In</w:t>
      </w:r>
    </w:p>
    <w:p w:rsidR="00A92458" w:rsidRDefault="002B1038" w:rsidP="002B1038">
      <w:pPr>
        <w:spacing w:line="360" w:lineRule="auto"/>
        <w:ind w:left="720" w:hanging="720"/>
        <w:rPr>
          <w:rFonts w:ascii="Tahoma" w:eastAsia="Times New Roman" w:hAnsi="Tahoma" w:cs="Tahoma"/>
          <w:color w:val="000000" w:themeColor="text1"/>
          <w:shd w:val="clear" w:color="auto" w:fill="FFFFFF"/>
        </w:rPr>
      </w:pPr>
      <w:r w:rsidRPr="000261D1">
        <w:rPr>
          <w:rFonts w:ascii="Tahoma" w:hAnsi="Tahoma" w:cs="Tahoma"/>
          <w:i/>
          <w:color w:val="000000" w:themeColor="text1"/>
        </w:rPr>
        <w:t xml:space="preserve">Information Systems Development </w:t>
      </w:r>
      <w:r w:rsidRPr="000261D1">
        <w:rPr>
          <w:rFonts w:ascii="Tahoma" w:hAnsi="Tahoma" w:cs="Tahoma"/>
          <w:color w:val="000000" w:themeColor="text1"/>
        </w:rPr>
        <w:t xml:space="preserve">(pp.117-130). Berlin, Germany: </w:t>
      </w:r>
      <w:r w:rsidRPr="000261D1">
        <w:rPr>
          <w:rFonts w:ascii="Tahoma" w:eastAsia="Times New Roman" w:hAnsi="Tahoma" w:cs="Tahoma"/>
          <w:color w:val="000000" w:themeColor="text1"/>
          <w:shd w:val="clear" w:color="auto" w:fill="FFFFFF"/>
        </w:rPr>
        <w:t>Springer-</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eastAsia="Times New Roman" w:hAnsi="Tahoma" w:cs="Tahoma"/>
          <w:color w:val="000000" w:themeColor="text1"/>
          <w:shd w:val="clear" w:color="auto" w:fill="FFFFFF"/>
        </w:rPr>
        <w:t>Verlag.</w:t>
      </w:r>
    </w:p>
    <w:p w:rsidR="002B1038" w:rsidRPr="000261D1" w:rsidRDefault="002B1038" w:rsidP="002B1038">
      <w:pPr>
        <w:spacing w:line="360" w:lineRule="auto"/>
        <w:ind w:left="720" w:hanging="720"/>
        <w:rPr>
          <w:rFonts w:ascii="Tahoma" w:hAnsi="Tahoma" w:cs="Tahoma"/>
          <w:color w:val="000000" w:themeColor="text1"/>
        </w:rPr>
      </w:pP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Hollander, R. (2018). THE VR HARDWARE REPORT: How stand-alone VR</w:t>
      </w:r>
    </w:p>
    <w:p w:rsidR="00A92458"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headsets will usher in mainstream adoption beginning in 2018. </w:t>
      </w:r>
      <w:r>
        <w:rPr>
          <w:rFonts w:ascii="Tahoma" w:hAnsi="Tahoma" w:cs="Tahoma"/>
          <w:color w:val="000000" w:themeColor="text1"/>
        </w:rPr>
        <w:t>Available at:</w:t>
      </w:r>
    </w:p>
    <w:p w:rsidR="00AA6EE7" w:rsidRDefault="00B676F3" w:rsidP="002B1038">
      <w:pPr>
        <w:spacing w:line="360" w:lineRule="auto"/>
        <w:ind w:left="720" w:hanging="720"/>
        <w:rPr>
          <w:rStyle w:val="Hyperlink"/>
          <w:rFonts w:ascii="Tahoma" w:hAnsi="Tahoma" w:cs="Tahoma"/>
          <w:color w:val="000000" w:themeColor="text1"/>
          <w:u w:val="none"/>
        </w:rPr>
      </w:pPr>
      <w:hyperlink r:id="rId18" w:history="1">
        <w:r w:rsidR="002B1038" w:rsidRPr="000261D1">
          <w:rPr>
            <w:rStyle w:val="Hyperlink"/>
            <w:rFonts w:ascii="Tahoma" w:hAnsi="Tahoma" w:cs="Tahoma"/>
            <w:color w:val="000000" w:themeColor="text1"/>
          </w:rPr>
          <w:t>http://www.businessinsider.com/the-vr-hardware-report-2018-3</w:t>
        </w:r>
      </w:hyperlink>
      <w:r w:rsidR="00A92458">
        <w:t xml:space="preserve"> </w:t>
      </w:r>
      <w:r w:rsidR="002B1038">
        <w:rPr>
          <w:rStyle w:val="Hyperlink"/>
          <w:rFonts w:ascii="Tahoma" w:hAnsi="Tahoma" w:cs="Tahoma"/>
          <w:color w:val="000000" w:themeColor="text1"/>
          <w:u w:val="none"/>
        </w:rPr>
        <w:t>(Accessed: 28th</w:t>
      </w:r>
    </w:p>
    <w:p w:rsidR="002B1038" w:rsidRPr="00566362" w:rsidRDefault="002B1038" w:rsidP="002B1038">
      <w:pPr>
        <w:spacing w:line="360" w:lineRule="auto"/>
        <w:ind w:left="720" w:hanging="720"/>
        <w:rPr>
          <w:rFonts w:ascii="Tahoma" w:hAnsi="Tahoma" w:cs="Tahoma"/>
          <w:color w:val="000000" w:themeColor="text1"/>
          <w:u w:val="single"/>
        </w:rPr>
      </w:pPr>
      <w:r>
        <w:rPr>
          <w:rStyle w:val="Hyperlink"/>
          <w:rFonts w:ascii="Tahoma" w:hAnsi="Tahoma" w:cs="Tahoma"/>
          <w:color w:val="000000" w:themeColor="text1"/>
          <w:u w:val="none"/>
        </w:rPr>
        <w:t>July 2018).</w:t>
      </w:r>
    </w:p>
    <w:p w:rsidR="002B1038" w:rsidRPr="000261D1" w:rsidRDefault="002B1038" w:rsidP="002B1038">
      <w:pPr>
        <w:spacing w:line="360" w:lineRule="auto"/>
        <w:rPr>
          <w:rStyle w:val="Hyperlink"/>
          <w:rFonts w:ascii="Tahoma" w:hAnsi="Tahoma" w:cs="Tahoma"/>
          <w:color w:val="000000" w:themeColor="text1"/>
          <w:u w:val="none"/>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Keskitalo, T. (2012). Students’ expectations of the learning process in virtual</w:t>
      </w: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reality and simulation-based learning environments</w:t>
      </w:r>
      <w:r w:rsidRPr="000261D1">
        <w:rPr>
          <w:rFonts w:ascii="Tahoma" w:hAnsi="Tahoma" w:cs="Tahoma"/>
          <w:i/>
          <w:color w:val="000000" w:themeColor="text1"/>
        </w:rPr>
        <w:t>. Australasian Journal of</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Educational Technology, 28</w:t>
      </w:r>
      <w:r w:rsidR="00AA6EE7">
        <w:rPr>
          <w:rFonts w:ascii="Tahoma" w:hAnsi="Tahoma" w:cs="Tahoma"/>
          <w:i/>
          <w:color w:val="000000" w:themeColor="text1"/>
        </w:rPr>
        <w:t xml:space="preserve"> </w:t>
      </w:r>
      <w:r w:rsidRPr="000261D1">
        <w:rPr>
          <w:rFonts w:ascii="Tahoma" w:hAnsi="Tahoma" w:cs="Tahoma"/>
          <w:color w:val="000000" w:themeColor="text1"/>
        </w:rPr>
        <w:t>(5), 841-856.</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Laker, D. R. (1990). Dual dimensionality of training transfer. </w:t>
      </w:r>
      <w:r w:rsidRPr="000261D1">
        <w:rPr>
          <w:rFonts w:ascii="Tahoma" w:hAnsi="Tahoma" w:cs="Tahoma"/>
          <w:i/>
          <w:color w:val="000000" w:themeColor="text1"/>
        </w:rPr>
        <w:t>Human Resource</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Development Quarterly, 1</w:t>
      </w:r>
      <w:r w:rsidR="00AA6EE7">
        <w:rPr>
          <w:rFonts w:ascii="Tahoma" w:hAnsi="Tahoma" w:cs="Tahoma"/>
          <w:i/>
          <w:color w:val="000000" w:themeColor="text1"/>
        </w:rPr>
        <w:t xml:space="preserve"> </w:t>
      </w:r>
      <w:r w:rsidRPr="000261D1">
        <w:rPr>
          <w:rFonts w:ascii="Tahoma" w:hAnsi="Tahoma" w:cs="Tahoma"/>
          <w:color w:val="000000" w:themeColor="text1"/>
        </w:rPr>
        <w:t>(3), 209-224.</w:t>
      </w:r>
    </w:p>
    <w:p w:rsidR="002B1038" w:rsidRPr="000261D1" w:rsidRDefault="002B1038" w:rsidP="002B1038">
      <w:pPr>
        <w:spacing w:line="360" w:lineRule="auto"/>
        <w:ind w:left="720" w:hanging="720"/>
        <w:rPr>
          <w:rFonts w:ascii="Tahoma" w:hAnsi="Tahoma" w:cs="Tahoma"/>
          <w:color w:val="000000" w:themeColor="text1"/>
        </w:rPr>
      </w:pPr>
    </w:p>
    <w:p w:rsidR="00AA6EE7" w:rsidRDefault="00AA6EE7" w:rsidP="002B1038">
      <w:pPr>
        <w:spacing w:line="360" w:lineRule="auto"/>
        <w:ind w:left="720" w:hanging="720"/>
        <w:rPr>
          <w:rFonts w:ascii="Tahoma" w:hAnsi="Tahoma" w:cs="Tahoma"/>
          <w:color w:val="000000" w:themeColor="text1"/>
        </w:rPr>
      </w:pPr>
    </w:p>
    <w:p w:rsidR="00AA6EE7" w:rsidRDefault="00AA6EE7"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lastRenderedPageBreak/>
        <w:t xml:space="preserve">Long, M. H. (1981). Input, interaction, and second-language acquisition. </w:t>
      </w:r>
      <w:r w:rsidRPr="000261D1">
        <w:rPr>
          <w:rFonts w:ascii="Tahoma" w:hAnsi="Tahoma" w:cs="Tahoma"/>
          <w:i/>
          <w:color w:val="000000" w:themeColor="text1"/>
        </w:rPr>
        <w:t>Annals</w:t>
      </w: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of the New York Academy of Sciences, 379</w:t>
      </w:r>
      <w:r w:rsidRPr="000261D1">
        <w:rPr>
          <w:rFonts w:ascii="Tahoma" w:hAnsi="Tahoma" w:cs="Tahoma"/>
          <w:color w:val="000000" w:themeColor="text1"/>
        </w:rPr>
        <w:t>, 259-278. doi:10.1111/j.1749-</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6632.1981.tb42014.x.</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Long, M. H. (1983). Native speaker/non-native speaker conversation and the</w:t>
      </w: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negotiation of comprehensible input. </w:t>
      </w:r>
      <w:r w:rsidRPr="000261D1">
        <w:rPr>
          <w:rFonts w:ascii="Tahoma" w:hAnsi="Tahoma" w:cs="Tahoma"/>
          <w:i/>
          <w:color w:val="000000" w:themeColor="text1"/>
        </w:rPr>
        <w:t>Applied Linguistics, 4</w:t>
      </w:r>
      <w:r w:rsidR="00AA6EE7">
        <w:rPr>
          <w:rFonts w:ascii="Tahoma" w:hAnsi="Tahoma" w:cs="Tahoma"/>
          <w:i/>
          <w:color w:val="000000" w:themeColor="text1"/>
        </w:rPr>
        <w:t xml:space="preserve"> </w:t>
      </w:r>
      <w:r w:rsidRPr="000261D1">
        <w:rPr>
          <w:rFonts w:ascii="Tahoma" w:hAnsi="Tahoma" w:cs="Tahoma"/>
          <w:color w:val="000000" w:themeColor="text1"/>
        </w:rPr>
        <w:t>(2), 126-141.</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doi:10.1093/applin/4.2.126.</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Style w:val="Hyperlink"/>
          <w:rFonts w:ascii="Tahoma" w:hAnsi="Tahoma" w:cs="Tahoma"/>
          <w:color w:val="000000" w:themeColor="text1"/>
          <w:u w:val="none"/>
        </w:rPr>
      </w:pPr>
      <w:r w:rsidRPr="000261D1">
        <w:rPr>
          <w:rStyle w:val="Hyperlink"/>
          <w:rFonts w:ascii="Tahoma" w:hAnsi="Tahoma" w:cs="Tahoma"/>
          <w:color w:val="000000" w:themeColor="text1"/>
          <w:u w:val="none"/>
        </w:rPr>
        <w:t>Madathil, K. C. et al. (2017). An empirical study investigating the effectiveness of</w:t>
      </w:r>
    </w:p>
    <w:p w:rsidR="00AA6EE7" w:rsidRDefault="002B1038" w:rsidP="002B1038">
      <w:pPr>
        <w:spacing w:line="360" w:lineRule="auto"/>
        <w:ind w:left="720" w:hanging="720"/>
        <w:rPr>
          <w:rStyle w:val="Hyperlink"/>
          <w:rFonts w:ascii="Tahoma" w:hAnsi="Tahoma" w:cs="Tahoma"/>
          <w:color w:val="000000" w:themeColor="text1"/>
          <w:u w:val="none"/>
        </w:rPr>
      </w:pPr>
      <w:r w:rsidRPr="000261D1">
        <w:rPr>
          <w:rStyle w:val="Hyperlink"/>
          <w:rFonts w:ascii="Tahoma" w:hAnsi="Tahoma" w:cs="Tahoma"/>
          <w:color w:val="000000" w:themeColor="text1"/>
          <w:u w:val="none"/>
        </w:rPr>
        <w:t>integrating virtual reality-based case studies into an online asynchronous learning</w:t>
      </w:r>
    </w:p>
    <w:p w:rsidR="002B1038" w:rsidRPr="000261D1" w:rsidRDefault="002B1038" w:rsidP="002B1038">
      <w:pPr>
        <w:spacing w:line="360" w:lineRule="auto"/>
        <w:ind w:left="720" w:hanging="720"/>
        <w:rPr>
          <w:rStyle w:val="Hyperlink"/>
          <w:rFonts w:ascii="Tahoma" w:hAnsi="Tahoma" w:cs="Tahoma"/>
          <w:color w:val="000000" w:themeColor="text1"/>
          <w:u w:val="none"/>
        </w:rPr>
      </w:pPr>
      <w:r w:rsidRPr="000261D1">
        <w:rPr>
          <w:rStyle w:val="Hyperlink"/>
          <w:rFonts w:ascii="Tahoma" w:hAnsi="Tahoma" w:cs="Tahoma"/>
          <w:color w:val="000000" w:themeColor="text1"/>
          <w:u w:val="none"/>
        </w:rPr>
        <w:t xml:space="preserve">environment. </w:t>
      </w:r>
      <w:r w:rsidRPr="000261D1">
        <w:rPr>
          <w:rStyle w:val="Hyperlink"/>
          <w:rFonts w:ascii="Tahoma" w:hAnsi="Tahoma" w:cs="Tahoma"/>
          <w:i/>
          <w:color w:val="000000" w:themeColor="text1"/>
          <w:u w:val="none"/>
        </w:rPr>
        <w:t>Computers in Education Journal, 8</w:t>
      </w:r>
      <w:r w:rsidR="00AA6EE7">
        <w:rPr>
          <w:rStyle w:val="Hyperlink"/>
          <w:rFonts w:ascii="Tahoma" w:hAnsi="Tahoma" w:cs="Tahoma"/>
          <w:i/>
          <w:color w:val="000000" w:themeColor="text1"/>
          <w:u w:val="none"/>
        </w:rPr>
        <w:t xml:space="preserve"> </w:t>
      </w:r>
      <w:r w:rsidRPr="000261D1">
        <w:rPr>
          <w:rStyle w:val="Hyperlink"/>
          <w:rFonts w:ascii="Tahoma" w:hAnsi="Tahoma" w:cs="Tahoma"/>
          <w:color w:val="000000" w:themeColor="text1"/>
          <w:u w:val="none"/>
        </w:rPr>
        <w:t>(3), 1-10.</w:t>
      </w:r>
    </w:p>
    <w:p w:rsidR="002B1038" w:rsidRPr="000261D1" w:rsidRDefault="002B1038" w:rsidP="002B1038">
      <w:pPr>
        <w:spacing w:line="360" w:lineRule="auto"/>
        <w:ind w:left="720" w:hanging="720"/>
        <w:rPr>
          <w:rStyle w:val="Hyperlink"/>
          <w:rFonts w:ascii="Tahoma" w:hAnsi="Tahoma" w:cs="Tahoma"/>
          <w:color w:val="000000" w:themeColor="text1"/>
          <w:u w:val="none"/>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Maher, P. A., Schrader, P. G., Ormond, J., &amp; Kerr, A. W. (2015). How can</w:t>
      </w: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simulations promote learning in science? An exploratory study to examine two</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simulation tools. </w:t>
      </w:r>
      <w:r w:rsidRPr="000261D1">
        <w:rPr>
          <w:rFonts w:ascii="Tahoma" w:hAnsi="Tahoma" w:cs="Tahoma"/>
          <w:i/>
          <w:color w:val="000000" w:themeColor="text1"/>
        </w:rPr>
        <w:t>Planetarium</w:t>
      </w:r>
      <w:r w:rsidRPr="000261D1">
        <w:rPr>
          <w:rFonts w:ascii="Tahoma" w:hAnsi="Tahoma" w:cs="Tahoma"/>
          <w:color w:val="000000" w:themeColor="text1"/>
        </w:rPr>
        <w:t xml:space="preserve">, 24-38. </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Maslow, A. H. (1943). A theory of human motivation</w:t>
      </w:r>
      <w:r w:rsidRPr="000261D1">
        <w:rPr>
          <w:rFonts w:ascii="Tahoma" w:hAnsi="Tahoma" w:cs="Tahoma"/>
          <w:i/>
          <w:color w:val="000000" w:themeColor="text1"/>
        </w:rPr>
        <w:t>. Psychological Review,</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50</w:t>
      </w:r>
      <w:r w:rsidR="00AA6EE7">
        <w:rPr>
          <w:rFonts w:ascii="Tahoma" w:hAnsi="Tahoma" w:cs="Tahoma"/>
          <w:i/>
          <w:color w:val="000000" w:themeColor="text1"/>
        </w:rPr>
        <w:t xml:space="preserve"> </w:t>
      </w:r>
      <w:r w:rsidRPr="000261D1">
        <w:rPr>
          <w:rFonts w:ascii="Tahoma" w:hAnsi="Tahoma" w:cs="Tahoma"/>
          <w:color w:val="000000" w:themeColor="text1"/>
        </w:rPr>
        <w:t>(4), 370-396. doi:10.1037/h0054346.</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McLeod, J. (2001). </w:t>
      </w:r>
      <w:r w:rsidRPr="000261D1">
        <w:rPr>
          <w:rFonts w:ascii="Tahoma" w:hAnsi="Tahoma" w:cs="Tahoma"/>
          <w:i/>
          <w:color w:val="000000" w:themeColor="text1"/>
        </w:rPr>
        <w:t>Qualitative research in counseling and psychotherapy</w:t>
      </w:r>
      <w:r w:rsidRPr="000261D1">
        <w:rPr>
          <w:rFonts w:ascii="Tahoma" w:hAnsi="Tahoma" w:cs="Tahoma"/>
          <w:color w:val="000000" w:themeColor="text1"/>
        </w:rPr>
        <w:t xml:space="preserve">. </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London, UK: Sage.</w:t>
      </w:r>
    </w:p>
    <w:p w:rsidR="002B1038" w:rsidRPr="000261D1" w:rsidRDefault="002B1038" w:rsidP="002B1038">
      <w:pPr>
        <w:spacing w:line="360" w:lineRule="auto"/>
        <w:ind w:left="720" w:hanging="720"/>
        <w:rPr>
          <w:rFonts w:ascii="Tahoma" w:hAnsi="Tahoma" w:cs="Tahoma"/>
          <w:color w:val="000000" w:themeColor="text1"/>
        </w:rPr>
      </w:pPr>
    </w:p>
    <w:p w:rsidR="002B1038" w:rsidRPr="00566362" w:rsidRDefault="002B1038" w:rsidP="00AA6EE7">
      <w:pPr>
        <w:spacing w:line="360" w:lineRule="auto"/>
        <w:rPr>
          <w:rFonts w:ascii="Tahoma" w:hAnsi="Tahoma" w:cs="Tahoma"/>
          <w:color w:val="000000" w:themeColor="text1"/>
          <w:u w:val="single"/>
        </w:rPr>
      </w:pPr>
      <w:r w:rsidRPr="000261D1">
        <w:rPr>
          <w:rFonts w:ascii="Tahoma" w:hAnsi="Tahoma" w:cs="Tahoma"/>
          <w:color w:val="000000" w:themeColor="text1"/>
        </w:rPr>
        <w:t xml:space="preserve">Merriam-Webster (n.d.). </w:t>
      </w:r>
      <w:r w:rsidRPr="000261D1">
        <w:rPr>
          <w:rFonts w:ascii="Tahoma" w:hAnsi="Tahoma" w:cs="Tahoma"/>
          <w:i/>
          <w:color w:val="000000" w:themeColor="text1"/>
        </w:rPr>
        <w:t>Technophobia</w:t>
      </w:r>
      <w:r w:rsidRPr="000261D1">
        <w:rPr>
          <w:rFonts w:ascii="Tahoma" w:hAnsi="Tahoma" w:cs="Tahoma"/>
          <w:color w:val="000000" w:themeColor="text1"/>
        </w:rPr>
        <w:t xml:space="preserve">. </w:t>
      </w:r>
      <w:r>
        <w:rPr>
          <w:rFonts w:ascii="Tahoma" w:hAnsi="Tahoma" w:cs="Tahoma"/>
          <w:color w:val="000000" w:themeColor="text1"/>
        </w:rPr>
        <w:t>Available at:</w:t>
      </w:r>
      <w:hyperlink r:id="rId19" w:history="1">
        <w:r w:rsidRPr="000261D1">
          <w:rPr>
            <w:rStyle w:val="Hyperlink"/>
            <w:rFonts w:ascii="Tahoma" w:hAnsi="Tahoma" w:cs="Tahoma"/>
            <w:color w:val="000000" w:themeColor="text1"/>
          </w:rPr>
          <w:t>https://www.merriam-webster.com/dictionary/technophobia</w:t>
        </w:r>
      </w:hyperlink>
      <w:r w:rsidR="00AA6EE7">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Metz, R. (2017, January 27). Second Life is back for a third life, this time in</w:t>
      </w:r>
    </w:p>
    <w:p w:rsidR="002B1038" w:rsidRPr="00566362" w:rsidRDefault="002B1038" w:rsidP="00AA6EE7">
      <w:pPr>
        <w:spacing w:line="360" w:lineRule="auto"/>
        <w:rPr>
          <w:rFonts w:ascii="Tahoma" w:hAnsi="Tahoma" w:cs="Tahoma"/>
          <w:color w:val="000000" w:themeColor="text1"/>
          <w:u w:val="single"/>
        </w:rPr>
      </w:pPr>
      <w:r w:rsidRPr="000261D1">
        <w:rPr>
          <w:rFonts w:ascii="Tahoma" w:hAnsi="Tahoma" w:cs="Tahoma"/>
          <w:color w:val="000000" w:themeColor="text1"/>
        </w:rPr>
        <w:t xml:space="preserve">virtual reality. </w:t>
      </w:r>
      <w:r>
        <w:rPr>
          <w:rFonts w:ascii="Tahoma" w:hAnsi="Tahoma" w:cs="Tahoma"/>
          <w:color w:val="000000" w:themeColor="text1"/>
        </w:rPr>
        <w:t xml:space="preserve">Available </w:t>
      </w:r>
      <w:r w:rsidR="00AA6EE7">
        <w:rPr>
          <w:rFonts w:ascii="Tahoma" w:hAnsi="Tahoma" w:cs="Tahoma"/>
          <w:color w:val="000000" w:themeColor="text1"/>
        </w:rPr>
        <w:t>a</w:t>
      </w:r>
      <w:r>
        <w:rPr>
          <w:rFonts w:ascii="Tahoma" w:hAnsi="Tahoma" w:cs="Tahoma"/>
          <w:color w:val="000000" w:themeColor="text1"/>
        </w:rPr>
        <w:t>t:</w:t>
      </w:r>
      <w:r w:rsidR="00AA6EE7">
        <w:rPr>
          <w:rFonts w:ascii="Tahoma" w:hAnsi="Tahoma" w:cs="Tahoma"/>
          <w:color w:val="000000" w:themeColor="text1"/>
        </w:rPr>
        <w:t xml:space="preserve"> </w:t>
      </w:r>
      <w:hyperlink r:id="rId20" w:history="1">
        <w:r w:rsidR="00AA6EE7" w:rsidRPr="00AA6EE7">
          <w:rPr>
            <w:rStyle w:val="Hyperlink"/>
            <w:rFonts w:ascii="Tahoma" w:hAnsi="Tahoma" w:cs="Tahoma"/>
            <w:color w:val="auto"/>
          </w:rPr>
          <w:t>https://www.technologyreview.com/s/603422/second-life-is-back-for-a-third-life-this-time-in-virtual-reality/</w:t>
        </w:r>
      </w:hyperlink>
      <w:r w:rsidR="00AA6EE7">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rPr>
          <w:rStyle w:val="Hyperlink"/>
          <w:rFonts w:ascii="Tahoma" w:hAnsi="Tahoma" w:cs="Tahoma"/>
          <w:color w:val="000000" w:themeColor="text1"/>
        </w:rPr>
      </w:pP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Meyer, A., Rose, D. H., &amp; Gordon, D. (2014). </w:t>
      </w:r>
      <w:r w:rsidRPr="000261D1">
        <w:rPr>
          <w:rFonts w:ascii="Tahoma" w:hAnsi="Tahoma" w:cs="Tahoma"/>
          <w:i/>
          <w:color w:val="000000" w:themeColor="text1"/>
        </w:rPr>
        <w:t>Universal design for learning:</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Theory and practice</w:t>
      </w:r>
      <w:r w:rsidRPr="000261D1">
        <w:rPr>
          <w:rFonts w:ascii="Tahoma" w:hAnsi="Tahoma" w:cs="Tahoma"/>
          <w:color w:val="000000" w:themeColor="text1"/>
        </w:rPr>
        <w:t>. Wakefield, MA: CAST Professional Publishing</w:t>
      </w:r>
      <w:r w:rsidR="00AA6EE7">
        <w:rPr>
          <w:rFonts w:ascii="Tahoma" w:hAnsi="Tahoma" w:cs="Tahoma"/>
          <w:color w:val="000000" w:themeColor="text1"/>
        </w:rPr>
        <w:t>.</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Nadolny, L., Woolfrey, J., Pierlott, M., Kahn, S. (2013). SciEthics interactive:</w:t>
      </w: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Science and ethics learning in a virtual environment. </w:t>
      </w:r>
      <w:r w:rsidRPr="000261D1">
        <w:rPr>
          <w:rFonts w:ascii="Tahoma" w:hAnsi="Tahoma" w:cs="Tahoma"/>
          <w:i/>
          <w:color w:val="000000" w:themeColor="text1"/>
        </w:rPr>
        <w:t xml:space="preserve">Educational Technology </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Research Development, 61</w:t>
      </w:r>
      <w:r w:rsidRPr="000261D1">
        <w:rPr>
          <w:rFonts w:ascii="Tahoma" w:hAnsi="Tahoma" w:cs="Tahoma"/>
          <w:color w:val="000000" w:themeColor="text1"/>
        </w:rPr>
        <w:t>, 979-999. doi:10.1007/s11423-013-9319-0.</w:t>
      </w: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National Center on Universal Design for Learning (2015). Background information</w:t>
      </w:r>
    </w:p>
    <w:p w:rsidR="002B1038" w:rsidRPr="00AA6EE7" w:rsidRDefault="002B1038" w:rsidP="00AA6EE7">
      <w:pPr>
        <w:spacing w:line="360" w:lineRule="auto"/>
        <w:rPr>
          <w:rFonts w:ascii="Tahoma" w:hAnsi="Tahoma" w:cs="Tahoma"/>
          <w:u w:val="single"/>
        </w:rPr>
      </w:pPr>
      <w:r w:rsidRPr="000261D1">
        <w:rPr>
          <w:rFonts w:ascii="Tahoma" w:hAnsi="Tahoma" w:cs="Tahoma"/>
          <w:color w:val="000000" w:themeColor="text1"/>
        </w:rPr>
        <w:t xml:space="preserve">about UDL. </w:t>
      </w:r>
      <w:r>
        <w:rPr>
          <w:rFonts w:ascii="Tahoma" w:hAnsi="Tahoma" w:cs="Tahoma"/>
          <w:color w:val="000000" w:themeColor="text1"/>
        </w:rPr>
        <w:t xml:space="preserve">Available </w:t>
      </w:r>
      <w:r w:rsidR="00AA6EE7">
        <w:rPr>
          <w:rFonts w:ascii="Tahoma" w:hAnsi="Tahoma" w:cs="Tahoma"/>
          <w:color w:val="000000" w:themeColor="text1"/>
        </w:rPr>
        <w:t>a</w:t>
      </w:r>
      <w:r>
        <w:rPr>
          <w:rFonts w:ascii="Tahoma" w:hAnsi="Tahoma" w:cs="Tahoma"/>
          <w:color w:val="000000" w:themeColor="text1"/>
        </w:rPr>
        <w:t>t:</w:t>
      </w:r>
      <w:r w:rsidR="00AA6EE7">
        <w:rPr>
          <w:rFonts w:ascii="Tahoma" w:hAnsi="Tahoma" w:cs="Tahoma"/>
          <w:color w:val="000000" w:themeColor="text1"/>
        </w:rPr>
        <w:t xml:space="preserve"> </w:t>
      </w:r>
      <w:hyperlink r:id="rId21" w:history="1">
        <w:r w:rsidR="00AA6EE7" w:rsidRPr="00AA6EE7">
          <w:rPr>
            <w:rStyle w:val="Hyperlink"/>
            <w:rFonts w:ascii="Tahoma" w:hAnsi="Tahoma" w:cs="Tahoma"/>
            <w:color w:val="auto"/>
          </w:rPr>
          <w:t>http://www.udlcenter.org/aboutudl/take_a_tour_udl</w:t>
        </w:r>
      </w:hyperlink>
      <w:r w:rsidR="00AA6EE7" w:rsidRPr="00AA6EE7">
        <w:t xml:space="preserve"> </w:t>
      </w:r>
      <w:r w:rsidRPr="00AA6EE7">
        <w:rPr>
          <w:rStyle w:val="Hyperlink"/>
          <w:rFonts w:ascii="Tahoma" w:hAnsi="Tahoma" w:cs="Tahoma"/>
          <w:color w:val="auto"/>
          <w:u w:val="none"/>
        </w:rPr>
        <w:t>(Accessed: 29th July 2018).</w:t>
      </w:r>
    </w:p>
    <w:p w:rsidR="002B1038" w:rsidRPr="000261D1" w:rsidRDefault="002B1038" w:rsidP="002B1038">
      <w:pPr>
        <w:spacing w:line="360" w:lineRule="auto"/>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Newton, P. M. (2015). The learning styles myth is thriving in higher education.</w:t>
      </w: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Frontiers in Psychology, 6</w:t>
      </w:r>
      <w:r w:rsidR="00AA6EE7">
        <w:rPr>
          <w:rFonts w:ascii="Tahoma" w:hAnsi="Tahoma" w:cs="Tahoma"/>
          <w:i/>
          <w:color w:val="000000" w:themeColor="text1"/>
        </w:rPr>
        <w:t xml:space="preserve"> </w:t>
      </w:r>
      <w:r w:rsidRPr="000261D1">
        <w:rPr>
          <w:rFonts w:ascii="Tahoma" w:hAnsi="Tahoma" w:cs="Tahoma"/>
          <w:color w:val="000000" w:themeColor="text1"/>
        </w:rPr>
        <w:t xml:space="preserve">(1908), 1-5. </w:t>
      </w:r>
      <w:r>
        <w:rPr>
          <w:rFonts w:ascii="Tahoma" w:hAnsi="Tahoma" w:cs="Tahoma"/>
          <w:color w:val="000000" w:themeColor="text1"/>
        </w:rPr>
        <w:t>Available at:</w:t>
      </w:r>
    </w:p>
    <w:p w:rsidR="002B1038" w:rsidRPr="00566362" w:rsidRDefault="00B676F3" w:rsidP="002B1038">
      <w:pPr>
        <w:spacing w:line="360" w:lineRule="auto"/>
        <w:ind w:left="720" w:hanging="720"/>
        <w:rPr>
          <w:rStyle w:val="Hyperlink"/>
          <w:rFonts w:ascii="Tahoma" w:hAnsi="Tahoma" w:cs="Tahoma"/>
          <w:color w:val="000000" w:themeColor="text1"/>
        </w:rPr>
      </w:pPr>
      <w:hyperlink r:id="rId22" w:history="1">
        <w:r w:rsidR="002B1038" w:rsidRPr="000261D1">
          <w:rPr>
            <w:rStyle w:val="Hyperlink"/>
            <w:rFonts w:ascii="Tahoma" w:hAnsi="Tahoma" w:cs="Tahoma"/>
            <w:color w:val="000000" w:themeColor="text1"/>
            <w:shd w:val="clear" w:color="auto" w:fill="FFFFFF"/>
          </w:rPr>
          <w:t>https://doi.org/10.3389/fpsyg.2015.01908</w:t>
        </w:r>
      </w:hyperlink>
      <w:r w:rsidR="00AA6EE7">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eastAsia="Times New Roman" w:hAnsi="Tahoma" w:cs="Tahoma"/>
          <w:color w:val="000000" w:themeColor="text1"/>
          <w:shd w:val="clear" w:color="auto" w:fill="FFFFFF"/>
        </w:rPr>
      </w:pPr>
    </w:p>
    <w:p w:rsidR="00AA6EE7" w:rsidRDefault="002B1038" w:rsidP="002B1038">
      <w:pPr>
        <w:spacing w:line="360" w:lineRule="auto"/>
        <w:ind w:left="720" w:hanging="720"/>
        <w:rPr>
          <w:rFonts w:ascii="Tahoma" w:eastAsia="Times New Roman" w:hAnsi="Tahoma" w:cs="Tahoma"/>
          <w:color w:val="000000" w:themeColor="text1"/>
          <w:shd w:val="clear" w:color="auto" w:fill="FFFFFF"/>
        </w:rPr>
      </w:pPr>
      <w:r w:rsidRPr="000261D1">
        <w:rPr>
          <w:rFonts w:ascii="Tahoma" w:eastAsia="Times New Roman" w:hAnsi="Tahoma" w:cs="Tahoma"/>
          <w:color w:val="000000" w:themeColor="text1"/>
          <w:shd w:val="clear" w:color="auto" w:fill="FFFFFF"/>
        </w:rPr>
        <w:t>Newton, P. M., &amp; Miah, M. (2017). Evidence-based higher education – Is the</w:t>
      </w:r>
    </w:p>
    <w:p w:rsidR="00AA6EE7" w:rsidRDefault="002B1038" w:rsidP="002B1038">
      <w:pPr>
        <w:spacing w:line="360" w:lineRule="auto"/>
        <w:ind w:left="720" w:hanging="720"/>
        <w:rPr>
          <w:rFonts w:ascii="Tahoma" w:eastAsia="Times New Roman" w:hAnsi="Tahoma" w:cs="Tahoma"/>
          <w:color w:val="000000" w:themeColor="text1"/>
          <w:shd w:val="clear" w:color="auto" w:fill="FFFFFF"/>
        </w:rPr>
      </w:pPr>
      <w:r w:rsidRPr="000261D1">
        <w:rPr>
          <w:rFonts w:ascii="Tahoma" w:eastAsia="Times New Roman" w:hAnsi="Tahoma" w:cs="Tahoma"/>
          <w:color w:val="000000" w:themeColor="text1"/>
          <w:shd w:val="clear" w:color="auto" w:fill="FFFFFF"/>
        </w:rPr>
        <w:t>learning styles “myth” important? </w:t>
      </w:r>
      <w:r w:rsidRPr="000261D1">
        <w:rPr>
          <w:rFonts w:ascii="Tahoma" w:eastAsia="Times New Roman" w:hAnsi="Tahoma" w:cs="Tahoma"/>
          <w:i/>
          <w:iCs/>
          <w:color w:val="000000" w:themeColor="text1"/>
          <w:shd w:val="clear" w:color="auto" w:fill="FFFFFF"/>
        </w:rPr>
        <w:t>Frontiers in Psychology</w:t>
      </w:r>
      <w:r w:rsidRPr="000261D1">
        <w:rPr>
          <w:rFonts w:ascii="Tahoma" w:eastAsia="Times New Roman" w:hAnsi="Tahoma" w:cs="Tahoma"/>
          <w:color w:val="000000" w:themeColor="text1"/>
          <w:shd w:val="clear" w:color="auto" w:fill="FFFFFF"/>
        </w:rPr>
        <w:t>, </w:t>
      </w:r>
      <w:r w:rsidRPr="000261D1">
        <w:rPr>
          <w:rFonts w:ascii="Tahoma" w:eastAsia="Times New Roman" w:hAnsi="Tahoma" w:cs="Tahoma"/>
          <w:i/>
          <w:iCs/>
          <w:color w:val="000000" w:themeColor="text1"/>
          <w:shd w:val="clear" w:color="auto" w:fill="FFFFFF"/>
        </w:rPr>
        <w:t>8</w:t>
      </w:r>
      <w:r w:rsidR="00AA6EE7">
        <w:rPr>
          <w:rFonts w:ascii="Tahoma" w:eastAsia="Times New Roman" w:hAnsi="Tahoma" w:cs="Tahoma"/>
          <w:i/>
          <w:iCs/>
          <w:color w:val="000000" w:themeColor="text1"/>
          <w:shd w:val="clear" w:color="auto" w:fill="FFFFFF"/>
        </w:rPr>
        <w:t xml:space="preserve"> </w:t>
      </w:r>
      <w:r w:rsidRPr="000261D1">
        <w:rPr>
          <w:rFonts w:ascii="Tahoma" w:eastAsia="Times New Roman" w:hAnsi="Tahoma" w:cs="Tahoma"/>
          <w:color w:val="000000" w:themeColor="text1"/>
          <w:shd w:val="clear" w:color="auto" w:fill="FFFFFF"/>
        </w:rPr>
        <w:t xml:space="preserve">(444), 1-9. </w:t>
      </w:r>
      <w:r>
        <w:rPr>
          <w:rFonts w:ascii="Tahoma" w:eastAsia="Times New Roman" w:hAnsi="Tahoma" w:cs="Tahoma"/>
          <w:color w:val="000000" w:themeColor="text1"/>
          <w:shd w:val="clear" w:color="auto" w:fill="FFFFFF"/>
        </w:rPr>
        <w:t>Available</w:t>
      </w:r>
    </w:p>
    <w:p w:rsidR="002B1038" w:rsidRPr="00566362" w:rsidRDefault="002B1038" w:rsidP="002B1038">
      <w:pPr>
        <w:spacing w:line="360" w:lineRule="auto"/>
        <w:ind w:left="720" w:hanging="720"/>
        <w:rPr>
          <w:rStyle w:val="Hyperlink"/>
          <w:rFonts w:ascii="Tahoma" w:hAnsi="Tahoma" w:cs="Tahoma"/>
          <w:color w:val="000000" w:themeColor="text1"/>
        </w:rPr>
      </w:pPr>
      <w:r>
        <w:rPr>
          <w:rFonts w:ascii="Tahoma" w:eastAsia="Times New Roman" w:hAnsi="Tahoma" w:cs="Tahoma"/>
          <w:color w:val="000000" w:themeColor="text1"/>
          <w:shd w:val="clear" w:color="auto" w:fill="FFFFFF"/>
        </w:rPr>
        <w:t xml:space="preserve">at: </w:t>
      </w:r>
      <w:hyperlink r:id="rId23" w:history="1">
        <w:r w:rsidRPr="000261D1">
          <w:rPr>
            <w:rStyle w:val="Hyperlink"/>
            <w:rFonts w:ascii="Tahoma" w:eastAsia="Times New Roman" w:hAnsi="Tahoma" w:cs="Tahoma"/>
            <w:color w:val="000000" w:themeColor="text1"/>
            <w:shd w:val="clear" w:color="auto" w:fill="FFFFFF"/>
          </w:rPr>
          <w:t>http://doi.org/10.3389/fpsyg.2017.00444</w:t>
        </w:r>
      </w:hyperlink>
      <w:r w:rsidR="00AA6EE7">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2B1038" w:rsidRPr="000261D1" w:rsidRDefault="002B1038"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Niantic Incorporated (2</w:t>
      </w:r>
      <w:r>
        <w:rPr>
          <w:rFonts w:ascii="Tahoma" w:hAnsi="Tahoma" w:cs="Tahoma"/>
          <w:color w:val="000000" w:themeColor="text1"/>
        </w:rPr>
        <w:t>016). Pokemon Go. Available at:</w:t>
      </w:r>
      <w:r w:rsidR="00AA6EE7">
        <w:rPr>
          <w:rFonts w:ascii="Tahoma" w:hAnsi="Tahoma" w:cs="Tahoma"/>
          <w:color w:val="000000" w:themeColor="text1"/>
        </w:rPr>
        <w:t xml:space="preserve"> </w:t>
      </w:r>
    </w:p>
    <w:p w:rsidR="002B1038" w:rsidRPr="00566362" w:rsidRDefault="00B676F3" w:rsidP="002B1038">
      <w:pPr>
        <w:spacing w:line="360" w:lineRule="auto"/>
        <w:ind w:left="720" w:hanging="720"/>
        <w:rPr>
          <w:rStyle w:val="Hyperlink"/>
          <w:rFonts w:ascii="Tahoma" w:hAnsi="Tahoma" w:cs="Tahoma"/>
          <w:color w:val="000000" w:themeColor="text1"/>
        </w:rPr>
      </w:pPr>
      <w:hyperlink r:id="rId24" w:history="1">
        <w:r w:rsidR="002B1038" w:rsidRPr="000261D1">
          <w:rPr>
            <w:rStyle w:val="Hyperlink"/>
            <w:rFonts w:ascii="Tahoma" w:hAnsi="Tahoma" w:cs="Tahoma"/>
            <w:color w:val="000000" w:themeColor="text1"/>
          </w:rPr>
          <w:t>https://www.pokemongo.com/</w:t>
        </w:r>
      </w:hyperlink>
      <w:r w:rsidR="00AA6EE7">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Nissim, Y., &amp; Weissblueth, E. (2017). Virtual Reality (VR) as a source for self-</w:t>
      </w: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efficacy in teacher training. </w:t>
      </w:r>
      <w:r w:rsidRPr="000261D1">
        <w:rPr>
          <w:rFonts w:ascii="Tahoma" w:hAnsi="Tahoma" w:cs="Tahoma"/>
          <w:i/>
          <w:color w:val="000000" w:themeColor="text1"/>
        </w:rPr>
        <w:t>International Education Studies, 10</w:t>
      </w:r>
      <w:r w:rsidR="00AA6EE7">
        <w:rPr>
          <w:rFonts w:ascii="Tahoma" w:hAnsi="Tahoma" w:cs="Tahoma"/>
          <w:i/>
          <w:color w:val="000000" w:themeColor="text1"/>
        </w:rPr>
        <w:t xml:space="preserve"> </w:t>
      </w:r>
      <w:r w:rsidRPr="000261D1">
        <w:rPr>
          <w:rFonts w:ascii="Tahoma" w:hAnsi="Tahoma" w:cs="Tahoma"/>
          <w:color w:val="000000" w:themeColor="text1"/>
        </w:rPr>
        <w:t>(8), 52-59.</w:t>
      </w:r>
    </w:p>
    <w:p w:rsidR="002B1038" w:rsidRPr="00566362" w:rsidRDefault="002B1038" w:rsidP="002B1038">
      <w:pPr>
        <w:spacing w:line="360" w:lineRule="auto"/>
        <w:ind w:left="720" w:hanging="720"/>
        <w:rPr>
          <w:rStyle w:val="Hyperlink"/>
          <w:rFonts w:ascii="Tahoma" w:hAnsi="Tahoma" w:cs="Tahoma"/>
          <w:color w:val="000000" w:themeColor="text1"/>
        </w:rPr>
      </w:pPr>
      <w:r>
        <w:rPr>
          <w:rFonts w:ascii="Tahoma" w:hAnsi="Tahoma" w:cs="Tahoma"/>
          <w:color w:val="000000" w:themeColor="text1"/>
        </w:rPr>
        <w:t>Available at:</w:t>
      </w:r>
      <w:r w:rsidR="00AA6EE7">
        <w:rPr>
          <w:rFonts w:ascii="Tahoma" w:hAnsi="Tahoma" w:cs="Tahoma"/>
          <w:color w:val="000000" w:themeColor="text1"/>
        </w:rPr>
        <w:t xml:space="preserve"> </w:t>
      </w:r>
      <w:hyperlink r:id="rId25" w:history="1">
        <w:r w:rsidRPr="000261D1">
          <w:rPr>
            <w:rStyle w:val="Hyperlink"/>
            <w:rFonts w:ascii="Tahoma" w:hAnsi="Tahoma" w:cs="Tahoma"/>
            <w:color w:val="000000" w:themeColor="text1"/>
            <w:lang w:val="en-CA"/>
          </w:rPr>
          <w:t>https://doi.org/10.5539/ies.v10n8p52</w:t>
        </w:r>
      </w:hyperlink>
      <w:r w:rsidR="00AA6EE7">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AA6EE7" w:rsidRDefault="00AA6EE7" w:rsidP="002B1038">
      <w:pPr>
        <w:spacing w:line="360" w:lineRule="auto"/>
        <w:ind w:left="720" w:hanging="720"/>
        <w:rPr>
          <w:rFonts w:ascii="Tahoma" w:hAnsi="Tahoma" w:cs="Tahoma"/>
          <w:color w:val="000000" w:themeColor="text1"/>
        </w:rPr>
      </w:pPr>
    </w:p>
    <w:p w:rsidR="00AA6EE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Ochoa-Alpala, C. A., &amp; Ortiz-Garcia, W. R. (2018). Creating machinima (3D) and</w:t>
      </w:r>
    </w:p>
    <w:p w:rsidR="00AA6EE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 real life videos in an ESP classroom. </w:t>
      </w:r>
      <w:r w:rsidRPr="000261D1">
        <w:rPr>
          <w:rFonts w:ascii="Tahoma" w:hAnsi="Tahoma" w:cs="Tahoma"/>
          <w:i/>
          <w:color w:val="000000" w:themeColor="text1"/>
        </w:rPr>
        <w:t>Profile: Issues in Teachers’ Professional</w:t>
      </w:r>
    </w:p>
    <w:p w:rsidR="002B1038" w:rsidRPr="00566362" w:rsidRDefault="002B1038" w:rsidP="00052C4D">
      <w:pPr>
        <w:spacing w:line="360" w:lineRule="auto"/>
        <w:rPr>
          <w:rStyle w:val="Hyperlink"/>
          <w:rFonts w:ascii="Tahoma" w:hAnsi="Tahoma" w:cs="Tahoma"/>
          <w:color w:val="000000" w:themeColor="text1"/>
        </w:rPr>
      </w:pPr>
      <w:r w:rsidRPr="000261D1">
        <w:rPr>
          <w:rFonts w:ascii="Tahoma" w:hAnsi="Tahoma" w:cs="Tahoma"/>
          <w:i/>
          <w:color w:val="000000" w:themeColor="text1"/>
        </w:rPr>
        <w:t>Development, 20</w:t>
      </w:r>
      <w:r w:rsidR="00052C4D">
        <w:rPr>
          <w:rFonts w:ascii="Tahoma" w:hAnsi="Tahoma" w:cs="Tahoma"/>
          <w:i/>
          <w:color w:val="000000" w:themeColor="text1"/>
        </w:rPr>
        <w:t xml:space="preserve"> </w:t>
      </w:r>
      <w:r w:rsidRPr="000261D1">
        <w:rPr>
          <w:rFonts w:ascii="Tahoma" w:hAnsi="Tahoma" w:cs="Tahoma"/>
          <w:color w:val="000000" w:themeColor="text1"/>
        </w:rPr>
        <w:t xml:space="preserve">(1), 41-56. </w:t>
      </w:r>
      <w:r>
        <w:rPr>
          <w:rFonts w:ascii="Tahoma" w:hAnsi="Tahoma" w:cs="Tahoma"/>
          <w:color w:val="000000" w:themeColor="text1"/>
        </w:rPr>
        <w:t>Available at:</w:t>
      </w:r>
      <w:r w:rsidR="00052C4D">
        <w:rPr>
          <w:rFonts w:ascii="Tahoma" w:hAnsi="Tahoma" w:cs="Tahoma"/>
          <w:color w:val="000000" w:themeColor="text1"/>
        </w:rPr>
        <w:t xml:space="preserve"> </w:t>
      </w:r>
      <w:hyperlink r:id="rId26" w:history="1">
        <w:r w:rsidR="00052C4D" w:rsidRPr="00BE4A6F">
          <w:rPr>
            <w:rStyle w:val="Hyperlink"/>
            <w:rFonts w:ascii="Tahoma" w:hAnsi="Tahoma" w:cs="Tahoma"/>
          </w:rPr>
          <w:t>https://doi.org/10.15446/profile.v20n1.59412</w:t>
        </w:r>
      </w:hyperlink>
      <w:r w:rsidR="00052C4D">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Olsson, T., Lagerstam, E-M., Karkkainen, T., &amp; Vaananen-Vainio-Mattila, K.</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(2013). Expected user experience of mobile augmented reality services: A user</w:t>
      </w:r>
    </w:p>
    <w:p w:rsidR="00DE1AE0"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study in the context of shopping centers. </w:t>
      </w:r>
      <w:r w:rsidRPr="000261D1">
        <w:rPr>
          <w:rFonts w:ascii="Tahoma" w:hAnsi="Tahoma" w:cs="Tahoma"/>
          <w:i/>
          <w:color w:val="000000" w:themeColor="text1"/>
        </w:rPr>
        <w:t>Personal and Ubiquitous Computing,</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17</w:t>
      </w:r>
      <w:r w:rsidRPr="000261D1">
        <w:rPr>
          <w:rFonts w:ascii="Tahoma" w:hAnsi="Tahoma" w:cs="Tahoma"/>
          <w:color w:val="000000" w:themeColor="text1"/>
        </w:rPr>
        <w:t>, 287-304. doi:10.1007/s00779-011-0494-x.</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Onal, N., Ibili, E., &amp; Caliskan, E. (2017). Does teaching geometry with</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augmented reality affect the technology acceptance of elementary school</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mathematics teacher candidates? </w:t>
      </w:r>
      <w:r w:rsidRPr="000261D1">
        <w:rPr>
          <w:rFonts w:ascii="Tahoma" w:hAnsi="Tahoma" w:cs="Tahoma"/>
          <w:i/>
          <w:color w:val="000000" w:themeColor="text1"/>
        </w:rPr>
        <w:t>Journal of Education and Practice, 8</w:t>
      </w:r>
      <w:r w:rsidR="00DE1AE0">
        <w:rPr>
          <w:rFonts w:ascii="Tahoma" w:hAnsi="Tahoma" w:cs="Tahoma"/>
          <w:i/>
          <w:color w:val="000000" w:themeColor="text1"/>
        </w:rPr>
        <w:t xml:space="preserve"> </w:t>
      </w:r>
      <w:r w:rsidRPr="000261D1">
        <w:rPr>
          <w:rFonts w:ascii="Tahoma" w:hAnsi="Tahoma" w:cs="Tahoma"/>
          <w:color w:val="000000" w:themeColor="text1"/>
        </w:rPr>
        <w:t>(19), 151-</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163.</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Pan Y, &amp; Steed, A. (2017) The impact of self- avatars on trust and collaboration</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in shared virtual environments. </w:t>
      </w:r>
      <w:r w:rsidRPr="000261D1">
        <w:rPr>
          <w:rFonts w:ascii="Tahoma" w:hAnsi="Tahoma" w:cs="Tahoma"/>
          <w:i/>
          <w:color w:val="000000" w:themeColor="text1"/>
        </w:rPr>
        <w:t>PLoS ONE, 12</w:t>
      </w:r>
      <w:r w:rsidR="00DE1AE0">
        <w:rPr>
          <w:rFonts w:ascii="Tahoma" w:hAnsi="Tahoma" w:cs="Tahoma"/>
          <w:i/>
          <w:color w:val="000000" w:themeColor="text1"/>
        </w:rPr>
        <w:t xml:space="preserve"> </w:t>
      </w:r>
      <w:r w:rsidRPr="000261D1">
        <w:rPr>
          <w:rFonts w:ascii="Tahoma" w:hAnsi="Tahoma" w:cs="Tahoma"/>
          <w:color w:val="000000" w:themeColor="text1"/>
        </w:rPr>
        <w:t xml:space="preserve">(e0189078), 1-20. </w:t>
      </w:r>
      <w:r>
        <w:rPr>
          <w:rFonts w:ascii="Tahoma" w:hAnsi="Tahoma" w:cs="Tahoma"/>
          <w:color w:val="000000" w:themeColor="text1"/>
        </w:rPr>
        <w:t>Available at:</w:t>
      </w:r>
    </w:p>
    <w:p w:rsidR="002B1038" w:rsidRPr="00566362" w:rsidRDefault="00B676F3" w:rsidP="002B1038">
      <w:pPr>
        <w:spacing w:line="360" w:lineRule="auto"/>
        <w:ind w:left="720" w:hanging="720"/>
        <w:rPr>
          <w:rStyle w:val="Hyperlink"/>
          <w:rFonts w:ascii="Tahoma" w:hAnsi="Tahoma" w:cs="Tahoma"/>
          <w:color w:val="000000" w:themeColor="text1"/>
        </w:rPr>
      </w:pPr>
      <w:hyperlink r:id="rId27" w:history="1">
        <w:r w:rsidR="002B1038" w:rsidRPr="000261D1">
          <w:rPr>
            <w:rStyle w:val="Hyperlink"/>
            <w:rFonts w:ascii="Tahoma" w:hAnsi="Tahoma" w:cs="Tahoma"/>
            <w:color w:val="000000" w:themeColor="text1"/>
          </w:rPr>
          <w:t>https://doi.org/10.1371/journal.pone.0189078</w:t>
        </w:r>
      </w:hyperlink>
      <w:r w:rsidR="00DE1AE0">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i/>
          <w:iCs/>
          <w:color w:val="000000" w:themeColor="text1"/>
        </w:rPr>
      </w:pPr>
      <w:r w:rsidRPr="000261D1">
        <w:rPr>
          <w:rFonts w:ascii="Tahoma" w:hAnsi="Tahoma" w:cs="Tahoma"/>
          <w:color w:val="000000" w:themeColor="text1"/>
        </w:rPr>
        <w:t xml:space="preserve">Petticrew, M., &amp; Roberts, H. (2005). </w:t>
      </w:r>
      <w:r w:rsidRPr="000261D1">
        <w:rPr>
          <w:rFonts w:ascii="Tahoma" w:hAnsi="Tahoma" w:cs="Tahoma"/>
          <w:i/>
          <w:iCs/>
          <w:color w:val="000000" w:themeColor="text1"/>
        </w:rPr>
        <w:t>Systematic reviews in social sciences: A</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iCs/>
          <w:color w:val="000000" w:themeColor="text1"/>
        </w:rPr>
        <w:t xml:space="preserve">practical guide. </w:t>
      </w:r>
      <w:r w:rsidRPr="000261D1">
        <w:rPr>
          <w:rFonts w:ascii="Tahoma" w:hAnsi="Tahoma" w:cs="Tahoma"/>
          <w:color w:val="000000" w:themeColor="text1"/>
        </w:rPr>
        <w:t>Malden, MA: Wiley Blackwell.</w:t>
      </w:r>
    </w:p>
    <w:p w:rsidR="002B1038" w:rsidRPr="000261D1" w:rsidRDefault="002B1038" w:rsidP="002B1038">
      <w:pPr>
        <w:spacing w:line="360" w:lineRule="auto"/>
        <w:ind w:left="720" w:hanging="720"/>
        <w:rPr>
          <w:rFonts w:ascii="Tahoma" w:hAnsi="Tahoma" w:cs="Tahoma"/>
          <w:color w:val="000000" w:themeColor="text1"/>
        </w:rPr>
      </w:pP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Pinar, W. F. (2004). </w:t>
      </w:r>
      <w:r w:rsidRPr="000261D1">
        <w:rPr>
          <w:rFonts w:ascii="Tahoma" w:hAnsi="Tahoma" w:cs="Tahoma"/>
          <w:i/>
          <w:color w:val="000000" w:themeColor="text1"/>
        </w:rPr>
        <w:t>What is curriculum theory?</w:t>
      </w:r>
      <w:r w:rsidRPr="000261D1">
        <w:rPr>
          <w:rFonts w:ascii="Tahoma" w:hAnsi="Tahoma" w:cs="Tahoma"/>
          <w:color w:val="000000" w:themeColor="text1"/>
        </w:rPr>
        <w:t xml:space="preserve"> Mahwah, NJ: Lawrence Erlbaum.</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Reinsmith-Jones, K., Kibbe, S., Crayton, T., &amp; Campbell, E. (2015) Use of Second</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Life in social work education: Virtual world experiences and their effect on</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students. </w:t>
      </w:r>
      <w:r w:rsidRPr="000261D1">
        <w:rPr>
          <w:rFonts w:ascii="Tahoma" w:hAnsi="Tahoma" w:cs="Tahoma"/>
          <w:i/>
          <w:color w:val="000000" w:themeColor="text1"/>
        </w:rPr>
        <w:t>Journal of Social Work Education, 51</w:t>
      </w:r>
      <w:r w:rsidR="00DE1AE0">
        <w:rPr>
          <w:rFonts w:ascii="Tahoma" w:hAnsi="Tahoma" w:cs="Tahoma"/>
          <w:i/>
          <w:color w:val="000000" w:themeColor="text1"/>
        </w:rPr>
        <w:t xml:space="preserve"> </w:t>
      </w:r>
      <w:r w:rsidRPr="000261D1">
        <w:rPr>
          <w:rFonts w:ascii="Tahoma" w:hAnsi="Tahoma" w:cs="Tahoma"/>
          <w:color w:val="000000" w:themeColor="text1"/>
        </w:rPr>
        <w:t>(1), 90-108.</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doi:10.1080/10437797.2015.977167</w:t>
      </w:r>
      <w:r w:rsidR="00DE1AE0">
        <w:rPr>
          <w:rFonts w:ascii="Tahoma" w:hAnsi="Tahoma" w:cs="Tahoma"/>
          <w:color w:val="000000" w:themeColor="text1"/>
        </w:rPr>
        <w:t>.</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 xml:space="preserve">Saini, M., &amp; Shlonsky, A. (2012). </w:t>
      </w:r>
      <w:r w:rsidRPr="000261D1">
        <w:rPr>
          <w:rFonts w:ascii="Tahoma" w:hAnsi="Tahoma" w:cs="Tahoma"/>
          <w:i/>
          <w:color w:val="000000" w:themeColor="text1"/>
        </w:rPr>
        <w:t>Systematic synthesis of qualitative research</w:t>
      </w:r>
      <w:r w:rsidRPr="000261D1">
        <w:rPr>
          <w:rFonts w:ascii="Tahoma" w:hAnsi="Tahoma" w:cs="Tahoma"/>
          <w:color w:val="000000" w:themeColor="text1"/>
        </w:rPr>
        <w:t xml:space="preserve">. </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Oxford, UK: University of Oxford Press.</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Salmon, G. (2004). </w:t>
      </w:r>
      <w:r w:rsidRPr="000261D1">
        <w:rPr>
          <w:rFonts w:ascii="Tahoma" w:hAnsi="Tahoma" w:cs="Tahoma"/>
          <w:i/>
          <w:color w:val="000000" w:themeColor="text1"/>
        </w:rPr>
        <w:t>E-moderating: The key to teaching and learning online</w:t>
      </w:r>
      <w:r w:rsidRPr="000261D1">
        <w:rPr>
          <w:rFonts w:ascii="Tahoma" w:hAnsi="Tahoma" w:cs="Tahoma"/>
          <w:color w:val="000000" w:themeColor="text1"/>
        </w:rPr>
        <w:t xml:space="preserve"> (2</w:t>
      </w:r>
      <w:r w:rsidRPr="00DE1AE0">
        <w:rPr>
          <w:rFonts w:ascii="Tahoma" w:hAnsi="Tahoma" w:cs="Tahoma"/>
          <w:color w:val="000000" w:themeColor="text1"/>
          <w:vertAlign w:val="superscript"/>
        </w:rPr>
        <w:t>nd</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ed.). London, UK: Routledge Falmer.</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Speed, S. A., Bradley, E., &amp; Garland, K. V. (2015). Teaching adult learner</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characteristics and facilitation strategies through simulation-based practice.</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Journal of Educational Technology Systems, 44</w:t>
      </w:r>
      <w:r w:rsidR="00DE1AE0">
        <w:rPr>
          <w:rFonts w:ascii="Tahoma" w:hAnsi="Tahoma" w:cs="Tahoma"/>
          <w:i/>
          <w:color w:val="000000" w:themeColor="text1"/>
        </w:rPr>
        <w:t xml:space="preserve"> </w:t>
      </w:r>
      <w:r w:rsidRPr="000261D1">
        <w:rPr>
          <w:rFonts w:ascii="Tahoma" w:hAnsi="Tahoma" w:cs="Tahoma"/>
          <w:color w:val="000000" w:themeColor="text1"/>
        </w:rPr>
        <w:t>(2), 203-229.</w:t>
      </w:r>
    </w:p>
    <w:p w:rsidR="002B1038" w:rsidRPr="000261D1" w:rsidRDefault="002B1038" w:rsidP="002B1038">
      <w:pPr>
        <w:spacing w:line="360" w:lineRule="auto"/>
        <w:ind w:left="720" w:hanging="720"/>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Statista (n.d.). Statistics &amp; facts on augmented reality (AR). </w:t>
      </w:r>
      <w:r>
        <w:rPr>
          <w:rFonts w:ascii="Tahoma" w:hAnsi="Tahoma" w:cs="Tahoma"/>
          <w:color w:val="000000" w:themeColor="text1"/>
        </w:rPr>
        <w:t>Available at:</w:t>
      </w:r>
    </w:p>
    <w:p w:rsidR="00DE1AE0" w:rsidRDefault="00B676F3" w:rsidP="002B1038">
      <w:pPr>
        <w:spacing w:line="360" w:lineRule="auto"/>
        <w:ind w:left="720" w:hanging="720"/>
        <w:rPr>
          <w:rStyle w:val="Hyperlink"/>
          <w:rFonts w:ascii="Tahoma" w:hAnsi="Tahoma" w:cs="Tahoma"/>
          <w:color w:val="000000" w:themeColor="text1"/>
          <w:u w:val="none"/>
        </w:rPr>
      </w:pPr>
      <w:hyperlink r:id="rId28" w:history="1">
        <w:r w:rsidR="002B1038" w:rsidRPr="000261D1">
          <w:rPr>
            <w:rStyle w:val="Hyperlink"/>
            <w:rFonts w:ascii="Tahoma" w:hAnsi="Tahoma" w:cs="Tahoma"/>
            <w:color w:val="000000" w:themeColor="text1"/>
          </w:rPr>
          <w:t>https://www.statista.com/topics/3286/augmented-reality-ar/</w:t>
        </w:r>
      </w:hyperlink>
      <w:r w:rsidR="00DE1AE0">
        <w:t xml:space="preserve"> </w:t>
      </w:r>
      <w:r w:rsidR="002B1038">
        <w:rPr>
          <w:rStyle w:val="Hyperlink"/>
          <w:rFonts w:ascii="Tahoma" w:hAnsi="Tahoma" w:cs="Tahoma"/>
          <w:color w:val="000000" w:themeColor="text1"/>
          <w:u w:val="none"/>
        </w:rPr>
        <w:t>(Accessed: 28</w:t>
      </w:r>
      <w:r w:rsidR="002B1038" w:rsidRPr="00DE1AE0">
        <w:rPr>
          <w:rStyle w:val="Hyperlink"/>
          <w:rFonts w:ascii="Tahoma" w:hAnsi="Tahoma" w:cs="Tahoma"/>
          <w:color w:val="000000" w:themeColor="text1"/>
          <w:u w:val="none"/>
          <w:vertAlign w:val="superscript"/>
        </w:rPr>
        <w:t>th</w:t>
      </w:r>
    </w:p>
    <w:p w:rsidR="002B1038" w:rsidRPr="00566362" w:rsidRDefault="002B1038" w:rsidP="002B1038">
      <w:pPr>
        <w:spacing w:line="360" w:lineRule="auto"/>
        <w:ind w:left="720" w:hanging="720"/>
        <w:rPr>
          <w:rFonts w:ascii="Tahoma" w:hAnsi="Tahoma" w:cs="Tahoma"/>
          <w:color w:val="000000" w:themeColor="text1"/>
          <w:u w:val="single"/>
        </w:rPr>
      </w:pPr>
      <w:r>
        <w:rPr>
          <w:rStyle w:val="Hyperlink"/>
          <w:rFonts w:ascii="Tahoma" w:hAnsi="Tahoma" w:cs="Tahoma"/>
          <w:color w:val="000000" w:themeColor="text1"/>
          <w:u w:val="none"/>
        </w:rPr>
        <w:t>July 2018).</w:t>
      </w:r>
    </w:p>
    <w:p w:rsidR="002B1038" w:rsidRPr="000261D1" w:rsidRDefault="002B1038" w:rsidP="002B1038">
      <w:pPr>
        <w:spacing w:line="360" w:lineRule="auto"/>
        <w:rPr>
          <w:rFonts w:ascii="Tahoma" w:hAnsi="Tahoma" w:cs="Tahoma"/>
          <w:color w:val="000000" w:themeColor="text1"/>
          <w:highlight w:val="yellow"/>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Statista (2018a). Virtual reality (VR) market revenue in the United States from</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2014 to 2025 (in million U.S. dollars). </w:t>
      </w:r>
      <w:r>
        <w:rPr>
          <w:rFonts w:ascii="Tahoma" w:hAnsi="Tahoma" w:cs="Tahoma"/>
          <w:color w:val="000000" w:themeColor="text1"/>
        </w:rPr>
        <w:t>Available at:</w:t>
      </w:r>
    </w:p>
    <w:p w:rsidR="002B1038" w:rsidRPr="000261D1" w:rsidRDefault="00B676F3" w:rsidP="00DE1AE0">
      <w:pPr>
        <w:spacing w:line="360" w:lineRule="auto"/>
        <w:rPr>
          <w:rStyle w:val="Hyperlink"/>
          <w:rFonts w:ascii="Tahoma" w:hAnsi="Tahoma" w:cs="Tahoma"/>
          <w:color w:val="000000" w:themeColor="text1"/>
        </w:rPr>
      </w:pPr>
      <w:hyperlink r:id="rId29" w:history="1">
        <w:r w:rsidR="00DE1AE0" w:rsidRPr="00DE1AE0">
          <w:rPr>
            <w:rStyle w:val="Hyperlink"/>
            <w:rFonts w:ascii="Tahoma" w:hAnsi="Tahoma" w:cs="Tahoma"/>
            <w:color w:val="auto"/>
          </w:rPr>
          <w:t>https://www.statista.com/statistics/784139/virtual-reality-market-size-in-the-us/</w:t>
        </w:r>
      </w:hyperlink>
      <w:r w:rsidR="00DE1AE0" w:rsidRPr="00DE1AE0">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highlight w:val="yellow"/>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Statista (2018b). Forecast augmented (AR) and virtual reality (VR) market</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size worldwide from 2016 to 2022 (in billion U.S. dollars). </w:t>
      </w:r>
      <w:r>
        <w:rPr>
          <w:rFonts w:ascii="Tahoma" w:hAnsi="Tahoma" w:cs="Tahoma"/>
          <w:color w:val="000000" w:themeColor="text1"/>
        </w:rPr>
        <w:t>Available at:</w:t>
      </w:r>
    </w:p>
    <w:p w:rsidR="002B1038" w:rsidRPr="00566362" w:rsidRDefault="00B676F3" w:rsidP="00DE1AE0">
      <w:pPr>
        <w:spacing w:line="360" w:lineRule="auto"/>
        <w:rPr>
          <w:rFonts w:ascii="Tahoma" w:hAnsi="Tahoma" w:cs="Tahoma"/>
          <w:color w:val="000000" w:themeColor="text1"/>
          <w:u w:val="single"/>
        </w:rPr>
      </w:pPr>
      <w:hyperlink r:id="rId30" w:history="1">
        <w:r w:rsidR="00DE1AE0" w:rsidRPr="00DE1AE0">
          <w:rPr>
            <w:rStyle w:val="Hyperlink"/>
            <w:rFonts w:ascii="Tahoma" w:hAnsi="Tahoma" w:cs="Tahoma"/>
            <w:color w:val="auto"/>
          </w:rPr>
          <w:t>https://www.statista.com/statistics/591181/global-augmented-virtual-reality-market-size/</w:t>
        </w:r>
      </w:hyperlink>
      <w:r w:rsidR="00DE1AE0">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highlight w:val="yellow"/>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Statista (2018c). Forecast augmented (AR) and virtual reality (VR) market size in</w:t>
      </w: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Canada in 2018 and 2022 (in billion Canadian dollars). </w:t>
      </w:r>
      <w:r>
        <w:rPr>
          <w:rFonts w:ascii="Tahoma" w:hAnsi="Tahoma" w:cs="Tahoma"/>
          <w:color w:val="000000" w:themeColor="text1"/>
        </w:rPr>
        <w:t>Available at:</w:t>
      </w:r>
    </w:p>
    <w:p w:rsidR="002B1038" w:rsidRPr="00566362" w:rsidRDefault="00B676F3" w:rsidP="00DE1AE0">
      <w:pPr>
        <w:spacing w:line="360" w:lineRule="auto"/>
        <w:rPr>
          <w:rFonts w:ascii="Tahoma" w:hAnsi="Tahoma" w:cs="Tahoma"/>
          <w:color w:val="000000" w:themeColor="text1"/>
          <w:u w:val="single"/>
        </w:rPr>
      </w:pPr>
      <w:hyperlink r:id="rId31" w:history="1">
        <w:r w:rsidR="00DE1AE0" w:rsidRPr="00DE1AE0">
          <w:rPr>
            <w:rStyle w:val="Hyperlink"/>
            <w:rFonts w:ascii="Tahoma" w:hAnsi="Tahoma" w:cs="Tahoma"/>
            <w:color w:val="auto"/>
          </w:rPr>
          <w:t>https://www.statista.com/statistics/866903/canada-augmented-virtual-reality-market-size/</w:t>
        </w:r>
      </w:hyperlink>
      <w:r w:rsidR="00DE1AE0" w:rsidRPr="00DE1AE0">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DE1AE0"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Statista (2018d). Forecast size of the augmented and virtual reality (VR/AR)</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market worldwide in 2020 and 2025, by segment (in billion U.S. dollars).</w:t>
      </w:r>
    </w:p>
    <w:p w:rsidR="002B1038" w:rsidRPr="00566362" w:rsidRDefault="002B1038" w:rsidP="00483657">
      <w:pPr>
        <w:spacing w:line="360" w:lineRule="auto"/>
        <w:rPr>
          <w:rFonts w:ascii="Tahoma" w:hAnsi="Tahoma" w:cs="Tahoma"/>
          <w:color w:val="000000" w:themeColor="text1"/>
          <w:u w:val="single"/>
        </w:rPr>
      </w:pPr>
      <w:r>
        <w:rPr>
          <w:rFonts w:ascii="Tahoma" w:hAnsi="Tahoma" w:cs="Tahoma"/>
          <w:color w:val="000000" w:themeColor="text1"/>
        </w:rPr>
        <w:t>Available at:</w:t>
      </w:r>
      <w:r w:rsidR="00483657">
        <w:rPr>
          <w:rFonts w:ascii="Tahoma" w:hAnsi="Tahoma" w:cs="Tahoma"/>
          <w:color w:val="000000" w:themeColor="text1"/>
        </w:rPr>
        <w:t xml:space="preserve"> </w:t>
      </w:r>
      <w:hyperlink r:id="rId32" w:history="1">
        <w:r w:rsidR="00483657" w:rsidRPr="005C4CC8">
          <w:rPr>
            <w:rStyle w:val="Hyperlink"/>
            <w:rFonts w:ascii="Tahoma" w:hAnsi="Tahoma" w:cs="Tahoma"/>
          </w:rPr>
          <w:t>https://www.statista.com/statistics/610112/worldwide-forecast-augmented-and-mixed-reality-software-market-by-segment/</w:t>
        </w:r>
      </w:hyperlink>
      <w:r w:rsidR="00483657">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Toh, C., Miller, S., &amp; Simpson, T. (2015). The impact of virtual product dissection</w:t>
      </w:r>
    </w:p>
    <w:p w:rsidR="0048365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environments on student design learning and self-efficacy. </w:t>
      </w:r>
      <w:r w:rsidRPr="000261D1">
        <w:rPr>
          <w:rFonts w:ascii="Tahoma" w:hAnsi="Tahoma" w:cs="Tahoma"/>
          <w:i/>
          <w:color w:val="000000" w:themeColor="text1"/>
        </w:rPr>
        <w:t>Journal of Engineering</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Design, 26</w:t>
      </w:r>
      <w:r w:rsidR="00483657">
        <w:rPr>
          <w:rFonts w:ascii="Tahoma" w:hAnsi="Tahoma" w:cs="Tahoma"/>
          <w:i/>
          <w:color w:val="000000" w:themeColor="text1"/>
        </w:rPr>
        <w:t xml:space="preserve"> </w:t>
      </w:r>
      <w:r w:rsidRPr="000261D1">
        <w:rPr>
          <w:rFonts w:ascii="Tahoma" w:hAnsi="Tahoma" w:cs="Tahoma"/>
          <w:color w:val="000000" w:themeColor="text1"/>
        </w:rPr>
        <w:t xml:space="preserve">(1), 48-73. </w:t>
      </w:r>
      <w:r>
        <w:rPr>
          <w:rFonts w:ascii="Tahoma" w:hAnsi="Tahoma" w:cs="Tahoma"/>
          <w:color w:val="000000" w:themeColor="text1"/>
        </w:rPr>
        <w:t>Available at:</w:t>
      </w:r>
    </w:p>
    <w:p w:rsidR="002B1038" w:rsidRPr="00B15708" w:rsidRDefault="00B676F3" w:rsidP="002B1038">
      <w:pPr>
        <w:spacing w:line="360" w:lineRule="auto"/>
        <w:ind w:left="720" w:hanging="720"/>
        <w:rPr>
          <w:rStyle w:val="Hyperlink"/>
          <w:rFonts w:ascii="Tahoma" w:hAnsi="Tahoma" w:cs="Tahoma"/>
          <w:color w:val="000000" w:themeColor="text1"/>
        </w:rPr>
      </w:pPr>
      <w:hyperlink r:id="rId33" w:history="1">
        <w:r w:rsidR="002B1038" w:rsidRPr="000261D1">
          <w:rPr>
            <w:rStyle w:val="Hyperlink"/>
            <w:rFonts w:ascii="Tahoma" w:hAnsi="Tahoma" w:cs="Tahoma"/>
            <w:color w:val="000000" w:themeColor="text1"/>
          </w:rPr>
          <w:t>http://dx.doi.org/10.1080/09544828.2015.1018149</w:t>
        </w:r>
      </w:hyperlink>
      <w:r w:rsidR="00483657">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Tong, A., Morton, R., Howard, K. &amp; Craig, J. (2009). Adolescent experiences</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following organ transplantation: A systematic review of qualitative studies.</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Journal of Pediatrics, 155</w:t>
      </w:r>
      <w:r w:rsidRPr="000261D1">
        <w:rPr>
          <w:rFonts w:ascii="Tahoma" w:hAnsi="Tahoma" w:cs="Tahoma"/>
          <w:color w:val="000000" w:themeColor="text1"/>
        </w:rPr>
        <w:t>(4), 542-549. doi: 10.1016/j.jpeds.2009.04.009.</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Turk, C., Kalkan, H., &amp; Yildirim, B. (2017). An experimental study on teaching the </w:t>
      </w:r>
    </w:p>
    <w:p w:rsidR="0048365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seasons: Model transformation. </w:t>
      </w:r>
      <w:r w:rsidRPr="000261D1">
        <w:rPr>
          <w:rFonts w:ascii="Tahoma" w:hAnsi="Tahoma" w:cs="Tahoma"/>
          <w:i/>
          <w:color w:val="000000" w:themeColor="text1"/>
        </w:rPr>
        <w:t>International Journal of Eurasia Social Sciences,</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8</w:t>
      </w:r>
      <w:r w:rsidR="00483657">
        <w:rPr>
          <w:rFonts w:ascii="Tahoma" w:hAnsi="Tahoma" w:cs="Tahoma"/>
          <w:i/>
          <w:color w:val="000000" w:themeColor="text1"/>
        </w:rPr>
        <w:t xml:space="preserve"> </w:t>
      </w:r>
      <w:r w:rsidRPr="000261D1">
        <w:rPr>
          <w:rFonts w:ascii="Tahoma" w:hAnsi="Tahoma" w:cs="Tahoma"/>
          <w:color w:val="000000" w:themeColor="text1"/>
        </w:rPr>
        <w:t>(27), 531-561.</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United Nations (2015). Sustainable Development Goals Action Campaign. UN</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agencies team up to bring voices of Syrian refugees to world leaders through</w:t>
      </w:r>
    </w:p>
    <w:p w:rsidR="002B1038" w:rsidRPr="00B15708" w:rsidRDefault="002B1038" w:rsidP="00483657">
      <w:pPr>
        <w:spacing w:line="360" w:lineRule="auto"/>
        <w:rPr>
          <w:rFonts w:ascii="Tahoma" w:hAnsi="Tahoma" w:cs="Tahoma"/>
          <w:color w:val="000000" w:themeColor="text1"/>
          <w:u w:val="single"/>
        </w:rPr>
      </w:pPr>
      <w:r w:rsidRPr="000261D1">
        <w:rPr>
          <w:rFonts w:ascii="Tahoma" w:hAnsi="Tahoma" w:cs="Tahoma"/>
          <w:color w:val="000000" w:themeColor="text1"/>
        </w:rPr>
        <w:t xml:space="preserve">virtual reality. </w:t>
      </w:r>
      <w:r>
        <w:rPr>
          <w:rFonts w:ascii="Tahoma" w:hAnsi="Tahoma" w:cs="Tahoma"/>
          <w:color w:val="000000" w:themeColor="text1"/>
        </w:rPr>
        <w:t>Available at:</w:t>
      </w:r>
      <w:r w:rsidR="00483657">
        <w:rPr>
          <w:rFonts w:ascii="Tahoma" w:hAnsi="Tahoma" w:cs="Tahoma"/>
          <w:color w:val="000000" w:themeColor="text1"/>
        </w:rPr>
        <w:t xml:space="preserve"> </w:t>
      </w:r>
      <w:hyperlink r:id="rId34" w:history="1">
        <w:r w:rsidR="00483657" w:rsidRPr="00483657">
          <w:rPr>
            <w:rStyle w:val="Hyperlink"/>
            <w:rFonts w:ascii="Tahoma" w:hAnsi="Tahoma" w:cs="Tahoma"/>
            <w:color w:val="auto"/>
          </w:rPr>
          <w:t>https://sdgactioncampaign.org/2015/03/30/clouds-over-sidra/</w:t>
        </w:r>
      </w:hyperlink>
      <w:r w:rsidR="00483657" w:rsidRPr="00483657">
        <w:rPr>
          <w:rFonts w:ascii="Tahoma" w:hAnsi="Tahoma" w:cs="Tahoma"/>
        </w:rPr>
        <w:t xml:space="preserve"> </w:t>
      </w:r>
      <w:r>
        <w:rPr>
          <w:rStyle w:val="Hyperlink"/>
          <w:rFonts w:ascii="Tahoma" w:hAnsi="Tahoma" w:cs="Tahoma"/>
          <w:color w:val="000000" w:themeColor="text1"/>
          <w:u w:val="none"/>
        </w:rPr>
        <w:t>(Accessed: 28th July 2018).</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University of British Columbia (201</w:t>
      </w:r>
      <w:r w:rsidR="00A73EF6">
        <w:rPr>
          <w:rFonts w:ascii="Tahoma" w:hAnsi="Tahoma" w:cs="Tahoma"/>
          <w:color w:val="000000" w:themeColor="text1"/>
        </w:rPr>
        <w:t>7</w:t>
      </w:r>
      <w:r w:rsidRPr="000261D1">
        <w:rPr>
          <w:rFonts w:ascii="Tahoma" w:hAnsi="Tahoma" w:cs="Tahoma"/>
          <w:color w:val="000000" w:themeColor="text1"/>
        </w:rPr>
        <w:t xml:space="preserve">, October 15). Mini-Lessons Basics/BOPPPS </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Model for Planning Lessons (Teaching and Learning). </w:t>
      </w:r>
      <w:r>
        <w:rPr>
          <w:rFonts w:ascii="Tahoma" w:hAnsi="Tahoma" w:cs="Tahoma"/>
          <w:color w:val="000000" w:themeColor="text1"/>
        </w:rPr>
        <w:t>Available at:</w:t>
      </w:r>
    </w:p>
    <w:p w:rsidR="002B1038" w:rsidRPr="00566362" w:rsidRDefault="00B676F3" w:rsidP="00483657">
      <w:pPr>
        <w:spacing w:line="360" w:lineRule="auto"/>
        <w:rPr>
          <w:rFonts w:ascii="Tahoma" w:hAnsi="Tahoma" w:cs="Tahoma"/>
          <w:color w:val="000000" w:themeColor="text1"/>
          <w:u w:val="single"/>
        </w:rPr>
      </w:pPr>
      <w:hyperlink r:id="rId35" w:history="1">
        <w:r w:rsidR="00483657" w:rsidRPr="00483657">
          <w:rPr>
            <w:rStyle w:val="Hyperlink"/>
            <w:rFonts w:ascii="Tahoma" w:hAnsi="Tahoma" w:cs="Tahoma"/>
            <w:color w:val="auto"/>
          </w:rPr>
          <w:t>https://wiki.ubc.ca/Documentation:Mini-Lessons_Basics_-_BOPPPS_Model_for_Planning_Lessons</w:t>
        </w:r>
      </w:hyperlink>
      <w:r w:rsidR="00483657" w:rsidRPr="00483657">
        <w:t xml:space="preserve"> </w:t>
      </w:r>
      <w:r w:rsidR="002B1038">
        <w:rPr>
          <w:rStyle w:val="Hyperlink"/>
          <w:rFonts w:ascii="Tahoma" w:hAnsi="Tahoma" w:cs="Tahoma"/>
          <w:color w:val="000000" w:themeColor="text1"/>
          <w:u w:val="none"/>
        </w:rPr>
        <w:t>(Accessed: 28th July 2018).</w:t>
      </w:r>
    </w:p>
    <w:p w:rsidR="002B1038" w:rsidRPr="000261D1" w:rsidRDefault="002B1038" w:rsidP="002B1038">
      <w:pPr>
        <w:spacing w:line="360" w:lineRule="auto"/>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lastRenderedPageBreak/>
        <w:t>University of Kent Careers and Employability Service (2017). What are the top</w:t>
      </w:r>
    </w:p>
    <w:p w:rsidR="002B1038" w:rsidRPr="00483657" w:rsidRDefault="002B1038" w:rsidP="00483657">
      <w:pPr>
        <w:spacing w:line="360" w:lineRule="auto"/>
        <w:rPr>
          <w:rFonts w:ascii="Tahoma" w:hAnsi="Tahoma" w:cs="Tahoma"/>
          <w:u w:val="single"/>
        </w:rPr>
      </w:pPr>
      <w:r w:rsidRPr="000261D1">
        <w:rPr>
          <w:rFonts w:ascii="Tahoma" w:hAnsi="Tahoma" w:cs="Tahoma"/>
          <w:color w:val="000000" w:themeColor="text1"/>
        </w:rPr>
        <w:t xml:space="preserve">ten skills that employers want? </w:t>
      </w:r>
      <w:r>
        <w:rPr>
          <w:rFonts w:ascii="Tahoma" w:hAnsi="Tahoma" w:cs="Tahoma"/>
          <w:color w:val="000000" w:themeColor="text1"/>
        </w:rPr>
        <w:t>Available at:</w:t>
      </w:r>
      <w:r w:rsidR="00483657">
        <w:rPr>
          <w:rFonts w:ascii="Tahoma" w:hAnsi="Tahoma" w:cs="Tahoma"/>
          <w:color w:val="000000" w:themeColor="text1"/>
        </w:rPr>
        <w:t xml:space="preserve"> </w:t>
      </w:r>
      <w:hyperlink r:id="rId36" w:history="1">
        <w:r w:rsidR="00483657" w:rsidRPr="00483657">
          <w:rPr>
            <w:rStyle w:val="Hyperlink"/>
            <w:rFonts w:ascii="Tahoma" w:hAnsi="Tahoma" w:cs="Tahoma"/>
            <w:color w:val="auto"/>
          </w:rPr>
          <w:t>https://www.kent.ac.uk/careers/sk/top-ten-skills.htm</w:t>
        </w:r>
      </w:hyperlink>
      <w:r w:rsidR="00483657" w:rsidRPr="00483657">
        <w:t xml:space="preserve"> </w:t>
      </w:r>
      <w:r w:rsidRPr="00483657">
        <w:rPr>
          <w:rStyle w:val="Hyperlink"/>
          <w:rFonts w:ascii="Tahoma" w:hAnsi="Tahoma" w:cs="Tahoma"/>
          <w:color w:val="auto"/>
          <w:u w:val="none"/>
        </w:rPr>
        <w:t>(Accessed: 28th July 2018).</w:t>
      </w:r>
    </w:p>
    <w:p w:rsidR="002B1038" w:rsidRPr="00483657" w:rsidRDefault="002B1038" w:rsidP="002B1038">
      <w:pPr>
        <w:spacing w:line="360" w:lineRule="auto"/>
        <w:rPr>
          <w:rFonts w:ascii="Tahoma" w:hAnsi="Tahoma" w:cs="Tahoma"/>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Wells, G. (2000). Dialogic inquiry in education. In C. D Lee &amp; P. Smagorinsky</w:t>
      </w: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(Eds.), </w:t>
      </w:r>
      <w:r w:rsidRPr="000261D1">
        <w:rPr>
          <w:rFonts w:ascii="Tahoma" w:hAnsi="Tahoma" w:cs="Tahoma"/>
          <w:i/>
          <w:color w:val="000000" w:themeColor="text1"/>
        </w:rPr>
        <w:t>Vygotskyian perspectives on literacy research</w:t>
      </w:r>
      <w:r w:rsidRPr="000261D1">
        <w:rPr>
          <w:rFonts w:ascii="Tahoma" w:hAnsi="Tahoma" w:cs="Tahoma"/>
          <w:color w:val="000000" w:themeColor="text1"/>
        </w:rPr>
        <w:t xml:space="preserve"> (pp. 51-85). New York, NY:</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Cambridge University Press. </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Wenger, E. (1998) </w:t>
      </w:r>
      <w:r w:rsidRPr="000261D1">
        <w:rPr>
          <w:rFonts w:ascii="Tahoma" w:hAnsi="Tahoma" w:cs="Tahoma"/>
          <w:i/>
          <w:color w:val="000000" w:themeColor="text1"/>
        </w:rPr>
        <w:t>Communities of practice: learning, meaning, and identity</w:t>
      </w:r>
      <w:r w:rsidRPr="000261D1">
        <w:rPr>
          <w:rFonts w:ascii="Tahoma" w:hAnsi="Tahoma" w:cs="Tahoma"/>
          <w:color w:val="000000" w:themeColor="text1"/>
        </w:rPr>
        <w:t>.</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 xml:space="preserve">New York, NY: Cambridge University Press. </w:t>
      </w:r>
    </w:p>
    <w:p w:rsidR="002B1038" w:rsidRPr="000261D1" w:rsidRDefault="002B1038" w:rsidP="002B1038">
      <w:pPr>
        <w:spacing w:line="360" w:lineRule="auto"/>
        <w:ind w:left="720" w:hanging="720"/>
        <w:rPr>
          <w:rFonts w:ascii="Tahoma" w:hAnsi="Tahoma" w:cs="Tahoma"/>
          <w:color w:val="000000" w:themeColor="text1"/>
        </w:rPr>
      </w:pPr>
    </w:p>
    <w:p w:rsidR="00483657" w:rsidRDefault="002B1038" w:rsidP="002B1038">
      <w:pPr>
        <w:spacing w:line="360" w:lineRule="auto"/>
        <w:ind w:left="720" w:hanging="720"/>
        <w:rPr>
          <w:rFonts w:ascii="Tahoma" w:hAnsi="Tahoma" w:cs="Tahoma"/>
          <w:color w:val="000000" w:themeColor="text1"/>
        </w:rPr>
      </w:pPr>
      <w:r w:rsidRPr="000261D1">
        <w:rPr>
          <w:rFonts w:ascii="Tahoma" w:hAnsi="Tahoma" w:cs="Tahoma"/>
          <w:color w:val="000000" w:themeColor="text1"/>
        </w:rPr>
        <w:t>Yildirim, G., Mehmet, E., &amp; Yildirim, S. (2018). Analysis of use of virtual reality</w:t>
      </w:r>
    </w:p>
    <w:p w:rsidR="00483657" w:rsidRDefault="002B1038" w:rsidP="002B1038">
      <w:pPr>
        <w:spacing w:line="360" w:lineRule="auto"/>
        <w:ind w:left="720" w:hanging="720"/>
        <w:rPr>
          <w:rFonts w:ascii="Tahoma" w:hAnsi="Tahoma" w:cs="Tahoma"/>
          <w:i/>
          <w:color w:val="000000" w:themeColor="text1"/>
        </w:rPr>
      </w:pPr>
      <w:r w:rsidRPr="000261D1">
        <w:rPr>
          <w:rFonts w:ascii="Tahoma" w:hAnsi="Tahoma" w:cs="Tahoma"/>
          <w:color w:val="000000" w:themeColor="text1"/>
        </w:rPr>
        <w:t xml:space="preserve">technologies in history education: A case study. </w:t>
      </w:r>
      <w:r w:rsidRPr="000261D1">
        <w:rPr>
          <w:rFonts w:ascii="Tahoma" w:hAnsi="Tahoma" w:cs="Tahoma"/>
          <w:i/>
          <w:color w:val="000000" w:themeColor="text1"/>
        </w:rPr>
        <w:t xml:space="preserve">Asian Journal of Education and </w:t>
      </w:r>
    </w:p>
    <w:p w:rsidR="002B1038" w:rsidRPr="000261D1" w:rsidRDefault="002B1038" w:rsidP="002B1038">
      <w:pPr>
        <w:spacing w:line="360" w:lineRule="auto"/>
        <w:ind w:left="720" w:hanging="720"/>
        <w:rPr>
          <w:rFonts w:ascii="Tahoma" w:hAnsi="Tahoma" w:cs="Tahoma"/>
          <w:color w:val="000000" w:themeColor="text1"/>
        </w:rPr>
      </w:pPr>
      <w:r w:rsidRPr="000261D1">
        <w:rPr>
          <w:rFonts w:ascii="Tahoma" w:hAnsi="Tahoma" w:cs="Tahoma"/>
          <w:i/>
          <w:color w:val="000000" w:themeColor="text1"/>
        </w:rPr>
        <w:t xml:space="preserve">Training, 4 </w:t>
      </w:r>
      <w:r w:rsidRPr="000261D1">
        <w:rPr>
          <w:rFonts w:ascii="Tahoma" w:hAnsi="Tahoma" w:cs="Tahoma"/>
          <w:color w:val="000000" w:themeColor="text1"/>
        </w:rPr>
        <w:t>(2), 62-69. doi:10.20448/journal.522.2018.42.62.69.</w:t>
      </w:r>
    </w:p>
    <w:p w:rsidR="002B1038" w:rsidRPr="000261D1" w:rsidRDefault="002B1038" w:rsidP="002B1038">
      <w:pPr>
        <w:spacing w:line="360" w:lineRule="auto"/>
        <w:rPr>
          <w:rFonts w:ascii="Tahoma" w:hAnsi="Tahoma" w:cs="Tahoma"/>
          <w:color w:val="000000" w:themeColor="text1"/>
        </w:rPr>
      </w:pPr>
    </w:p>
    <w:p w:rsidR="002B1038" w:rsidRPr="000261D1" w:rsidRDefault="002B1038" w:rsidP="002B1038">
      <w:pPr>
        <w:spacing w:line="360" w:lineRule="auto"/>
        <w:rPr>
          <w:rFonts w:ascii="Tahoma" w:hAnsi="Tahoma" w:cs="Tahoma"/>
          <w:color w:val="000000" w:themeColor="text1"/>
        </w:rPr>
      </w:pPr>
      <w:r w:rsidRPr="000261D1">
        <w:rPr>
          <w:rFonts w:ascii="Tahoma" w:hAnsi="Tahoma" w:cs="Tahoma"/>
          <w:color w:val="000000" w:themeColor="text1"/>
        </w:rPr>
        <w:br w:type="page"/>
      </w:r>
    </w:p>
    <w:p w:rsidR="002B1038" w:rsidRPr="000261D1" w:rsidRDefault="002B1038" w:rsidP="002B1038">
      <w:pPr>
        <w:spacing w:line="360" w:lineRule="auto"/>
        <w:ind w:left="-360" w:firstLine="360"/>
        <w:outlineLvl w:val="0"/>
        <w:rPr>
          <w:rFonts w:ascii="Tahoma" w:hAnsi="Tahoma" w:cs="Tahoma"/>
          <w:bCs/>
          <w:color w:val="000000" w:themeColor="text1"/>
        </w:rPr>
      </w:pPr>
      <w:r w:rsidRPr="000261D1">
        <w:rPr>
          <w:rFonts w:ascii="Tahoma" w:hAnsi="Tahoma" w:cs="Tahoma"/>
          <w:bCs/>
          <w:color w:val="000000" w:themeColor="text1"/>
        </w:rPr>
        <w:lastRenderedPageBreak/>
        <w:t xml:space="preserve">Appendix. Summary of Qualitative Studies </w:t>
      </w:r>
    </w:p>
    <w:p w:rsidR="002B1038" w:rsidRPr="000261D1" w:rsidRDefault="002B1038" w:rsidP="002B1038">
      <w:pPr>
        <w:spacing w:line="360" w:lineRule="auto"/>
        <w:ind w:left="-180"/>
        <w:rPr>
          <w:rFonts w:ascii="Tahoma" w:eastAsia="Gill Sans" w:hAnsi="Tahoma" w:cs="Tahoma"/>
          <w:color w:val="000000" w:themeColor="text1"/>
        </w:rPr>
      </w:pPr>
    </w:p>
    <w:tbl>
      <w:tblPr>
        <w:tblStyle w:val="PlainTable21"/>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389"/>
        <w:gridCol w:w="1276"/>
        <w:gridCol w:w="1559"/>
        <w:gridCol w:w="1134"/>
        <w:gridCol w:w="1559"/>
        <w:gridCol w:w="1701"/>
      </w:tblGrid>
      <w:tr w:rsidR="002B1038" w:rsidRPr="000261D1" w:rsidTr="008B5F6D">
        <w:trPr>
          <w:cnfStyle w:val="100000000000"/>
        </w:trPr>
        <w:tc>
          <w:tcPr>
            <w:cnfStyle w:val="001000000000"/>
            <w:tcW w:w="1276" w:type="dxa"/>
          </w:tcPr>
          <w:p w:rsidR="002B1038" w:rsidRPr="000261D1" w:rsidRDefault="002B1038" w:rsidP="008B5F6D">
            <w:pPr>
              <w:rPr>
                <w:rFonts w:ascii="Tahoma" w:hAnsi="Tahoma" w:cs="Tahoma"/>
                <w:color w:val="000000" w:themeColor="text1"/>
                <w:sz w:val="18"/>
                <w:szCs w:val="18"/>
              </w:rPr>
            </w:pPr>
            <w:r w:rsidRPr="000261D1">
              <w:rPr>
                <w:rFonts w:ascii="Tahoma" w:hAnsi="Tahoma" w:cs="Tahoma"/>
                <w:color w:val="000000" w:themeColor="text1"/>
                <w:sz w:val="18"/>
                <w:szCs w:val="18"/>
              </w:rPr>
              <w:t>Author, Year (Country)</w:t>
            </w:r>
          </w:p>
        </w:tc>
        <w:tc>
          <w:tcPr>
            <w:tcW w:w="1389"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Sample Characteristics</w:t>
            </w:r>
          </w:p>
        </w:tc>
        <w:tc>
          <w:tcPr>
            <w:tcW w:w="1276"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Objective</w:t>
            </w:r>
          </w:p>
        </w:tc>
        <w:tc>
          <w:tcPr>
            <w:tcW w:w="1559"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Method </w:t>
            </w:r>
          </w:p>
        </w:tc>
        <w:tc>
          <w:tcPr>
            <w:tcW w:w="1134"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Analysis</w:t>
            </w:r>
          </w:p>
        </w:tc>
        <w:tc>
          <w:tcPr>
            <w:tcW w:w="1559"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Main Findings</w:t>
            </w:r>
          </w:p>
        </w:tc>
        <w:tc>
          <w:tcPr>
            <w:tcW w:w="1701" w:type="dxa"/>
          </w:tcPr>
          <w:p w:rsidR="002B1038" w:rsidRPr="000261D1" w:rsidRDefault="002B1038" w:rsidP="008B5F6D">
            <w:pPr>
              <w:cnfStyle w:val="100000000000"/>
              <w:rPr>
                <w:rFonts w:ascii="Tahoma" w:hAnsi="Tahoma" w:cs="Tahoma"/>
                <w:color w:val="000000" w:themeColor="text1"/>
                <w:sz w:val="18"/>
                <w:szCs w:val="18"/>
              </w:rPr>
            </w:pPr>
            <w:r w:rsidRPr="000261D1">
              <w:rPr>
                <w:rFonts w:ascii="Tahoma" w:hAnsi="Tahoma" w:cs="Tahoma"/>
                <w:color w:val="000000" w:themeColor="text1"/>
                <w:sz w:val="18"/>
                <w:szCs w:val="18"/>
              </w:rPr>
              <w:t>Themes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 Alizadeh et al. 2017 (Japan)</w:t>
            </w:r>
          </w:p>
        </w:tc>
        <w:tc>
          <w:tcPr>
            <w:tcW w:w="1389" w:type="dxa"/>
          </w:tcPr>
          <w:p w:rsidR="002B1038" w:rsidRPr="000261D1" w:rsidRDefault="002B1038" w:rsidP="008B5F6D">
            <w:pPr>
              <w:tabs>
                <w:tab w:val="num" w:pos="0"/>
                <w:tab w:val="num" w:pos="216"/>
              </w:tabs>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71 humanities students at the undergraduate level; 35 males and 36 females; age ranged from 18 to 22 years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Evaluate the effectiveness of an augmented reality app, BlippAR to improve English language skills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Data collected through user experience questionnaire, open-ended feedback form, and observation of respondents' attitudes </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user experiences with this app and improvement to language skills</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learning outcomes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(2) Ausburn et al. 2009 (USA)</w:t>
            </w:r>
          </w:p>
        </w:tc>
        <w:tc>
          <w:tcPr>
            <w:tcW w:w="1389" w:type="dxa"/>
          </w:tcPr>
          <w:p w:rsidR="002B1038" w:rsidRPr="000261D1" w:rsidRDefault="002B1038" w:rsidP="008B5F6D">
            <w:pPr>
              <w:tabs>
                <w:tab w:val="num" w:pos="0"/>
                <w:tab w:val="num" w:pos="216"/>
              </w:tabs>
              <w:cnfStyle w:val="000000000000"/>
              <w:rPr>
                <w:rFonts w:ascii="Tahoma" w:hAnsi="Tahoma" w:cs="Tahoma"/>
                <w:iCs/>
                <w:color w:val="000000" w:themeColor="text1"/>
                <w:sz w:val="18"/>
                <w:szCs w:val="18"/>
              </w:rPr>
            </w:pPr>
            <w:r w:rsidRPr="000261D1">
              <w:rPr>
                <w:rFonts w:ascii="Tahoma" w:hAnsi="Tahoma" w:cs="Tahoma"/>
                <w:iCs/>
                <w:color w:val="000000" w:themeColor="text1"/>
                <w:sz w:val="18"/>
                <w:szCs w:val="18"/>
              </w:rPr>
              <w:t>42 surgical technology students; 6 males and 36 females; age ranged from 18 to 26 years</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iCs/>
                <w:color w:val="000000" w:themeColor="text1"/>
                <w:sz w:val="18"/>
                <w:szCs w:val="18"/>
              </w:rPr>
              <w:t xml:space="preserve">Evaluate the </w:t>
            </w:r>
            <w:r w:rsidRPr="000261D1">
              <w:rPr>
                <w:rFonts w:ascii="Tahoma" w:hAnsi="Tahoma" w:cs="Tahoma"/>
                <w:color w:val="000000" w:themeColor="text1"/>
                <w:sz w:val="18"/>
                <w:szCs w:val="18"/>
              </w:rPr>
              <w:t>effectiveness of using desktop virtual reality to practice surgical skills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interviews</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Content Analysis </w:t>
            </w:r>
          </w:p>
          <w:p w:rsidR="002B1038" w:rsidRPr="000261D1" w:rsidRDefault="002B1038" w:rsidP="008B5F6D">
            <w:pPr>
              <w:cnfStyle w:val="000000000000"/>
              <w:rPr>
                <w:rFonts w:ascii="Tahoma" w:hAnsi="Tahoma" w:cs="Tahoma"/>
                <w:color w:val="000000" w:themeColor="text1"/>
                <w:sz w:val="18"/>
                <w:szCs w:val="18"/>
              </w:rPr>
            </w:pPr>
          </w:p>
          <w:p w:rsidR="002B1038" w:rsidRPr="000261D1" w:rsidRDefault="002B1038" w:rsidP="008B5F6D">
            <w:pPr>
              <w:cnfStyle w:val="000000000000"/>
              <w:rPr>
                <w:rFonts w:ascii="Tahoma" w:hAnsi="Tahoma" w:cs="Tahoma"/>
                <w:color w:val="000000" w:themeColor="text1"/>
                <w:sz w:val="18"/>
                <w:szCs w:val="18"/>
              </w:rPr>
            </w:pP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iCs/>
                <w:color w:val="000000" w:themeColor="text1"/>
                <w:sz w:val="18"/>
                <w:szCs w:val="18"/>
              </w:rPr>
              <w:t xml:space="preserve">Responses covered topics related to user experience  and gender differences </w:t>
            </w:r>
            <w:r w:rsidRPr="000261D1">
              <w:rPr>
                <w:rFonts w:ascii="Tahoma" w:hAnsi="Tahoma" w:cs="Tahoma"/>
                <w:color w:val="000000" w:themeColor="text1"/>
                <w:sz w:val="18"/>
                <w:szCs w:val="18"/>
              </w:rPr>
              <w:t>in surgical navigation</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(3) Bahng &amp; Lee, 2017 (South Korea)</w:t>
            </w:r>
          </w:p>
        </w:tc>
        <w:tc>
          <w:tcPr>
            <w:tcW w:w="1389" w:type="dxa"/>
          </w:tcPr>
          <w:p w:rsidR="002B1038" w:rsidRPr="000261D1" w:rsidRDefault="002B1038" w:rsidP="008B5F6D">
            <w:pPr>
              <w:tabs>
                <w:tab w:val="num" w:pos="0"/>
                <w:tab w:val="num" w:pos="216"/>
              </w:tabs>
              <w:ind w:left="36"/>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229 elementary teacher candidates; 24 males and 205 females</w:t>
            </w:r>
          </w:p>
          <w:p w:rsidR="002B1038" w:rsidRPr="000261D1" w:rsidRDefault="002B1038" w:rsidP="008B5F6D">
            <w:pPr>
              <w:tabs>
                <w:tab w:val="num" w:pos="0"/>
                <w:tab w:val="num" w:pos="216"/>
              </w:tabs>
              <w:ind w:left="36"/>
              <w:cnfStyle w:val="000000100000"/>
              <w:rPr>
                <w:rFonts w:ascii="Tahoma" w:hAnsi="Tahoma" w:cs="Tahoma"/>
                <w:color w:val="000000" w:themeColor="text1"/>
                <w:sz w:val="18"/>
                <w:szCs w:val="18"/>
              </w:rPr>
            </w:pPr>
          </w:p>
          <w:p w:rsidR="002B1038" w:rsidRPr="000261D1" w:rsidRDefault="002B1038" w:rsidP="008B5F6D">
            <w:pPr>
              <w:tabs>
                <w:tab w:val="num" w:pos="0"/>
                <w:tab w:val="num" w:pos="216"/>
              </w:tabs>
              <w:ind w:left="36"/>
              <w:cnfStyle w:val="000000100000"/>
              <w:rPr>
                <w:rFonts w:ascii="Tahoma" w:hAnsi="Tahoma" w:cs="Tahoma"/>
                <w:color w:val="000000" w:themeColor="text1"/>
                <w:sz w:val="18"/>
                <w:szCs w:val="18"/>
              </w:rPr>
            </w:pP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the experiences of students using the virtual reality platform, Second Life</w:t>
            </w:r>
            <w:r w:rsidRPr="000261D1">
              <w:rPr>
                <w:rFonts w:ascii="Tahoma" w:hAnsi="Tahoma" w:cs="Tahoma"/>
                <w:color w:val="000000" w:themeColor="text1"/>
                <w:sz w:val="18"/>
                <w:szCs w:val="18"/>
              </w:rPr>
              <w:br/>
            </w:r>
          </w:p>
          <w:p w:rsidR="002B1038" w:rsidRPr="000261D1" w:rsidRDefault="002B1038" w:rsidP="008B5F6D">
            <w:pPr>
              <w:cnfStyle w:val="000000100000"/>
              <w:rPr>
                <w:rFonts w:ascii="Tahoma" w:hAnsi="Tahoma" w:cs="Tahoma"/>
                <w:color w:val="000000" w:themeColor="text1"/>
                <w:sz w:val="18"/>
                <w:szCs w:val="18"/>
              </w:rPr>
            </w:pP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Data collected through semi-open-ended questionnaire, science journal notebooks, science lesson plans, peer teaching classroom observations, and instructor semester notes </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Themes identified: (1) playing around as avatars, (2) learning by discovery, (3) learning by social interaction, (4) skeptical integrators, (5) observant integrators, and (6) innovative integrators </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 learning outcomes; recommendations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(4) Benham-Hutchins et al. 2015 (USA)</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20 nursing students at the graduate level; 2 males and 18 females; age ranged from 21 to 59 years</w:t>
            </w:r>
          </w:p>
          <w:p w:rsidR="002B1038" w:rsidRPr="000261D1" w:rsidRDefault="002B1038" w:rsidP="008B5F6D">
            <w:pPr>
              <w:cnfStyle w:val="000000000000"/>
              <w:rPr>
                <w:rFonts w:ascii="Tahoma" w:hAnsi="Tahoma" w:cs="Tahoma"/>
                <w:color w:val="000000" w:themeColor="text1"/>
                <w:sz w:val="18"/>
                <w:szCs w:val="18"/>
              </w:rPr>
            </w:pPr>
          </w:p>
          <w:p w:rsidR="002B1038" w:rsidRPr="000261D1" w:rsidRDefault="002B1038" w:rsidP="008B5F6D">
            <w:pPr>
              <w:cnfStyle w:val="000000000000"/>
              <w:rPr>
                <w:rFonts w:ascii="Tahoma" w:hAnsi="Tahoma" w:cs="Tahoma"/>
                <w:color w:val="000000" w:themeColor="text1"/>
                <w:sz w:val="18"/>
                <w:szCs w:val="18"/>
              </w:rPr>
            </w:pP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Describe the experiences of students using the virtual reality platform, Second Life </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journal entries and user experience questionnaire</w:t>
            </w:r>
          </w:p>
          <w:p w:rsidR="002B1038" w:rsidRPr="000261D1" w:rsidRDefault="002B1038" w:rsidP="008B5F6D">
            <w:pPr>
              <w:ind w:left="360"/>
              <w:cnfStyle w:val="000000000000"/>
              <w:rPr>
                <w:rFonts w:ascii="Tahoma" w:eastAsiaTheme="minorEastAsia" w:hAnsi="Tahoma" w:cs="Tahoma"/>
                <w:color w:val="000000" w:themeColor="text1"/>
                <w:sz w:val="18"/>
                <w:szCs w:val="18"/>
              </w:rPr>
            </w:pP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Themes identified: (1) mastering Second Life, (2) technological challenges, (3) social interaction, and (4) knowledge dissemination </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 xml:space="preserve">(5) Bower et al. 2017 (Britain) </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45 pre-service teacher candidates</w:t>
            </w:r>
          </w:p>
          <w:p w:rsidR="002B1038" w:rsidRPr="000261D1" w:rsidRDefault="002B1038" w:rsidP="008B5F6D">
            <w:pPr>
              <w:cnfStyle w:val="000000100000"/>
              <w:rPr>
                <w:rFonts w:ascii="Tahoma" w:hAnsi="Tahoma" w:cs="Tahoma"/>
                <w:color w:val="000000" w:themeColor="text1"/>
                <w:sz w:val="18"/>
                <w:szCs w:val="18"/>
              </w:rPr>
            </w:pPr>
          </w:p>
          <w:p w:rsidR="002B1038" w:rsidRPr="000261D1" w:rsidRDefault="002B1038" w:rsidP="008B5F6D">
            <w:pPr>
              <w:cnfStyle w:val="000000100000"/>
              <w:rPr>
                <w:rFonts w:ascii="Tahoma" w:hAnsi="Tahoma" w:cs="Tahoma"/>
                <w:color w:val="000000" w:themeColor="text1"/>
                <w:sz w:val="18"/>
                <w:szCs w:val="18"/>
              </w:rPr>
            </w:pPr>
          </w:p>
          <w:p w:rsidR="002B1038" w:rsidRPr="000261D1" w:rsidRDefault="002B1038" w:rsidP="008B5F6D">
            <w:pPr>
              <w:cnfStyle w:val="000000100000"/>
              <w:rPr>
                <w:rFonts w:ascii="Tahoma" w:hAnsi="Tahoma" w:cs="Tahoma"/>
                <w:color w:val="000000" w:themeColor="text1"/>
                <w:sz w:val="18"/>
                <w:szCs w:val="18"/>
              </w:rPr>
            </w:pPr>
          </w:p>
          <w:p w:rsidR="002B1038" w:rsidRPr="000261D1" w:rsidRDefault="002B1038" w:rsidP="008B5F6D">
            <w:pPr>
              <w:cnfStyle w:val="000000100000"/>
              <w:rPr>
                <w:rFonts w:ascii="Tahoma" w:hAnsi="Tahoma" w:cs="Tahoma"/>
                <w:color w:val="000000" w:themeColor="text1"/>
                <w:sz w:val="18"/>
                <w:szCs w:val="18"/>
              </w:rPr>
            </w:pPr>
          </w:p>
        </w:tc>
        <w:tc>
          <w:tcPr>
            <w:tcW w:w="1276" w:type="dxa"/>
          </w:tcPr>
          <w:p w:rsidR="002B1038" w:rsidRPr="000261D1" w:rsidRDefault="002B1038" w:rsidP="008B5F6D">
            <w:pPr>
              <w:cnfStyle w:val="000000100000"/>
              <w:rPr>
                <w:rFonts w:ascii="Tahoma" w:hAnsi="Tahoma" w:cs="Tahoma"/>
                <w:iCs/>
                <w:color w:val="000000" w:themeColor="text1"/>
                <w:sz w:val="18"/>
                <w:szCs w:val="18"/>
              </w:rPr>
            </w:pPr>
            <w:r w:rsidRPr="000261D1">
              <w:rPr>
                <w:rFonts w:ascii="Tahoma" w:hAnsi="Tahoma" w:cs="Tahoma"/>
                <w:iCs/>
                <w:color w:val="000000" w:themeColor="text1"/>
                <w:sz w:val="18"/>
                <w:szCs w:val="18"/>
              </w:rPr>
              <w:t xml:space="preserve">Describe the experiences of students using a blended (mixed) reality environment </w:t>
            </w:r>
            <w:r w:rsidRPr="000261D1">
              <w:rPr>
                <w:rFonts w:ascii="Tahoma" w:hAnsi="Tahoma" w:cs="Tahoma"/>
                <w:iCs/>
                <w:color w:val="000000" w:themeColor="text1"/>
                <w:sz w:val="18"/>
                <w:szCs w:val="18"/>
              </w:rPr>
              <w:lastRenderedPageBreak/>
              <w:t>where audio and visual are lived streamed into a virtual world</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lastRenderedPageBreak/>
              <w:t>Data collected using open-ended survey and focus group</w:t>
            </w:r>
          </w:p>
        </w:tc>
        <w:tc>
          <w:tcPr>
            <w:tcW w:w="1134" w:type="dxa"/>
          </w:tcPr>
          <w:p w:rsidR="002B1038" w:rsidRPr="000261D1" w:rsidRDefault="002B1038" w:rsidP="008B5F6D">
            <w:pPr>
              <w:cnfStyle w:val="000000100000"/>
              <w:rPr>
                <w:rFonts w:ascii="Tahoma" w:eastAsiaTheme="minorEastAsia" w:hAnsi="Tahoma" w:cs="Tahoma"/>
                <w:color w:val="000000" w:themeColor="text1"/>
                <w:sz w:val="18"/>
                <w:szCs w:val="18"/>
              </w:rPr>
            </w:pPr>
            <w:r w:rsidRPr="000261D1">
              <w:rPr>
                <w:rFonts w:ascii="Tahoma" w:eastAsiaTheme="minorEastAsia" w:hAnsi="Tahoma" w:cs="Tahoma"/>
                <w:color w:val="000000" w:themeColor="text1"/>
                <w:sz w:val="18"/>
                <w:szCs w:val="18"/>
              </w:rPr>
              <w:t>Content Analysis</w:t>
            </w:r>
          </w:p>
          <w:p w:rsidR="002B1038" w:rsidRPr="000261D1" w:rsidRDefault="002B1038" w:rsidP="008B5F6D">
            <w:pPr>
              <w:cnfStyle w:val="000000100000"/>
              <w:rPr>
                <w:rFonts w:ascii="Tahoma" w:eastAsiaTheme="minorEastAsia" w:hAnsi="Tahoma" w:cs="Tahoma"/>
                <w:color w:val="000000" w:themeColor="text1"/>
                <w:sz w:val="18"/>
                <w:szCs w:val="18"/>
              </w:rPr>
            </w:pPr>
          </w:p>
        </w:tc>
        <w:tc>
          <w:tcPr>
            <w:tcW w:w="1559" w:type="dxa"/>
          </w:tcPr>
          <w:p w:rsidR="002B1038" w:rsidRPr="000261D1" w:rsidRDefault="002B1038" w:rsidP="008B5F6D">
            <w:pPr>
              <w:cnfStyle w:val="000000100000"/>
              <w:rPr>
                <w:rFonts w:ascii="Tahoma" w:eastAsiaTheme="minorEastAsia" w:hAnsi="Tahoma" w:cs="Tahoma"/>
                <w:color w:val="000000" w:themeColor="text1"/>
                <w:sz w:val="18"/>
                <w:szCs w:val="18"/>
              </w:rPr>
            </w:pPr>
            <w:r w:rsidRPr="000261D1">
              <w:rPr>
                <w:rFonts w:ascii="Tahoma" w:eastAsiaTheme="minorEastAsia" w:hAnsi="Tahoma" w:cs="Tahoma"/>
                <w:color w:val="000000" w:themeColor="text1"/>
                <w:sz w:val="18"/>
                <w:szCs w:val="18"/>
              </w:rPr>
              <w:t>Responses covered topics related to pedagogical, technological and logistical factors</w:t>
            </w:r>
          </w:p>
          <w:p w:rsidR="002B1038" w:rsidRPr="000261D1" w:rsidRDefault="002B1038" w:rsidP="008B5F6D">
            <w:pPr>
              <w:ind w:left="360"/>
              <w:cnfStyle w:val="000000100000"/>
              <w:rPr>
                <w:rFonts w:ascii="Tahoma" w:hAnsi="Tahoma" w:cs="Tahoma"/>
                <w:color w:val="000000" w:themeColor="text1"/>
                <w:sz w:val="18"/>
                <w:szCs w:val="18"/>
              </w:rPr>
            </w:pP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learning outcomes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lastRenderedPageBreak/>
              <w:t>(6) Can &amp; Simsek, 2015 (Turkey)</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26 undergraduate foreign language pre-service teacher candidates; 10 males and 16 females</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Describe the experiences of students using the virtual reality platform, Second Life</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and semi-structured interview</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Content Analysis </w:t>
            </w:r>
          </w:p>
        </w:tc>
        <w:tc>
          <w:tcPr>
            <w:tcW w:w="1559" w:type="dxa"/>
          </w:tcPr>
          <w:p w:rsidR="002B1038" w:rsidRPr="000261D1" w:rsidRDefault="002B1038" w:rsidP="008B5F6D">
            <w:pPr>
              <w:cnfStyle w:val="000000000000"/>
              <w:rPr>
                <w:rFonts w:ascii="Tahoma" w:eastAsiaTheme="minorEastAsia" w:hAnsi="Tahoma" w:cs="Tahoma"/>
                <w:color w:val="000000" w:themeColor="text1"/>
                <w:sz w:val="18"/>
                <w:szCs w:val="18"/>
              </w:rPr>
            </w:pPr>
            <w:r w:rsidRPr="000261D1">
              <w:rPr>
                <w:rFonts w:ascii="Tahoma" w:hAnsi="Tahoma" w:cs="Tahoma"/>
                <w:color w:val="000000" w:themeColor="text1"/>
                <w:sz w:val="18"/>
                <w:szCs w:val="18"/>
              </w:rPr>
              <w:t>Responses covered topics related to likes and dislikes, effect of learning, and learning applications</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 learning outcomes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(7) Chao et al. 2016 (Taiwan)</w:t>
            </w:r>
          </w:p>
          <w:p w:rsidR="002B1038" w:rsidRPr="000261D1" w:rsidRDefault="002B1038" w:rsidP="008B5F6D">
            <w:pPr>
              <w:rPr>
                <w:rFonts w:ascii="Tahoma" w:hAnsi="Tahoma" w:cs="Tahoma"/>
                <w:color w:val="000000" w:themeColor="text1"/>
                <w:sz w:val="18"/>
                <w:szCs w:val="18"/>
              </w:rPr>
            </w:pPr>
          </w:p>
          <w:p w:rsidR="002B1038" w:rsidRPr="000261D1" w:rsidRDefault="002B1038" w:rsidP="008B5F6D">
            <w:pPr>
              <w:rPr>
                <w:rFonts w:ascii="Tahoma" w:hAnsi="Tahoma" w:cs="Tahoma"/>
                <w:color w:val="000000" w:themeColor="text1"/>
                <w:sz w:val="18"/>
                <w:szCs w:val="18"/>
              </w:rPr>
            </w:pPr>
          </w:p>
          <w:p w:rsidR="002B1038" w:rsidRPr="000261D1" w:rsidRDefault="002B1038" w:rsidP="008B5F6D">
            <w:pPr>
              <w:rPr>
                <w:rFonts w:ascii="Tahoma" w:hAnsi="Tahoma" w:cs="Tahoma"/>
                <w:color w:val="000000" w:themeColor="text1"/>
                <w:sz w:val="18"/>
                <w:szCs w:val="18"/>
              </w:rPr>
            </w:pPr>
          </w:p>
        </w:tc>
        <w:tc>
          <w:tcPr>
            <w:tcW w:w="1389" w:type="dxa"/>
          </w:tcPr>
          <w:p w:rsidR="002B1038" w:rsidRPr="000261D1" w:rsidRDefault="002B1038" w:rsidP="008B5F6D">
            <w:pPr>
              <w:tabs>
                <w:tab w:val="num" w:pos="720"/>
              </w:tabs>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50 sophomore students in the culinary department of a technical institute</w:t>
            </w:r>
          </w:p>
          <w:p w:rsidR="002B1038" w:rsidRPr="000261D1" w:rsidRDefault="002B1038" w:rsidP="008B5F6D">
            <w:pPr>
              <w:tabs>
                <w:tab w:val="num" w:pos="720"/>
              </w:tabs>
              <w:cnfStyle w:val="000000100000"/>
              <w:rPr>
                <w:rFonts w:ascii="Tahoma" w:hAnsi="Tahoma" w:cs="Tahoma"/>
                <w:color w:val="000000" w:themeColor="text1"/>
                <w:sz w:val="18"/>
                <w:szCs w:val="18"/>
              </w:rPr>
            </w:pPr>
          </w:p>
          <w:p w:rsidR="002B1038" w:rsidRPr="000261D1" w:rsidRDefault="002B1038" w:rsidP="008B5F6D">
            <w:pPr>
              <w:tabs>
                <w:tab w:val="num" w:pos="720"/>
              </w:tabs>
              <w:cnfStyle w:val="000000100000"/>
              <w:rPr>
                <w:rFonts w:ascii="Tahoma" w:hAnsi="Tahoma" w:cs="Tahoma"/>
                <w:color w:val="000000" w:themeColor="text1"/>
                <w:sz w:val="18"/>
                <w:szCs w:val="18"/>
              </w:rPr>
            </w:pPr>
          </w:p>
          <w:p w:rsidR="002B1038" w:rsidRPr="000261D1" w:rsidRDefault="002B1038" w:rsidP="008B5F6D">
            <w:pPr>
              <w:tabs>
                <w:tab w:val="num" w:pos="720"/>
              </w:tabs>
              <w:cnfStyle w:val="000000100000"/>
              <w:rPr>
                <w:rFonts w:ascii="Tahoma" w:hAnsi="Tahoma" w:cs="Tahoma"/>
                <w:color w:val="000000" w:themeColor="text1"/>
                <w:sz w:val="18"/>
                <w:szCs w:val="18"/>
              </w:rPr>
            </w:pPr>
          </w:p>
          <w:p w:rsidR="002B1038" w:rsidRPr="000261D1" w:rsidRDefault="002B1038" w:rsidP="008B5F6D">
            <w:pPr>
              <w:tabs>
                <w:tab w:val="num" w:pos="720"/>
              </w:tabs>
              <w:cnfStyle w:val="000000100000"/>
              <w:rPr>
                <w:rFonts w:ascii="Tahoma" w:hAnsi="Tahoma" w:cs="Tahoma"/>
                <w:color w:val="000000" w:themeColor="text1"/>
                <w:sz w:val="18"/>
                <w:szCs w:val="18"/>
              </w:rPr>
            </w:pP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how augmented reality can be used in a student performance assessment</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and interview</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Responses covered topics related to the attitudes about peer assessments and helpfulness of mobile performance assessments  </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(8) Chen, 2014</w:t>
            </w:r>
          </w:p>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(Ireland)</w:t>
            </w:r>
          </w:p>
        </w:tc>
        <w:tc>
          <w:tcPr>
            <w:tcW w:w="1389" w:type="dxa"/>
          </w:tcPr>
          <w:p w:rsidR="002B1038" w:rsidRPr="000261D1" w:rsidRDefault="002B1038" w:rsidP="008B5F6D">
            <w:pPr>
              <w:tabs>
                <w:tab w:val="num" w:pos="720"/>
              </w:tabs>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9 undergraduate students studying English as a foreign language </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Examine language strategies and experiences using the virtual reality platform, Second Life</w:t>
            </w:r>
          </w:p>
          <w:p w:rsidR="002B1038" w:rsidRPr="000261D1" w:rsidRDefault="002B1038" w:rsidP="008B5F6D">
            <w:pPr>
              <w:cnfStyle w:val="000000000000"/>
              <w:rPr>
                <w:rFonts w:ascii="Tahoma" w:hAnsi="Tahoma" w:cs="Tahoma"/>
                <w:color w:val="000000" w:themeColor="text1"/>
                <w:sz w:val="18"/>
                <w:szCs w:val="18"/>
              </w:rPr>
            </w:pPr>
          </w:p>
          <w:p w:rsidR="002B1038" w:rsidRPr="000261D1" w:rsidRDefault="002B1038" w:rsidP="008B5F6D">
            <w:pPr>
              <w:cnfStyle w:val="000000000000"/>
              <w:rPr>
                <w:rFonts w:ascii="Tahoma" w:hAnsi="Tahoma" w:cs="Tahoma"/>
                <w:color w:val="000000" w:themeColor="text1"/>
                <w:sz w:val="18"/>
                <w:szCs w:val="18"/>
              </w:rPr>
            </w:pP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journal entries and survey</w:t>
            </w:r>
          </w:p>
          <w:p w:rsidR="002B1038" w:rsidRPr="000261D1" w:rsidRDefault="002B1038" w:rsidP="008B5F6D">
            <w:pPr>
              <w:cnfStyle w:val="000000000000"/>
              <w:rPr>
                <w:rFonts w:ascii="Tahoma" w:hAnsi="Tahoma" w:cs="Tahoma"/>
                <w:color w:val="000000" w:themeColor="text1"/>
                <w:sz w:val="18"/>
                <w:szCs w:val="18"/>
              </w:rPr>
            </w:pP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000000"/>
              <w:rPr>
                <w:rFonts w:ascii="Tahoma" w:eastAsiaTheme="minorEastAsia" w:hAnsi="Tahoma" w:cs="Tahoma"/>
                <w:color w:val="000000" w:themeColor="text1"/>
                <w:sz w:val="18"/>
                <w:szCs w:val="18"/>
              </w:rPr>
            </w:pPr>
            <w:r w:rsidRPr="000261D1">
              <w:rPr>
                <w:rFonts w:ascii="Tahoma" w:hAnsi="Tahoma" w:cs="Tahoma"/>
                <w:color w:val="000000" w:themeColor="text1"/>
                <w:sz w:val="18"/>
                <w:szCs w:val="18"/>
              </w:rPr>
              <w:t xml:space="preserve">Themes identified: (1) factors affecting virtual learning, (2) attitudes toward learning English via  avatars,  and (3) beliefs  about  the  effects  of  task-based  instruction </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(9) Chien et al. 2013 (USA)</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31 education students at the graduate level </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Explore how the virtual reality platform (Second Life)curriculum reflects the participants’ perceptions and practices on teaching </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virtual observations; virtual reflective writings; individual Currere writings; interview</w:t>
            </w:r>
          </w:p>
        </w:tc>
        <w:tc>
          <w:tcPr>
            <w:tcW w:w="1134" w:type="dxa"/>
          </w:tcPr>
          <w:p w:rsidR="002B1038" w:rsidRPr="000261D1" w:rsidRDefault="002B1038" w:rsidP="008B5F6D">
            <w:pPr>
              <w:cnfStyle w:val="000000100000"/>
              <w:rPr>
                <w:rFonts w:ascii="Tahoma" w:eastAsiaTheme="minorEastAsia" w:hAnsi="Tahoma" w:cs="Tahoma"/>
                <w:color w:val="000000" w:themeColor="text1"/>
                <w:sz w:val="18"/>
                <w:szCs w:val="18"/>
              </w:rPr>
            </w:pPr>
            <w:r w:rsidRPr="000261D1">
              <w:rPr>
                <w:rFonts w:ascii="Tahoma" w:eastAsiaTheme="minorEastAsi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Responses covered topics related to four stages: </w:t>
            </w:r>
          </w:p>
          <w:p w:rsidR="002B1038" w:rsidRPr="000261D1" w:rsidRDefault="002B1038" w:rsidP="008B5F6D">
            <w:pPr>
              <w:cnfStyle w:val="000000100000"/>
              <w:rPr>
                <w:rFonts w:ascii="Tahoma" w:eastAsiaTheme="minorEastAsia" w:hAnsi="Tahoma" w:cs="Tahoma"/>
                <w:color w:val="000000" w:themeColor="text1"/>
                <w:sz w:val="18"/>
                <w:szCs w:val="18"/>
              </w:rPr>
            </w:pPr>
            <w:r w:rsidRPr="000261D1">
              <w:rPr>
                <w:rFonts w:ascii="Tahoma" w:hAnsi="Tahoma" w:cs="Tahoma"/>
                <w:color w:val="000000" w:themeColor="text1"/>
                <w:sz w:val="18"/>
                <w:szCs w:val="18"/>
              </w:rPr>
              <w:t xml:space="preserve">(1) regressive, (2) progression, (3) analysis, and (4) synthesis </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recommendations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(10) Edirisingha et al. 2009 (Britain)</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4 undergraduate students in archeology</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Examine how the virtual reality platform, Second Life can facilitate social presence and foster </w:t>
            </w:r>
            <w:r w:rsidRPr="000261D1">
              <w:rPr>
                <w:rFonts w:ascii="Tahoma" w:hAnsi="Tahoma" w:cs="Tahoma"/>
                <w:color w:val="000000" w:themeColor="text1"/>
                <w:sz w:val="18"/>
                <w:szCs w:val="18"/>
              </w:rPr>
              <w:lastRenderedPageBreak/>
              <w:t>socialization among</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distance learners </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lastRenderedPageBreak/>
              <w:t xml:space="preserve">Data collected using interview, in-world observations of learning, and analysis of chat logs  </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p w:rsidR="002B1038" w:rsidRPr="000261D1" w:rsidRDefault="002B1038" w:rsidP="008B5F6D">
            <w:pPr>
              <w:cnfStyle w:val="000000000000"/>
              <w:rPr>
                <w:rFonts w:ascii="Tahoma" w:hAnsi="Tahoma" w:cs="Tahoma"/>
                <w:color w:val="000000" w:themeColor="text1"/>
                <w:sz w:val="18"/>
                <w:szCs w:val="18"/>
              </w:rPr>
            </w:pPr>
          </w:p>
        </w:tc>
        <w:tc>
          <w:tcPr>
            <w:tcW w:w="1559" w:type="dxa"/>
          </w:tcPr>
          <w:p w:rsidR="002B1038" w:rsidRPr="000261D1" w:rsidRDefault="002B1038" w:rsidP="008B5F6D">
            <w:pPr>
              <w:cnfStyle w:val="000000000000"/>
              <w:rPr>
                <w:rFonts w:ascii="Tahoma" w:eastAsiaTheme="minorEastAsia" w:hAnsi="Tahoma" w:cs="Tahoma"/>
                <w:color w:val="000000" w:themeColor="text1"/>
                <w:sz w:val="18"/>
                <w:szCs w:val="18"/>
              </w:rPr>
            </w:pPr>
            <w:r w:rsidRPr="000261D1">
              <w:rPr>
                <w:rFonts w:ascii="Tahoma" w:eastAsiaTheme="minorEastAsia" w:hAnsi="Tahoma" w:cs="Tahoma"/>
                <w:color w:val="000000" w:themeColor="text1"/>
                <w:sz w:val="18"/>
                <w:szCs w:val="18"/>
              </w:rPr>
              <w:t xml:space="preserve">Themes identified: (1) nature of in-world socialization, (2) ‘meeting’ others, (3) perception of ‘exploratory’ learning, and (4) </w:t>
            </w:r>
            <w:r w:rsidRPr="000261D1">
              <w:rPr>
                <w:rFonts w:ascii="Tahoma" w:eastAsiaTheme="minorEastAsia" w:hAnsi="Tahoma" w:cs="Tahoma"/>
                <w:color w:val="000000" w:themeColor="text1"/>
                <w:sz w:val="18"/>
                <w:szCs w:val="18"/>
              </w:rPr>
              <w:lastRenderedPageBreak/>
              <w:t>process of  socialization</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lastRenderedPageBreak/>
              <w:t>Technological factors; learning outcomes; recommendations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lastRenderedPageBreak/>
              <w:t xml:space="preserve">(11) </w:t>
            </w:r>
          </w:p>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Gregory &amp; Masters, 2012 (USA)</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96 pre-service </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teachers; 22 males and 74 females </w:t>
            </w:r>
          </w:p>
          <w:p w:rsidR="002B1038" w:rsidRPr="000261D1" w:rsidRDefault="002B1038" w:rsidP="008B5F6D">
            <w:pPr>
              <w:cnfStyle w:val="000000100000"/>
              <w:rPr>
                <w:rFonts w:ascii="Tahoma" w:hAnsi="Tahoma" w:cs="Tahoma"/>
                <w:color w:val="000000" w:themeColor="text1"/>
                <w:sz w:val="18"/>
                <w:szCs w:val="18"/>
              </w:rPr>
            </w:pP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whether the virtual world, Second Life</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is a feasible</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educational tool to be incorporated </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into a</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repertoire </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of resources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observation, survey, and online dialogue</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the advantages and disadvantages of using a virtual world for learning</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Student characteristics; recommendations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(12) Keskitalo, 2012 (Finland)</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97 undergraduate </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healthcare </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students </w:t>
            </w:r>
          </w:p>
          <w:p w:rsidR="002B1038" w:rsidRPr="000261D1" w:rsidRDefault="002B1038" w:rsidP="008B5F6D">
            <w:pPr>
              <w:cnfStyle w:val="000000000000"/>
              <w:rPr>
                <w:rFonts w:ascii="Tahoma" w:hAnsi="Tahoma" w:cs="Tahoma"/>
                <w:color w:val="000000" w:themeColor="text1"/>
                <w:sz w:val="18"/>
                <w:szCs w:val="18"/>
              </w:rPr>
            </w:pP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Examine expectations </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regarding</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the use of mixed reality where the physical environment and simulation manikins are combined </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questionnaire</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000000"/>
              <w:rPr>
                <w:rFonts w:ascii="Tahoma" w:eastAsiaTheme="minorEastAsia" w:hAnsi="Tahoma" w:cs="Tahoma"/>
                <w:color w:val="000000" w:themeColor="text1"/>
                <w:sz w:val="18"/>
                <w:szCs w:val="18"/>
              </w:rPr>
            </w:pPr>
            <w:r w:rsidRPr="000261D1">
              <w:rPr>
                <w:rFonts w:ascii="Tahoma" w:eastAsiaTheme="minorEastAsia" w:hAnsi="Tahoma" w:cs="Tahoma"/>
                <w:color w:val="000000" w:themeColor="text1"/>
                <w:sz w:val="18"/>
                <w:szCs w:val="18"/>
              </w:rPr>
              <w:t xml:space="preserve">Responses covered topics related to the age of students and their expectations for learning </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Student characteristics; learning outcomes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(13) Maher et al. 2015 (USA)</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graduate students from a Multimedia Learning Studio; age ranged from 36 to 55 years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the effectiveness of full dome planetarium software and VR headsets</w:t>
            </w:r>
          </w:p>
          <w:p w:rsidR="002B1038" w:rsidRPr="000261D1" w:rsidRDefault="002B1038" w:rsidP="008B5F6D">
            <w:pPr>
              <w:cnfStyle w:val="000000100000"/>
              <w:rPr>
                <w:rFonts w:ascii="Tahoma" w:hAnsi="Tahoma" w:cs="Tahoma"/>
                <w:color w:val="000000" w:themeColor="text1"/>
                <w:sz w:val="18"/>
                <w:szCs w:val="18"/>
              </w:rPr>
            </w:pP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questionnaire</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Responses covered topics related to utility and functionality </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(14) Nadolny et al. 2013 (USA)</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53 undergraduate students from various academic backgrounds including science, engineering and computer science</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Examine the application of virtual reality in ethics education</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and interview</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student experiences with the platform and learning outcomes</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 learning outcomes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(15) Nissim</w:t>
            </w:r>
            <w:r w:rsidR="00483657">
              <w:rPr>
                <w:rFonts w:ascii="Tahoma" w:hAnsi="Tahoma" w:cs="Tahoma"/>
                <w:b w:val="0"/>
                <w:color w:val="000000" w:themeColor="text1"/>
                <w:sz w:val="18"/>
                <w:szCs w:val="18"/>
              </w:rPr>
              <w:t xml:space="preserve"> </w:t>
            </w:r>
            <w:r w:rsidRPr="000261D1">
              <w:rPr>
                <w:rFonts w:ascii="Tahoma" w:hAnsi="Tahoma" w:cs="Tahoma"/>
                <w:b w:val="0"/>
                <w:color w:val="000000" w:themeColor="text1"/>
                <w:sz w:val="18"/>
                <w:szCs w:val="18"/>
              </w:rPr>
              <w:t>&amp; Weissblueth, 2017 (Israel)</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176 students training to become elementary or secondary school teachers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Explore the experiences of pre-service student teachers in a teaching unit involving virtual reality</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free reflections written by students</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Themes identified: </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(1) learning processes become entertaining, (2) better understanding of technology, (3) creative learning, (4)</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interest in technology, (5) </w:t>
            </w:r>
            <w:r w:rsidRPr="000261D1">
              <w:rPr>
                <w:rFonts w:ascii="Tahoma" w:hAnsi="Tahoma" w:cs="Tahoma"/>
                <w:color w:val="000000" w:themeColor="text1"/>
                <w:sz w:val="18"/>
                <w:szCs w:val="18"/>
              </w:rPr>
              <w:lastRenderedPageBreak/>
              <w:t>problem solving, (6) stamina, and (7) learning in real life</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lastRenderedPageBreak/>
              <w:t>Student characteristics; learning outcomes; recommendations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lastRenderedPageBreak/>
              <w:t>(16)Ochoa-Alpala &amp; Ortíz-García, 2018 (Columbia)</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60 undergraduate students from various academic backgrounds; age ranged from 19 to 24 years old; 23 females and 37 males</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Examine the relationship between the creation of </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real life and virtual videos, and the development of oral presentation skills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interview and student work</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student experiences with the technology and learning outcomes</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 learning outcomes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(17) Onal et al. 2017 (Turkey)</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40 elementary mathematics teacher candidates; 29 females and 11 males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Examine the effect of augmented reality technology on </w:t>
            </w:r>
          </w:p>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geometry teaching </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semi-structured interview forms</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Themes included: (1) attitudes towards usage, (2) learning and (3) implementation</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 learning outcomes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(18) Pan &amp; Steed, 2017 (United Kingdom)</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48 undergraduate students; age ranged from 18 to 42 years; 24 females and 24 males</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Examine the effect of a</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self-avatar</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on</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collaborative</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outcomes</w:t>
            </w:r>
          </w:p>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in a shared virtual environment</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questionnaire</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student experiences with technology and learning outcomes</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Learning outcomes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(19) Reinsmith-Jones et al. 2015 (USA)</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70 undergraduate students in social work</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the educational value of virtual reality platform, Second Life in an Introduction to Social Welfare and Social Work class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and reflective journaling</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 xml:space="preserve">Themes identified: (1) emotion, (2) empathetic understanding, (3) critical thinking, and (4) effects on personal behavior  </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Student characteristics; learning outcomes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(20) Speed et al. 2015 (USA)</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9 graduate students in creative studies   </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Examine the impact of TeachLivE simulation on ability to effectively manage behaviors in facilitation sessions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Data collected through a feedback form, survey and observation</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Thematic Analysis</w:t>
            </w:r>
          </w:p>
        </w:tc>
        <w:tc>
          <w:tcPr>
            <w:tcW w:w="1559" w:type="dxa"/>
          </w:tcPr>
          <w:p w:rsidR="002B1038"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Themes identified: (1) confusion and concern over TeachLivE, (2) pedagogical response to learning, and (3) perception of the “resource group” as an  entity  </w:t>
            </w:r>
          </w:p>
          <w:p w:rsidR="00483657" w:rsidRPr="000261D1" w:rsidRDefault="00483657" w:rsidP="008B5F6D">
            <w:pPr>
              <w:cnfStyle w:val="000000000000"/>
              <w:rPr>
                <w:rFonts w:ascii="Tahoma" w:hAnsi="Tahoma" w:cs="Tahoma"/>
                <w:color w:val="000000" w:themeColor="text1"/>
                <w:sz w:val="18"/>
                <w:szCs w:val="18"/>
              </w:rPr>
            </w:pP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lastRenderedPageBreak/>
              <w:t>(21) Toh et al. 2015 (USA)</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33 undergraduate students in engineering; 23 males and 10 females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the effect of a virtual product dissection on learning</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survey, focus group and interview</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the advantages and disadvantages of virtual dissection</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w:t>
            </w:r>
          </w:p>
        </w:tc>
      </w:tr>
      <w:tr w:rsidR="002B1038" w:rsidRPr="000261D1" w:rsidTr="008B5F6D">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(22) Turk et al. 2017 (Turkey)</w:t>
            </w:r>
          </w:p>
        </w:tc>
        <w:tc>
          <w:tcPr>
            <w:tcW w:w="138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100 pre-service science teachers  </w:t>
            </w:r>
          </w:p>
        </w:tc>
        <w:tc>
          <w:tcPr>
            <w:tcW w:w="1276"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Examine the effects of teaching about the seasons using virtual reality or physical models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 xml:space="preserve">Data collected using an open-ended question form  </w:t>
            </w:r>
          </w:p>
        </w:tc>
        <w:tc>
          <w:tcPr>
            <w:tcW w:w="1134"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the pros and cons of using virtual reality over physical models</w:t>
            </w:r>
          </w:p>
        </w:tc>
        <w:tc>
          <w:tcPr>
            <w:tcW w:w="1701" w:type="dxa"/>
          </w:tcPr>
          <w:p w:rsidR="002B1038" w:rsidRPr="000261D1" w:rsidRDefault="002B1038" w:rsidP="008B5F6D">
            <w:pPr>
              <w:cnfStyle w:val="000000000000"/>
              <w:rPr>
                <w:rFonts w:ascii="Tahoma" w:hAnsi="Tahoma" w:cs="Tahoma"/>
                <w:color w:val="000000" w:themeColor="text1"/>
                <w:sz w:val="18"/>
                <w:szCs w:val="18"/>
              </w:rPr>
            </w:pPr>
            <w:r w:rsidRPr="000261D1">
              <w:rPr>
                <w:rFonts w:ascii="Tahoma" w:hAnsi="Tahoma" w:cs="Tahoma"/>
                <w:color w:val="000000" w:themeColor="text1"/>
                <w:sz w:val="18"/>
                <w:szCs w:val="18"/>
              </w:rPr>
              <w:t>Student characteristics</w:t>
            </w:r>
          </w:p>
        </w:tc>
      </w:tr>
      <w:tr w:rsidR="002B1038" w:rsidRPr="000261D1" w:rsidTr="008B5F6D">
        <w:trPr>
          <w:cnfStyle w:val="000000100000"/>
        </w:trPr>
        <w:tc>
          <w:tcPr>
            <w:cnfStyle w:val="001000000000"/>
            <w:tcW w:w="1276" w:type="dxa"/>
          </w:tcPr>
          <w:p w:rsidR="002B1038" w:rsidRPr="000261D1" w:rsidRDefault="002B1038" w:rsidP="008B5F6D">
            <w:pPr>
              <w:rPr>
                <w:rFonts w:ascii="Tahoma" w:hAnsi="Tahoma" w:cs="Tahoma"/>
                <w:b w:val="0"/>
                <w:color w:val="000000" w:themeColor="text1"/>
                <w:sz w:val="18"/>
                <w:szCs w:val="18"/>
              </w:rPr>
            </w:pPr>
            <w:r w:rsidRPr="000261D1">
              <w:rPr>
                <w:rFonts w:ascii="Tahoma" w:hAnsi="Tahoma" w:cs="Tahoma"/>
                <w:b w:val="0"/>
                <w:color w:val="000000" w:themeColor="text1"/>
                <w:sz w:val="18"/>
                <w:szCs w:val="18"/>
              </w:rPr>
              <w:t>(23) Yildirim et al. 2018 (Turkey)</w:t>
            </w:r>
          </w:p>
        </w:tc>
        <w:tc>
          <w:tcPr>
            <w:tcW w:w="138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25 undergraduate students in history; 12 males and 13 females</w:t>
            </w:r>
          </w:p>
        </w:tc>
        <w:tc>
          <w:tcPr>
            <w:tcW w:w="1276"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Examine the use of virtual reality in teaching about history of civilizations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Data collected using a semi-structured interview</w:t>
            </w:r>
          </w:p>
        </w:tc>
        <w:tc>
          <w:tcPr>
            <w:tcW w:w="1134"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Content Analysis</w:t>
            </w:r>
          </w:p>
        </w:tc>
        <w:tc>
          <w:tcPr>
            <w:tcW w:w="1559"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Responses covered topics related to the advantages and disadvantages of using virtual reality</w:t>
            </w:r>
          </w:p>
        </w:tc>
        <w:tc>
          <w:tcPr>
            <w:tcW w:w="1701" w:type="dxa"/>
          </w:tcPr>
          <w:p w:rsidR="002B1038" w:rsidRPr="000261D1" w:rsidRDefault="002B1038" w:rsidP="008B5F6D">
            <w:pPr>
              <w:cnfStyle w:val="000000100000"/>
              <w:rPr>
                <w:rFonts w:ascii="Tahoma" w:hAnsi="Tahoma" w:cs="Tahoma"/>
                <w:color w:val="000000" w:themeColor="text1"/>
                <w:sz w:val="18"/>
                <w:szCs w:val="18"/>
              </w:rPr>
            </w:pPr>
            <w:r w:rsidRPr="000261D1">
              <w:rPr>
                <w:rFonts w:ascii="Tahoma" w:hAnsi="Tahoma" w:cs="Tahoma"/>
                <w:color w:val="000000" w:themeColor="text1"/>
                <w:sz w:val="18"/>
                <w:szCs w:val="18"/>
              </w:rPr>
              <w:t>Technological factors; student characteristics</w:t>
            </w:r>
          </w:p>
        </w:tc>
      </w:tr>
    </w:tbl>
    <w:p w:rsidR="002B1038" w:rsidRPr="000261D1" w:rsidRDefault="002B1038" w:rsidP="002B1038">
      <w:pPr>
        <w:spacing w:line="360" w:lineRule="auto"/>
        <w:rPr>
          <w:rFonts w:ascii="Tahoma" w:hAnsi="Tahoma" w:cs="Tahoma"/>
          <w:color w:val="000000" w:themeColor="text1"/>
          <w:sz w:val="18"/>
          <w:szCs w:val="18"/>
        </w:rPr>
      </w:pPr>
    </w:p>
    <w:p w:rsidR="008C5770" w:rsidRDefault="008C5770"/>
    <w:sectPr w:rsidR="008C5770" w:rsidSect="00090C30">
      <w:headerReference w:type="even" r:id="rId37"/>
      <w:headerReference w:type="default" r:id="rId38"/>
      <w:footerReference w:type="default" r:id="rId39"/>
      <w:headerReference w:type="first" r:id="rId40"/>
      <w:pgSz w:w="12240" w:h="15840"/>
      <w:pgMar w:top="1440" w:right="1797" w:bottom="1440" w:left="1797" w:header="709"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77" w:rsidRDefault="00592E77">
      <w:r>
        <w:separator/>
      </w:r>
    </w:p>
  </w:endnote>
  <w:endnote w:type="continuationSeparator" w:id="1">
    <w:p w:rsidR="00592E77" w:rsidRDefault="00592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variable"/>
    <w:sig w:usb0="800002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E0" w:rsidRDefault="00DE1AE0">
    <w:pPr>
      <w:pStyle w:val="Footer"/>
      <w:rPr>
        <w:rFonts w:ascii="Tahoma" w:hAnsi="Tahoma" w:cs="Tahoma"/>
        <w:sz w:val="20"/>
        <w:szCs w:val="20"/>
      </w:rPr>
    </w:pPr>
  </w:p>
  <w:p w:rsidR="00DE1AE0" w:rsidRDefault="00DE1AE0">
    <w:pPr>
      <w:pStyle w:val="Footer"/>
      <w:rPr>
        <w:rFonts w:ascii="Tahoma" w:hAnsi="Tahoma" w:cs="Tahoma"/>
        <w:sz w:val="20"/>
        <w:szCs w:val="20"/>
      </w:rPr>
    </w:pPr>
    <w:r w:rsidRPr="00E55AAD">
      <w:rPr>
        <w:rFonts w:ascii="Tahoma" w:hAnsi="Tahoma" w:cs="Tahoma"/>
        <w:sz w:val="20"/>
        <w:szCs w:val="20"/>
      </w:rPr>
      <w:t>Innovative Practice in Higher Education</w:t>
    </w:r>
    <w:r>
      <w:rPr>
        <w:rFonts w:ascii="Tahoma" w:hAnsi="Tahoma" w:cs="Tahoma"/>
        <w:sz w:val="20"/>
        <w:szCs w:val="20"/>
      </w:rPr>
      <w:tab/>
    </w:r>
    <w:r>
      <w:rPr>
        <w:rFonts w:ascii="Tahoma" w:hAnsi="Tahoma" w:cs="Tahoma"/>
        <w:sz w:val="20"/>
        <w:szCs w:val="20"/>
      </w:rPr>
      <w:tab/>
    </w:r>
    <w:r w:rsidR="00B676F3" w:rsidRPr="00E55AAD">
      <w:rPr>
        <w:rFonts w:ascii="Tahoma" w:hAnsi="Tahoma" w:cs="Tahoma"/>
        <w:sz w:val="20"/>
        <w:szCs w:val="20"/>
      </w:rPr>
      <w:fldChar w:fldCharType="begin"/>
    </w:r>
    <w:r w:rsidRPr="00E55AAD">
      <w:rPr>
        <w:rFonts w:ascii="Tahoma" w:hAnsi="Tahoma" w:cs="Tahoma"/>
        <w:sz w:val="20"/>
        <w:szCs w:val="20"/>
      </w:rPr>
      <w:instrText xml:space="preserve"> PAGE   \* MERGEFORMAT </w:instrText>
    </w:r>
    <w:r w:rsidR="00B676F3" w:rsidRPr="00E55AAD">
      <w:rPr>
        <w:rFonts w:ascii="Tahoma" w:hAnsi="Tahoma" w:cs="Tahoma"/>
        <w:sz w:val="20"/>
        <w:szCs w:val="20"/>
      </w:rPr>
      <w:fldChar w:fldCharType="separate"/>
    </w:r>
    <w:r w:rsidR="00090C30">
      <w:rPr>
        <w:rFonts w:ascii="Tahoma" w:hAnsi="Tahoma" w:cs="Tahoma"/>
        <w:noProof/>
        <w:sz w:val="20"/>
        <w:szCs w:val="20"/>
      </w:rPr>
      <w:t>22</w:t>
    </w:r>
    <w:r w:rsidR="00B676F3" w:rsidRPr="00E55AAD">
      <w:rPr>
        <w:rFonts w:ascii="Tahoma" w:hAnsi="Tahoma" w:cs="Tahoma"/>
        <w:sz w:val="20"/>
        <w:szCs w:val="20"/>
      </w:rPr>
      <w:fldChar w:fldCharType="end"/>
    </w:r>
  </w:p>
  <w:p w:rsidR="00DE1AE0" w:rsidRPr="00E55AAD" w:rsidRDefault="00DE1AE0">
    <w:pPr>
      <w:pStyle w:val="Footer"/>
      <w:rPr>
        <w:rFonts w:ascii="Tahoma" w:hAnsi="Tahoma" w:cs="Tahoma"/>
        <w:sz w:val="20"/>
        <w:szCs w:val="20"/>
      </w:rPr>
    </w:pPr>
    <w:r w:rsidRPr="00E55AAD">
      <w:rPr>
        <w:rFonts w:ascii="Tahoma" w:hAnsi="Tahoma" w:cs="Tahoma"/>
        <w:sz w:val="20"/>
        <w:szCs w:val="20"/>
      </w:rPr>
      <w:t>© IPHE 2019</w:t>
    </w:r>
  </w:p>
  <w:p w:rsidR="00DE1AE0" w:rsidRPr="00E55AAD" w:rsidRDefault="00DE1AE0">
    <w:pPr>
      <w:pStyle w:val="Footer"/>
      <w:rPr>
        <w:rFonts w:ascii="Tahoma" w:hAnsi="Tahoma" w:cs="Tahoma"/>
      </w:rPr>
    </w:pPr>
    <w:r w:rsidRPr="00E55AAD">
      <w:rPr>
        <w:rFonts w:ascii="Tahoma" w:hAnsi="Tahoma" w:cs="Tahoma"/>
        <w:sz w:val="20"/>
        <w:szCs w:val="20"/>
      </w:rPr>
      <w:t>ISSN 2044-3315</w:t>
    </w:r>
    <w:r>
      <w:rPr>
        <w:rFonts w:ascii="Tahoma" w:hAnsi="Tahoma" w:cs="Tahom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77" w:rsidRDefault="00592E77">
      <w:r>
        <w:separator/>
      </w:r>
    </w:p>
  </w:footnote>
  <w:footnote w:type="continuationSeparator" w:id="1">
    <w:p w:rsidR="00592E77" w:rsidRDefault="00592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E0" w:rsidRDefault="00B676F3" w:rsidP="008B5F6D">
    <w:pPr>
      <w:pStyle w:val="Header"/>
      <w:framePr w:wrap="none" w:vAnchor="text" w:hAnchor="margin" w:xAlign="right" w:y="1"/>
      <w:rPr>
        <w:rStyle w:val="PageNumber"/>
      </w:rPr>
    </w:pPr>
    <w:r>
      <w:rPr>
        <w:rStyle w:val="PageNumber"/>
      </w:rPr>
      <w:fldChar w:fldCharType="begin"/>
    </w:r>
    <w:r w:rsidR="00DE1AE0">
      <w:rPr>
        <w:rStyle w:val="PageNumber"/>
      </w:rPr>
      <w:instrText xml:space="preserve">PAGE  </w:instrText>
    </w:r>
    <w:r>
      <w:rPr>
        <w:rStyle w:val="PageNumber"/>
      </w:rPr>
      <w:fldChar w:fldCharType="end"/>
    </w:r>
  </w:p>
  <w:p w:rsidR="00DE1AE0" w:rsidRDefault="00DE1AE0" w:rsidP="008B5F6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E0" w:rsidRPr="00A01030" w:rsidRDefault="00DE1AE0" w:rsidP="008B5F6D">
    <w:pPr>
      <w:pStyle w:val="Header"/>
      <w:framePr w:wrap="none" w:vAnchor="text" w:hAnchor="margin" w:xAlign="right" w:y="1"/>
      <w:rPr>
        <w:rStyle w:val="PageNumber"/>
        <w:rFonts w:ascii="Tahoma" w:hAnsi="Tahoma" w:cs="Tahoma"/>
        <w:sz w:val="20"/>
        <w:szCs w:val="20"/>
      </w:rPr>
    </w:pPr>
  </w:p>
  <w:p w:rsidR="00DE1AE0" w:rsidRDefault="00DE1AE0" w:rsidP="008B5F6D">
    <w:pPr>
      <w:pStyle w:val="Header"/>
      <w:ind w:right="360"/>
      <w:rPr>
        <w:rFonts w:ascii="Tahoma" w:hAnsi="Tahoma" w:cs="Tahoma"/>
        <w:color w:val="000000" w:themeColor="text1"/>
        <w:sz w:val="20"/>
        <w:szCs w:val="20"/>
        <w:lang w:val="en-CA"/>
      </w:rPr>
    </w:pPr>
    <w:r>
      <w:rPr>
        <w:rFonts w:ascii="Tahoma" w:hAnsi="Tahoma" w:cs="Tahoma"/>
        <w:color w:val="000000" w:themeColor="text1"/>
        <w:sz w:val="20"/>
        <w:szCs w:val="20"/>
        <w:lang w:val="en-CA"/>
      </w:rPr>
      <w:t xml:space="preserve">Innovative Practice in Higher Education  </w:t>
    </w:r>
    <w:r>
      <w:rPr>
        <w:rFonts w:ascii="Tahoma" w:hAnsi="Tahoma" w:cs="Tahoma"/>
        <w:color w:val="000000" w:themeColor="text1"/>
        <w:sz w:val="20"/>
        <w:szCs w:val="20"/>
        <w:lang w:val="en-CA"/>
      </w:rPr>
      <w:tab/>
    </w:r>
    <w:r>
      <w:rPr>
        <w:rFonts w:ascii="Tahoma" w:hAnsi="Tahoma" w:cs="Tahoma"/>
        <w:color w:val="000000" w:themeColor="text1"/>
        <w:sz w:val="20"/>
        <w:szCs w:val="20"/>
        <w:lang w:val="en-CA"/>
      </w:rPr>
      <w:tab/>
      <w:t>DePape, Barnes, Petryschuk</w:t>
    </w:r>
  </w:p>
  <w:p w:rsidR="00DE1AE0" w:rsidRPr="000261D1" w:rsidRDefault="00DE1AE0" w:rsidP="008B5F6D">
    <w:pPr>
      <w:pStyle w:val="Header"/>
      <w:ind w:right="360"/>
      <w:rPr>
        <w:rFonts w:ascii="Tahoma" w:hAnsi="Tahoma" w:cs="Tahoma"/>
        <w:color w:val="000000" w:themeColor="text1"/>
        <w:sz w:val="20"/>
        <w:szCs w:val="20"/>
        <w:lang w:val="en-CA"/>
      </w:rPr>
    </w:pPr>
    <w:r>
      <w:rPr>
        <w:rFonts w:ascii="Tahoma" w:hAnsi="Tahoma" w:cs="Tahoma"/>
        <w:color w:val="000000" w:themeColor="text1"/>
        <w:sz w:val="20"/>
        <w:szCs w:val="20"/>
        <w:lang w:val="en-CA"/>
      </w:rPr>
      <w:t>Vol 3 (3) April 2019</w:t>
    </w:r>
    <w:r>
      <w:rPr>
        <w:rFonts w:ascii="Tahoma" w:hAnsi="Tahoma" w:cs="Tahoma"/>
        <w:color w:val="000000" w:themeColor="text1"/>
        <w:sz w:val="20"/>
        <w:szCs w:val="20"/>
        <w:lang w:val="en-CA"/>
      </w:rPr>
      <w:tab/>
    </w:r>
    <w:r>
      <w:rPr>
        <w:rFonts w:ascii="Tahoma" w:hAnsi="Tahoma" w:cs="Tahoma"/>
        <w:color w:val="000000" w:themeColor="text1"/>
        <w:sz w:val="20"/>
        <w:szCs w:val="20"/>
        <w:lang w:val="en-CA"/>
      </w:rPr>
      <w:tab/>
    </w:r>
    <w:r w:rsidRPr="000261D1">
      <w:rPr>
        <w:rFonts w:ascii="Tahoma" w:hAnsi="Tahoma" w:cs="Tahoma"/>
        <w:color w:val="000000" w:themeColor="text1"/>
        <w:sz w:val="20"/>
        <w:szCs w:val="20"/>
        <w:lang w:val="en-CA"/>
      </w:rPr>
      <w:t>S</w:t>
    </w:r>
    <w:r>
      <w:rPr>
        <w:rFonts w:ascii="Tahoma" w:hAnsi="Tahoma" w:cs="Tahoma"/>
        <w:color w:val="000000" w:themeColor="text1"/>
        <w:sz w:val="20"/>
        <w:szCs w:val="20"/>
        <w:lang w:val="en-CA"/>
      </w:rPr>
      <w:t>tudents</w:t>
    </w:r>
    <w:r w:rsidRPr="000261D1">
      <w:rPr>
        <w:rFonts w:ascii="Tahoma" w:hAnsi="Tahoma" w:cs="Tahoma"/>
        <w:color w:val="000000" w:themeColor="text1"/>
        <w:sz w:val="20"/>
        <w:szCs w:val="20"/>
        <w:lang w:val="en-CA"/>
      </w:rPr>
      <w:t>’ E</w:t>
    </w:r>
    <w:r>
      <w:rPr>
        <w:rFonts w:ascii="Tahoma" w:hAnsi="Tahoma" w:cs="Tahoma"/>
        <w:color w:val="000000" w:themeColor="text1"/>
        <w:sz w:val="20"/>
        <w:szCs w:val="20"/>
        <w:lang w:val="en-CA"/>
      </w:rPr>
      <w:t>xperiences</w:t>
    </w:r>
    <w:r w:rsidRPr="000261D1">
      <w:rPr>
        <w:rFonts w:ascii="Tahoma" w:hAnsi="Tahoma" w:cs="Tahoma"/>
        <w:color w:val="000000" w:themeColor="text1"/>
        <w:sz w:val="20"/>
        <w:szCs w:val="20"/>
        <w:lang w:val="en-CA"/>
      </w:rPr>
      <w:t xml:space="preserve"> </w:t>
    </w:r>
    <w:r>
      <w:rPr>
        <w:rFonts w:ascii="Tahoma" w:hAnsi="Tahoma" w:cs="Tahoma"/>
        <w:color w:val="000000" w:themeColor="text1"/>
        <w:sz w:val="20"/>
        <w:szCs w:val="20"/>
        <w:lang w:val="en-CA"/>
      </w:rPr>
      <w:t>with</w:t>
    </w:r>
    <w:r w:rsidRPr="000261D1">
      <w:rPr>
        <w:rFonts w:ascii="Tahoma" w:hAnsi="Tahoma" w:cs="Tahoma"/>
        <w:color w:val="000000" w:themeColor="text1"/>
        <w:sz w:val="20"/>
        <w:szCs w:val="20"/>
        <w:lang w:val="en-CA"/>
      </w:rPr>
      <w:t xml:space="preserve"> VR </w:t>
    </w:r>
    <w:r>
      <w:rPr>
        <w:rFonts w:ascii="Tahoma" w:hAnsi="Tahoma" w:cs="Tahoma"/>
        <w:color w:val="000000" w:themeColor="text1"/>
        <w:sz w:val="20"/>
        <w:szCs w:val="20"/>
        <w:lang w:val="en-CA"/>
      </w:rPr>
      <w:t>and</w:t>
    </w:r>
    <w:r w:rsidRPr="000261D1">
      <w:rPr>
        <w:rFonts w:ascii="Tahoma" w:hAnsi="Tahoma" w:cs="Tahoma"/>
        <w:color w:val="000000" w:themeColor="text1"/>
        <w:sz w:val="20"/>
        <w:szCs w:val="20"/>
        <w:lang w:val="en-CA"/>
      </w:rPr>
      <w:t xml:space="preserve"> 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E0" w:rsidRPr="00D82470" w:rsidRDefault="00DE1AE0" w:rsidP="008B5F6D">
    <w:pPr>
      <w:pStyle w:val="Header"/>
      <w:ind w:right="360"/>
      <w:rPr>
        <w:rFonts w:ascii="Tahoma" w:hAnsi="Tahoma" w:cs="Tahoma"/>
        <w:sz w:val="20"/>
        <w:szCs w:val="20"/>
        <w:lang w:val="en-CA"/>
      </w:rPr>
    </w:pPr>
    <w:r w:rsidRPr="00D82470">
      <w:rPr>
        <w:rFonts w:ascii="Tahoma" w:hAnsi="Tahoma" w:cs="Tahoma"/>
        <w:sz w:val="20"/>
        <w:szCs w:val="20"/>
        <w:lang w:val="en-CA"/>
      </w:rPr>
      <w:t>Running head: STUDENTS’ EXPERIENCES</w:t>
    </w:r>
    <w:r w:rsidRPr="0000185C">
      <w:rPr>
        <w:rFonts w:ascii="Tahoma" w:hAnsi="Tahoma" w:cs="Tahoma"/>
        <w:color w:val="4472C4" w:themeColor="accent1"/>
        <w:sz w:val="20"/>
        <w:szCs w:val="20"/>
        <w:lang w:val="en-CA"/>
      </w:rPr>
      <w:t>IN VR AND AR</w:t>
    </w:r>
  </w:p>
  <w:p w:rsidR="00DE1AE0" w:rsidRDefault="00DE1AE0" w:rsidP="008B5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00A24"/>
    <w:multiLevelType w:val="hybridMultilevel"/>
    <w:tmpl w:val="2B3CE50E"/>
    <w:lvl w:ilvl="0" w:tplc="42AC3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2B1038"/>
    <w:rsid w:val="00004A44"/>
    <w:rsid w:val="00052C4D"/>
    <w:rsid w:val="00052ED2"/>
    <w:rsid w:val="00090C30"/>
    <w:rsid w:val="000D747D"/>
    <w:rsid w:val="00115AFE"/>
    <w:rsid w:val="002B1038"/>
    <w:rsid w:val="002E24A7"/>
    <w:rsid w:val="002F371B"/>
    <w:rsid w:val="00303BCF"/>
    <w:rsid w:val="00325C25"/>
    <w:rsid w:val="00351AF5"/>
    <w:rsid w:val="003A1D94"/>
    <w:rsid w:val="00483657"/>
    <w:rsid w:val="004C5B02"/>
    <w:rsid w:val="0055751C"/>
    <w:rsid w:val="00592E77"/>
    <w:rsid w:val="007D067C"/>
    <w:rsid w:val="008B5F6D"/>
    <w:rsid w:val="008C5770"/>
    <w:rsid w:val="009D2143"/>
    <w:rsid w:val="00A01030"/>
    <w:rsid w:val="00A73EF6"/>
    <w:rsid w:val="00A92458"/>
    <w:rsid w:val="00A94592"/>
    <w:rsid w:val="00AA6EE7"/>
    <w:rsid w:val="00B676F3"/>
    <w:rsid w:val="00B804D6"/>
    <w:rsid w:val="00D113DF"/>
    <w:rsid w:val="00D8309A"/>
    <w:rsid w:val="00DE1AE0"/>
    <w:rsid w:val="00DE5B61"/>
    <w:rsid w:val="00E22F0C"/>
    <w:rsid w:val="00E55AAD"/>
    <w:rsid w:val="00F45AAB"/>
    <w:rsid w:val="00F518C6"/>
    <w:rsid w:val="00F968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3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038"/>
    <w:rPr>
      <w:color w:val="0563C1" w:themeColor="hyperlink"/>
      <w:u w:val="single"/>
    </w:rPr>
  </w:style>
  <w:style w:type="character" w:styleId="FollowedHyperlink">
    <w:name w:val="FollowedHyperlink"/>
    <w:basedOn w:val="DefaultParagraphFont"/>
    <w:uiPriority w:val="99"/>
    <w:semiHidden/>
    <w:unhideWhenUsed/>
    <w:rsid w:val="002B1038"/>
    <w:rPr>
      <w:color w:val="954F72" w:themeColor="followedHyperlink"/>
      <w:u w:val="single"/>
    </w:rPr>
  </w:style>
  <w:style w:type="character" w:styleId="Strong">
    <w:name w:val="Strong"/>
    <w:basedOn w:val="DefaultParagraphFont"/>
    <w:uiPriority w:val="22"/>
    <w:qFormat/>
    <w:rsid w:val="002B1038"/>
    <w:rPr>
      <w:b/>
      <w:bCs/>
    </w:rPr>
  </w:style>
  <w:style w:type="character" w:customStyle="1" w:styleId="thspan">
    <w:name w:val="thspan"/>
    <w:basedOn w:val="DefaultParagraphFont"/>
    <w:rsid w:val="002B1038"/>
  </w:style>
  <w:style w:type="paragraph" w:styleId="Header">
    <w:name w:val="header"/>
    <w:basedOn w:val="Normal"/>
    <w:link w:val="HeaderChar"/>
    <w:uiPriority w:val="99"/>
    <w:unhideWhenUsed/>
    <w:rsid w:val="002B1038"/>
    <w:pPr>
      <w:tabs>
        <w:tab w:val="center" w:pos="4680"/>
        <w:tab w:val="right" w:pos="9360"/>
      </w:tabs>
    </w:pPr>
  </w:style>
  <w:style w:type="character" w:customStyle="1" w:styleId="HeaderChar">
    <w:name w:val="Header Char"/>
    <w:basedOn w:val="DefaultParagraphFont"/>
    <w:link w:val="Header"/>
    <w:uiPriority w:val="99"/>
    <w:rsid w:val="002B1038"/>
    <w:rPr>
      <w:rFonts w:ascii="Times New Roman" w:hAnsi="Times New Roman" w:cs="Times New Roman"/>
    </w:rPr>
  </w:style>
  <w:style w:type="paragraph" w:styleId="Footer">
    <w:name w:val="footer"/>
    <w:basedOn w:val="Normal"/>
    <w:link w:val="FooterChar"/>
    <w:uiPriority w:val="99"/>
    <w:unhideWhenUsed/>
    <w:rsid w:val="002B1038"/>
    <w:pPr>
      <w:tabs>
        <w:tab w:val="center" w:pos="4680"/>
        <w:tab w:val="right" w:pos="9360"/>
      </w:tabs>
    </w:pPr>
  </w:style>
  <w:style w:type="character" w:customStyle="1" w:styleId="FooterChar">
    <w:name w:val="Footer Char"/>
    <w:basedOn w:val="DefaultParagraphFont"/>
    <w:link w:val="Footer"/>
    <w:uiPriority w:val="99"/>
    <w:rsid w:val="002B1038"/>
    <w:rPr>
      <w:rFonts w:ascii="Times New Roman" w:hAnsi="Times New Roman" w:cs="Times New Roman"/>
    </w:rPr>
  </w:style>
  <w:style w:type="character" w:styleId="PageNumber">
    <w:name w:val="page number"/>
    <w:basedOn w:val="DefaultParagraphFont"/>
    <w:uiPriority w:val="99"/>
    <w:semiHidden/>
    <w:unhideWhenUsed/>
    <w:rsid w:val="002B1038"/>
  </w:style>
  <w:style w:type="paragraph" w:styleId="ListParagraph">
    <w:name w:val="List Paragraph"/>
    <w:basedOn w:val="Normal"/>
    <w:uiPriority w:val="34"/>
    <w:qFormat/>
    <w:rsid w:val="002B1038"/>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2B1038"/>
    <w:rPr>
      <w:sz w:val="18"/>
      <w:szCs w:val="18"/>
    </w:rPr>
  </w:style>
  <w:style w:type="paragraph" w:styleId="CommentText">
    <w:name w:val="annotation text"/>
    <w:basedOn w:val="Normal"/>
    <w:link w:val="CommentTextChar"/>
    <w:uiPriority w:val="99"/>
    <w:semiHidden/>
    <w:unhideWhenUsed/>
    <w:rsid w:val="002B1038"/>
  </w:style>
  <w:style w:type="character" w:customStyle="1" w:styleId="CommentTextChar">
    <w:name w:val="Comment Text Char"/>
    <w:basedOn w:val="DefaultParagraphFont"/>
    <w:link w:val="CommentText"/>
    <w:uiPriority w:val="99"/>
    <w:semiHidden/>
    <w:rsid w:val="002B103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B1038"/>
    <w:rPr>
      <w:b/>
      <w:bCs/>
      <w:sz w:val="20"/>
      <w:szCs w:val="20"/>
    </w:rPr>
  </w:style>
  <w:style w:type="character" w:customStyle="1" w:styleId="CommentSubjectChar">
    <w:name w:val="Comment Subject Char"/>
    <w:basedOn w:val="CommentTextChar"/>
    <w:link w:val="CommentSubject"/>
    <w:uiPriority w:val="99"/>
    <w:semiHidden/>
    <w:rsid w:val="002B103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B1038"/>
    <w:rPr>
      <w:sz w:val="18"/>
      <w:szCs w:val="18"/>
    </w:rPr>
  </w:style>
  <w:style w:type="character" w:customStyle="1" w:styleId="BalloonTextChar">
    <w:name w:val="Balloon Text Char"/>
    <w:basedOn w:val="DefaultParagraphFont"/>
    <w:link w:val="BalloonText"/>
    <w:uiPriority w:val="99"/>
    <w:semiHidden/>
    <w:rsid w:val="002B1038"/>
    <w:rPr>
      <w:rFonts w:ascii="Times New Roman" w:hAnsi="Times New Roman" w:cs="Times New Roman"/>
      <w:sz w:val="18"/>
      <w:szCs w:val="18"/>
    </w:rPr>
  </w:style>
  <w:style w:type="character" w:customStyle="1" w:styleId="apple-converted-space">
    <w:name w:val="apple-converted-space"/>
    <w:basedOn w:val="DefaultParagraphFont"/>
    <w:uiPriority w:val="99"/>
    <w:rsid w:val="002B1038"/>
    <w:rPr>
      <w:rFonts w:cs="Times New Roman"/>
    </w:rPr>
  </w:style>
  <w:style w:type="table" w:styleId="TableGrid">
    <w:name w:val="Table Grid"/>
    <w:basedOn w:val="TableNormal"/>
    <w:uiPriority w:val="99"/>
    <w:rsid w:val="002B10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B103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rsid w:val="002B1038"/>
    <w:rPr>
      <w:color w:val="808080"/>
      <w:shd w:val="clear" w:color="auto" w:fill="E6E6E6"/>
    </w:rPr>
  </w:style>
  <w:style w:type="character" w:customStyle="1" w:styleId="UnresolvedMention">
    <w:name w:val="Unresolved Mention"/>
    <w:basedOn w:val="DefaultParagraphFont"/>
    <w:uiPriority w:val="99"/>
    <w:rsid w:val="002B10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59144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05/rpnet.2017.eurocall2017.680" TargetMode="External"/><Relationship Id="rId13" Type="http://schemas.openxmlformats.org/officeDocument/2006/relationships/hyperlink" Target="https://doi.org/10.3389/fpsyg.2012.00429" TargetMode="External"/><Relationship Id="rId18" Type="http://schemas.openxmlformats.org/officeDocument/2006/relationships/hyperlink" Target="http://www.businessinsider.com/the-vr-hardware-report-2018-3" TargetMode="External"/><Relationship Id="rId26" Type="http://schemas.openxmlformats.org/officeDocument/2006/relationships/hyperlink" Target="https://doi.org/10.15446/profile.v20n1.594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dlcenter.org/aboutudl/take_a_tour_udl" TargetMode="External"/><Relationship Id="rId34" Type="http://schemas.openxmlformats.org/officeDocument/2006/relationships/hyperlink" Target="https://sdgactioncampaign.org/2015/03/30/clouds-over-sidra/" TargetMode="External"/><Relationship Id="rId42" Type="http://schemas.openxmlformats.org/officeDocument/2006/relationships/theme" Target="theme/theme1.xml"/><Relationship Id="rId7" Type="http://schemas.openxmlformats.org/officeDocument/2006/relationships/hyperlink" Target="mailto:anne-marie.depape@mohawkcollege.ca" TargetMode="External"/><Relationship Id="rId12" Type="http://schemas.openxmlformats.org/officeDocument/2006/relationships/hyperlink" Target="https://www.becausexm.com/blog/5-amazing-stats-you-need-to-know-about-virtual-reality" TargetMode="External"/><Relationship Id="rId17" Type="http://schemas.openxmlformats.org/officeDocument/2006/relationships/hyperlink" Target="https://www.vrfocus.com/2018/06/report-almost-half-of-us-colleges-use-vr/" TargetMode="External"/><Relationship Id="rId25" Type="http://schemas.openxmlformats.org/officeDocument/2006/relationships/hyperlink" Target="https://doi.org/10.5539/ies.v10n8p52" TargetMode="External"/><Relationship Id="rId33" Type="http://schemas.openxmlformats.org/officeDocument/2006/relationships/hyperlink" Target="http://dx.doi.org/10.1080/09544828.2015.1018149"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5465/AMR.1992.4279530" TargetMode="External"/><Relationship Id="rId20" Type="http://schemas.openxmlformats.org/officeDocument/2006/relationships/hyperlink" Target="https://www.technologyreview.com/s/603422/second-life-is-back-for-a-third-life-this-time-in-virtual-reality/" TargetMode="External"/><Relationship Id="rId29" Type="http://schemas.openxmlformats.org/officeDocument/2006/relationships/hyperlink" Target="https://www.statista.com/statistics/784139/virtual-reality-market-size-in-the-u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educause.edu/articles/2015/6/students-mobile-learning-practices-in-higher-education-a-multiyear-study" TargetMode="External"/><Relationship Id="rId24" Type="http://schemas.openxmlformats.org/officeDocument/2006/relationships/hyperlink" Target="https://www.pokemongo.com/" TargetMode="External"/><Relationship Id="rId32" Type="http://schemas.openxmlformats.org/officeDocument/2006/relationships/hyperlink" Target="https://www.statista.com/statistics/610112/worldwide-forecast-augmented-and-mixed-reality-software-market-by-segment/"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2F1053815111425493" TargetMode="External"/><Relationship Id="rId23" Type="http://schemas.openxmlformats.org/officeDocument/2006/relationships/hyperlink" Target="http://doi.org/10.3389/fpsyg.2017.00444" TargetMode="External"/><Relationship Id="rId28" Type="http://schemas.openxmlformats.org/officeDocument/2006/relationships/hyperlink" Target="https://www.statista.com/topics/3286/augmented-reality-ar/" TargetMode="External"/><Relationship Id="rId36" Type="http://schemas.openxmlformats.org/officeDocument/2006/relationships/hyperlink" Target="https://www.kent.ac.uk/careers/sk/top-ten-skills.htm" TargetMode="External"/><Relationship Id="rId10" Type="http://schemas.openxmlformats.org/officeDocument/2006/relationships/hyperlink" Target="http://udlresource.ca/2017/12/udl-core-principles-and-the-brain/" TargetMode="External"/><Relationship Id="rId19" Type="http://schemas.openxmlformats.org/officeDocument/2006/relationships/hyperlink" Target="https://www.merriam-webster.com/dictionary/technophobia" TargetMode="External"/><Relationship Id="rId31" Type="http://schemas.openxmlformats.org/officeDocument/2006/relationships/hyperlink" Target="https://www.statista.com/statistics/866903/canada-augmented-virtual-reality-market-size/" TargetMode="External"/><Relationship Id="rId4" Type="http://schemas.openxmlformats.org/officeDocument/2006/relationships/webSettings" Target="webSettings.xml"/><Relationship Id="rId9" Type="http://schemas.openxmlformats.org/officeDocument/2006/relationships/hyperlink" Target="http://www.apa.org/research/action/stereotype.aspx" TargetMode="External"/><Relationship Id="rId14" Type="http://schemas.openxmlformats.org/officeDocument/2006/relationships/hyperlink" Target="https://www.ecorys.com/news/europe-strong-and-competitive-hub-vr-ecorys-study-finds" TargetMode="External"/><Relationship Id="rId22" Type="http://schemas.openxmlformats.org/officeDocument/2006/relationships/hyperlink" Target="https://doi.org/10.3389/fpsyg.2015.01908" TargetMode="External"/><Relationship Id="rId27" Type="http://schemas.openxmlformats.org/officeDocument/2006/relationships/hyperlink" Target="https://doi.org/10.1371/journal.pone.0189078" TargetMode="External"/><Relationship Id="rId30" Type="http://schemas.openxmlformats.org/officeDocument/2006/relationships/hyperlink" Target="https://www.statista.com/statistics/591181/global-augmented-virtual-reality-market-size/" TargetMode="External"/><Relationship Id="rId35" Type="http://schemas.openxmlformats.org/officeDocument/2006/relationships/hyperlink" Target="https://wiki.ubc.ca/Documentation:Mini-Lessons_Basics_-_BOPPPS_Model_for_Planning_Les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36</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Winter</dc:creator>
  <cp:lastModifiedBy>User</cp:lastModifiedBy>
  <cp:revision>7</cp:revision>
  <dcterms:created xsi:type="dcterms:W3CDTF">2019-02-13T16:06:00Z</dcterms:created>
  <dcterms:modified xsi:type="dcterms:W3CDTF">2019-02-13T20:22:00Z</dcterms:modified>
</cp:coreProperties>
</file>